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0EB" w:rsidRDefault="007721EF">
      <w:pPr>
        <w:spacing w:after="307" w:line="254" w:lineRule="auto"/>
        <w:ind w:left="-5"/>
        <w:jc w:val="center"/>
        <w:rPr>
          <w:b/>
          <w:sz w:val="22"/>
        </w:rPr>
      </w:pPr>
      <w:r>
        <w:rPr>
          <w:b/>
          <w:sz w:val="22"/>
        </w:rPr>
        <w:t>SMLOUVA O ZAJIŠTĚNÍ PROGRAMU NA ŠKOLE V PŘÍRODĚ</w:t>
      </w:r>
    </w:p>
    <w:p w:rsidR="00DB30EB" w:rsidRDefault="00DB30EB">
      <w:pPr>
        <w:spacing w:after="307" w:line="254" w:lineRule="auto"/>
        <w:ind w:left="-5"/>
        <w:jc w:val="center"/>
        <w:rPr>
          <w:sz w:val="22"/>
        </w:rPr>
      </w:pPr>
    </w:p>
    <w:p w:rsidR="00DB30EB" w:rsidRDefault="007721EF">
      <w:pPr>
        <w:spacing w:after="258" w:line="254" w:lineRule="auto"/>
        <w:ind w:left="-5"/>
      </w:pPr>
      <w:r>
        <w:rPr>
          <w:b/>
          <w:sz w:val="22"/>
        </w:rPr>
        <w:t>Článek I. Smluvní strany</w:t>
      </w:r>
      <w:r>
        <w:rPr>
          <w:sz w:val="22"/>
        </w:rPr>
        <w:t xml:space="preserve"> </w:t>
      </w:r>
    </w:p>
    <w:p w:rsidR="00DB30EB" w:rsidRDefault="007721EF">
      <w:pPr>
        <w:numPr>
          <w:ilvl w:val="0"/>
          <w:numId w:val="1"/>
        </w:numPr>
        <w:spacing w:after="22" w:line="254" w:lineRule="auto"/>
        <w:ind w:hanging="360"/>
      </w:pPr>
      <w:r>
        <w:rPr>
          <w:b/>
          <w:sz w:val="22"/>
        </w:rPr>
        <w:t>Zadavatel:</w:t>
      </w:r>
      <w:r>
        <w:rPr>
          <w:sz w:val="22"/>
        </w:rPr>
        <w:t xml:space="preserve"> </w:t>
      </w:r>
    </w:p>
    <w:p w:rsidR="00DB30EB" w:rsidRDefault="007721EF">
      <w:pPr>
        <w:rPr>
          <w:color w:val="auto"/>
          <w:sz w:val="22"/>
        </w:rPr>
      </w:pPr>
      <w:r>
        <w:rPr>
          <w:color w:val="auto"/>
          <w:sz w:val="22"/>
        </w:rPr>
        <w:t>21. základní škola Plzeň, Slovanská alej 13, příspěvková organizace</w:t>
      </w:r>
    </w:p>
    <w:p w:rsidR="00DB30EB" w:rsidRDefault="007721EF">
      <w:pPr>
        <w:rPr>
          <w:color w:val="auto"/>
          <w:sz w:val="22"/>
        </w:rPr>
      </w:pPr>
      <w:r>
        <w:rPr>
          <w:color w:val="auto"/>
          <w:sz w:val="22"/>
        </w:rPr>
        <w:t xml:space="preserve">(dále jen "zadavatel") </w:t>
      </w:r>
    </w:p>
    <w:p w:rsidR="00DB30EB" w:rsidRDefault="007721EF">
      <w:pPr>
        <w:spacing w:after="0"/>
        <w:ind w:right="5120" w:firstLine="0"/>
        <w:rPr>
          <w:color w:val="auto"/>
          <w:sz w:val="22"/>
        </w:rPr>
      </w:pPr>
      <w:r>
        <w:rPr>
          <w:color w:val="auto"/>
          <w:sz w:val="22"/>
        </w:rPr>
        <w:t>Slovanská alej 2072/13, 326 00 Plzeň</w:t>
      </w:r>
    </w:p>
    <w:p w:rsidR="00DB30EB" w:rsidRDefault="007721EF">
      <w:pPr>
        <w:spacing w:after="0"/>
        <w:ind w:right="5120"/>
        <w:rPr>
          <w:color w:val="auto"/>
          <w:sz w:val="22"/>
        </w:rPr>
      </w:pPr>
      <w:r>
        <w:rPr>
          <w:color w:val="auto"/>
          <w:sz w:val="22"/>
        </w:rPr>
        <w:t xml:space="preserve">IČ: 66362521 </w:t>
      </w:r>
    </w:p>
    <w:p w:rsidR="00DB30EB" w:rsidRDefault="007721EF">
      <w:pPr>
        <w:spacing w:after="300" w:line="254" w:lineRule="auto"/>
        <w:ind w:left="0" w:firstLine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r>
        <w:rPr>
          <w:color w:val="auto"/>
          <w:sz w:val="22"/>
        </w:rPr>
        <w:tab/>
        <w:t>Zastoupená: Mgr. Martin Prokop</w:t>
      </w:r>
    </w:p>
    <w:p w:rsidR="00DB30EB" w:rsidRDefault="007721EF">
      <w:pPr>
        <w:numPr>
          <w:ilvl w:val="0"/>
          <w:numId w:val="1"/>
        </w:numPr>
        <w:spacing w:after="20" w:line="254" w:lineRule="auto"/>
        <w:ind w:hanging="360"/>
      </w:pPr>
      <w:r>
        <w:rPr>
          <w:b/>
          <w:sz w:val="22"/>
        </w:rPr>
        <w:t>Zajišťovatel:</w:t>
      </w:r>
      <w:r>
        <w:rPr>
          <w:sz w:val="22"/>
        </w:rPr>
        <w:t xml:space="preserve"> </w:t>
      </w:r>
    </w:p>
    <w:p w:rsidR="00DB30EB" w:rsidRDefault="007852A3">
      <w:pPr>
        <w:tabs>
          <w:tab w:val="center" w:pos="3091"/>
          <w:tab w:val="center" w:pos="6373"/>
          <w:tab w:val="center" w:pos="7083"/>
        </w:tabs>
        <w:ind w:left="0" w:firstLine="0"/>
      </w:pPr>
      <w:r>
        <w:rPr>
          <w:rFonts w:ascii="Calibri" w:eastAsia="Calibri" w:hAnsi="Calibri" w:cs="Calibri"/>
          <w:sz w:val="22"/>
        </w:rPr>
        <w:t xml:space="preserve">               </w:t>
      </w:r>
      <w:r w:rsidR="007721EF">
        <w:rPr>
          <w:sz w:val="22"/>
        </w:rPr>
        <w:t xml:space="preserve">Jaroslav Nicolas </w:t>
      </w:r>
      <w:proofErr w:type="spellStart"/>
      <w:r w:rsidR="007721EF">
        <w:rPr>
          <w:sz w:val="22"/>
        </w:rPr>
        <w:t>Milíček</w:t>
      </w:r>
      <w:proofErr w:type="spellEnd"/>
      <w:r w:rsidR="007721EF">
        <w:rPr>
          <w:sz w:val="22"/>
        </w:rPr>
        <w:t xml:space="preserve"> (dále jen "zajišťovatel")  </w:t>
      </w:r>
      <w:r w:rsidR="007721EF">
        <w:rPr>
          <w:sz w:val="22"/>
        </w:rPr>
        <w:tab/>
        <w:t xml:space="preserve"> </w:t>
      </w:r>
      <w:r w:rsidR="007721EF">
        <w:rPr>
          <w:sz w:val="22"/>
        </w:rPr>
        <w:tab/>
        <w:t xml:space="preserve"> </w:t>
      </w:r>
    </w:p>
    <w:p w:rsidR="00DB30EB" w:rsidRPr="007852A3" w:rsidRDefault="007721EF" w:rsidP="007852A3">
      <w:pPr>
        <w:tabs>
          <w:tab w:val="center" w:pos="721"/>
          <w:tab w:val="center" w:pos="2210"/>
          <w:tab w:val="center" w:pos="3542"/>
          <w:tab w:val="center" w:pos="4252"/>
          <w:tab w:val="center" w:pos="4957"/>
          <w:tab w:val="center" w:pos="5668"/>
          <w:tab w:val="center" w:pos="6373"/>
          <w:tab w:val="center" w:pos="7083"/>
          <w:tab w:val="center" w:pos="7794"/>
        </w:tabs>
        <w:ind w:left="0" w:firstLine="0"/>
        <w:rPr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 w:rsidR="007852A3">
        <w:rPr>
          <w:sz w:val="22"/>
        </w:rPr>
        <w:t xml:space="preserve">         </w:t>
      </w:r>
      <w:bookmarkStart w:id="0" w:name="_GoBack"/>
      <w:bookmarkEnd w:id="0"/>
      <w:r>
        <w:rPr>
          <w:sz w:val="22"/>
        </w:rPr>
        <w:t xml:space="preserve">Praha 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</w:p>
    <w:p w:rsidR="00DB30EB" w:rsidRDefault="007721EF">
      <w:pPr>
        <w:tabs>
          <w:tab w:val="center" w:pos="721"/>
          <w:tab w:val="center" w:pos="2078"/>
        </w:tabs>
        <w:spacing w:after="302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</w:p>
    <w:p w:rsidR="00DB30EB" w:rsidRDefault="007721EF">
      <w:pPr>
        <w:spacing w:after="307" w:line="254" w:lineRule="auto"/>
        <w:ind w:left="-5"/>
      </w:pPr>
      <w:r>
        <w:rPr>
          <w:b/>
          <w:sz w:val="22"/>
        </w:rPr>
        <w:t>Článek II. Předmět smlouvy</w:t>
      </w:r>
      <w:r>
        <w:rPr>
          <w:sz w:val="22"/>
        </w:rPr>
        <w:t xml:space="preserve"> </w:t>
      </w:r>
    </w:p>
    <w:p w:rsidR="00DB30EB" w:rsidRDefault="007721EF">
      <w:pPr>
        <w:numPr>
          <w:ilvl w:val="0"/>
          <w:numId w:val="2"/>
        </w:numPr>
        <w:ind w:hanging="360"/>
        <w:rPr>
          <w:sz w:val="22"/>
        </w:rPr>
      </w:pPr>
      <w:r>
        <w:rPr>
          <w:sz w:val="22"/>
        </w:rPr>
        <w:t xml:space="preserve">Zajišťovatel se zavazuje zorganizovat a realizovat program "Cesta kolem světa" na škole v přírodě, který bude probíhat v termínu od 5. května 2025 do 9. května 2025 včetně. </w:t>
      </w:r>
    </w:p>
    <w:p w:rsidR="00DB30EB" w:rsidRDefault="007721EF">
      <w:pPr>
        <w:numPr>
          <w:ilvl w:val="0"/>
          <w:numId w:val="2"/>
        </w:numPr>
        <w:ind w:hanging="360"/>
        <w:rPr>
          <w:sz w:val="22"/>
        </w:rPr>
      </w:pPr>
      <w:r>
        <w:rPr>
          <w:sz w:val="22"/>
        </w:rPr>
        <w:t xml:space="preserve">Program bude realizován v časových blocích: </w:t>
      </w:r>
    </w:p>
    <w:p w:rsidR="00DB30EB" w:rsidRDefault="007721EF">
      <w:pPr>
        <w:numPr>
          <w:ilvl w:val="1"/>
          <w:numId w:val="2"/>
        </w:numPr>
        <w:ind w:right="3746" w:hanging="180"/>
        <w:rPr>
          <w:sz w:val="22"/>
        </w:rPr>
      </w:pPr>
      <w:r>
        <w:rPr>
          <w:sz w:val="22"/>
        </w:rPr>
        <w:t xml:space="preserve">pondělí až čtvrtek: od 14:00 do 20:30. – pátek: organizace odjezdu. </w:t>
      </w:r>
    </w:p>
    <w:p w:rsidR="00DB30EB" w:rsidRDefault="007721EF">
      <w:pPr>
        <w:numPr>
          <w:ilvl w:val="0"/>
          <w:numId w:val="2"/>
        </w:numPr>
        <w:ind w:hanging="360"/>
        <w:rPr>
          <w:sz w:val="22"/>
        </w:rPr>
      </w:pPr>
      <w:r>
        <w:rPr>
          <w:sz w:val="22"/>
        </w:rPr>
        <w:t xml:space="preserve">Program zahrnuje: </w:t>
      </w:r>
    </w:p>
    <w:p w:rsidR="00DB30EB" w:rsidRDefault="007721EF">
      <w:pPr>
        <w:numPr>
          <w:ilvl w:val="1"/>
          <w:numId w:val="2"/>
        </w:numPr>
        <w:ind w:right="3746" w:hanging="180"/>
        <w:rPr>
          <w:sz w:val="22"/>
        </w:rPr>
      </w:pPr>
      <w:r>
        <w:rPr>
          <w:sz w:val="22"/>
        </w:rPr>
        <w:t xml:space="preserve">Práci čtyř animátorů. </w:t>
      </w:r>
    </w:p>
    <w:p w:rsidR="00DB30EB" w:rsidRDefault="007721EF">
      <w:pPr>
        <w:numPr>
          <w:ilvl w:val="1"/>
          <w:numId w:val="2"/>
        </w:numPr>
        <w:ind w:right="3746" w:hanging="180"/>
        <w:rPr>
          <w:sz w:val="22"/>
        </w:rPr>
      </w:pPr>
      <w:r>
        <w:rPr>
          <w:sz w:val="22"/>
        </w:rPr>
        <w:t xml:space="preserve">Pronájem rekvizit a spotřebního materiálu. </w:t>
      </w:r>
    </w:p>
    <w:p w:rsidR="00DB30EB" w:rsidRDefault="007721EF">
      <w:pPr>
        <w:ind w:left="721" w:right="3746" w:firstLine="0"/>
        <w:rPr>
          <w:sz w:val="22"/>
        </w:rPr>
      </w:pPr>
      <w:r>
        <w:rPr>
          <w:sz w:val="22"/>
        </w:rPr>
        <w:t xml:space="preserve">– Dopravu zajišťovatele. </w:t>
      </w:r>
    </w:p>
    <w:p w:rsidR="00DB30EB" w:rsidRDefault="007721EF">
      <w:pPr>
        <w:numPr>
          <w:ilvl w:val="0"/>
          <w:numId w:val="2"/>
        </w:numPr>
        <w:spacing w:after="292"/>
        <w:ind w:hanging="360"/>
        <w:rPr>
          <w:sz w:val="22"/>
        </w:rPr>
      </w:pPr>
      <w:r>
        <w:rPr>
          <w:sz w:val="22"/>
        </w:rPr>
        <w:t xml:space="preserve">Místem konání je Hotel Belveder, Železná Ruda 189, 340 04 Železná Ruda. Ubytování je zajištěno zajišťovatelem na jeho náklady. </w:t>
      </w:r>
    </w:p>
    <w:p w:rsidR="00DB30EB" w:rsidRDefault="007721EF">
      <w:pPr>
        <w:spacing w:after="0" w:line="518" w:lineRule="auto"/>
        <w:ind w:left="346" w:right="4706" w:hanging="361"/>
      </w:pPr>
      <w:r>
        <w:rPr>
          <w:b/>
          <w:sz w:val="22"/>
        </w:rPr>
        <w:t>Článek III. Povinnosti smluvních stran</w:t>
      </w:r>
      <w:r>
        <w:rPr>
          <w:sz w:val="22"/>
        </w:rPr>
        <w:t xml:space="preserve"> 1.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sz w:val="22"/>
        </w:rPr>
        <w:t>Povinnosti zajišťovatele:</w:t>
      </w:r>
      <w:r>
        <w:rPr>
          <w:sz w:val="22"/>
        </w:rPr>
        <w:t xml:space="preserve"> </w:t>
      </w:r>
    </w:p>
    <w:p w:rsidR="00DB30EB" w:rsidRDefault="007721EF">
      <w:pPr>
        <w:ind w:left="1091" w:right="151"/>
      </w:pP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 xml:space="preserve">Zajistit organizaci programu a jeho realizaci dle předem dohodnutého plánu.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 xml:space="preserve">Zajistit dozor nad dětmi v časech konání programu.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 xml:space="preserve">Informovat zadavatele o změnách v harmonogramu. </w:t>
      </w:r>
    </w:p>
    <w:p w:rsidR="00DB30EB" w:rsidRDefault="00DB30EB">
      <w:pPr>
        <w:ind w:left="1091" w:right="151"/>
        <w:rPr>
          <w:sz w:val="22"/>
        </w:rPr>
      </w:pPr>
    </w:p>
    <w:p w:rsidR="00DB30EB" w:rsidRDefault="00DB30EB">
      <w:pPr>
        <w:ind w:left="0" w:right="151" w:firstLine="0"/>
        <w:rPr>
          <w:sz w:val="22"/>
        </w:rPr>
      </w:pPr>
    </w:p>
    <w:p w:rsidR="00DB30EB" w:rsidRDefault="007721EF">
      <w:pPr>
        <w:spacing w:after="22" w:line="254" w:lineRule="auto"/>
        <w:ind w:left="371"/>
      </w:pPr>
      <w:r>
        <w:rPr>
          <w:sz w:val="22"/>
        </w:rPr>
        <w:t>2.</w:t>
      </w:r>
      <w:r>
        <w:rPr>
          <w:rFonts w:ascii="Arial" w:eastAsia="Arial" w:hAnsi="Arial" w:cs="Arial"/>
          <w:sz w:val="22"/>
        </w:rPr>
        <w:t xml:space="preserve"> </w:t>
      </w:r>
      <w:r>
        <w:rPr>
          <w:b/>
          <w:sz w:val="22"/>
        </w:rPr>
        <w:t>Povinnosti zadavatele:</w:t>
      </w:r>
      <w:r>
        <w:rPr>
          <w:sz w:val="22"/>
        </w:rPr>
        <w:t xml:space="preserve"> </w:t>
      </w:r>
    </w:p>
    <w:p w:rsidR="00DB30EB" w:rsidRDefault="007721EF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 xml:space="preserve">Poskytnout zajišťovateli seznam dětí v den příjezdu. </w:t>
      </w:r>
    </w:p>
    <w:p w:rsidR="00DB30EB" w:rsidRDefault="007721EF">
      <w:pPr>
        <w:numPr>
          <w:ilvl w:val="0"/>
          <w:numId w:val="3"/>
        </w:numPr>
        <w:ind w:hanging="360"/>
        <w:rPr>
          <w:sz w:val="22"/>
        </w:rPr>
      </w:pPr>
      <w:r>
        <w:rPr>
          <w:sz w:val="22"/>
        </w:rPr>
        <w:t xml:space="preserve">Informovat zajišťovatele o zdravotním stavu a případných poruchách chování dětí. </w:t>
      </w:r>
    </w:p>
    <w:p w:rsidR="00DB30EB" w:rsidRDefault="007721EF">
      <w:pPr>
        <w:numPr>
          <w:ilvl w:val="0"/>
          <w:numId w:val="3"/>
        </w:numPr>
        <w:spacing w:after="248"/>
        <w:ind w:hanging="360"/>
        <w:rPr>
          <w:sz w:val="22"/>
        </w:rPr>
      </w:pPr>
      <w:r>
        <w:rPr>
          <w:sz w:val="22"/>
        </w:rPr>
        <w:t xml:space="preserve">Zajistit dopolední, večerní a noční dozor nad dětmi. </w:t>
      </w:r>
    </w:p>
    <w:p w:rsidR="00DB30EB" w:rsidRDefault="007721EF">
      <w:pPr>
        <w:spacing w:after="248"/>
        <w:ind w:left="1081" w:firstLine="0"/>
      </w:pPr>
      <w:r>
        <w:rPr>
          <w:rFonts w:ascii="Courier New" w:eastAsia="Courier New" w:hAnsi="Courier New" w:cs="Courier New"/>
          <w:sz w:val="22"/>
        </w:rPr>
        <w:lastRenderedPageBreak/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>Zajistit zdravotní dozor během pobytu</w:t>
      </w:r>
    </w:p>
    <w:p w:rsidR="00DB30EB" w:rsidRDefault="007721EF">
      <w:pPr>
        <w:spacing w:after="0" w:line="254" w:lineRule="auto"/>
        <w:ind w:left="0" w:firstLine="0"/>
        <w:rPr>
          <w:sz w:val="22"/>
        </w:rPr>
      </w:pPr>
      <w:r>
        <w:rPr>
          <w:sz w:val="22"/>
        </w:rPr>
        <w:t xml:space="preserve"> </w:t>
      </w:r>
    </w:p>
    <w:p w:rsidR="00DB30EB" w:rsidRDefault="007721EF">
      <w:pPr>
        <w:spacing w:after="307" w:line="254" w:lineRule="auto"/>
        <w:ind w:left="-5"/>
      </w:pPr>
      <w:r>
        <w:rPr>
          <w:b/>
          <w:sz w:val="22"/>
        </w:rPr>
        <w:t>Článek IV. Cena a platební podmínky</w:t>
      </w:r>
      <w:r>
        <w:rPr>
          <w:sz w:val="22"/>
        </w:rPr>
        <w:t xml:space="preserve"> </w:t>
      </w:r>
    </w:p>
    <w:p w:rsidR="00DB30EB" w:rsidRDefault="007721EF">
      <w:pPr>
        <w:numPr>
          <w:ilvl w:val="0"/>
          <w:numId w:val="4"/>
        </w:numPr>
        <w:ind w:hanging="360"/>
        <w:rPr>
          <w:sz w:val="22"/>
        </w:rPr>
      </w:pPr>
      <w:r>
        <w:rPr>
          <w:sz w:val="22"/>
        </w:rPr>
        <w:t xml:space="preserve">Cena za program je stanovena na 1 050 Kč na dítě. </w:t>
      </w:r>
    </w:p>
    <w:p w:rsidR="00DB30EB" w:rsidRDefault="007721EF">
      <w:pPr>
        <w:numPr>
          <w:ilvl w:val="0"/>
          <w:numId w:val="4"/>
        </w:numPr>
        <w:ind w:hanging="360"/>
        <w:rPr>
          <w:sz w:val="22"/>
        </w:rPr>
      </w:pPr>
      <w:r>
        <w:rPr>
          <w:sz w:val="22"/>
        </w:rPr>
        <w:t>Zadavatel nahlásí předběžný celkový počet dětí žadateli nejpozději dne 2.2.2025.</w:t>
      </w:r>
    </w:p>
    <w:p w:rsidR="00DB30EB" w:rsidRDefault="007721EF">
      <w:pPr>
        <w:numPr>
          <w:ilvl w:val="0"/>
          <w:numId w:val="4"/>
        </w:numPr>
        <w:ind w:hanging="360"/>
        <w:rPr>
          <w:sz w:val="22"/>
        </w:rPr>
      </w:pPr>
      <w:r>
        <w:rPr>
          <w:sz w:val="22"/>
        </w:rPr>
        <w:t xml:space="preserve">Fakturace bude provedena po ukončení pobytu dne 9. 5. 2025 na základě celkového reálného počtu dětí, potvrzeného do 5. 5. 2025. V případě, že dítě opustí pobyt předčasně, bude účtována plná výše za celý pobyt. </w:t>
      </w:r>
    </w:p>
    <w:p w:rsidR="00DB30EB" w:rsidRDefault="007721EF">
      <w:pPr>
        <w:numPr>
          <w:ilvl w:val="0"/>
          <w:numId w:val="4"/>
        </w:numPr>
        <w:ind w:hanging="360"/>
        <w:rPr>
          <w:sz w:val="22"/>
        </w:rPr>
      </w:pPr>
      <w:r>
        <w:rPr>
          <w:sz w:val="22"/>
        </w:rPr>
        <w:t xml:space="preserve">Faktura bude splatná do 10 dnů od data vystavení a bude uhrazena převodem. </w:t>
      </w:r>
    </w:p>
    <w:p w:rsidR="00DB30EB" w:rsidRDefault="007721EF">
      <w:pPr>
        <w:numPr>
          <w:ilvl w:val="0"/>
          <w:numId w:val="4"/>
        </w:numPr>
        <w:spacing w:after="292"/>
        <w:ind w:hanging="360"/>
      </w:pPr>
      <w:r>
        <w:rPr>
          <w:sz w:val="22"/>
        </w:rPr>
        <w:t>Pokud dojde ze strany zadavatele ke snížení počtu dětí o více než 20, je zajišťovatel oprávněn požadovat úhradu v plné výši za každé dítě, jehož účast byla zrušena</w:t>
      </w:r>
      <w:r>
        <w:rPr>
          <w:color w:val="auto"/>
          <w:sz w:val="22"/>
        </w:rPr>
        <w:t xml:space="preserve">. </w:t>
      </w:r>
      <w:r>
        <w:rPr>
          <w:b/>
          <w:bCs/>
          <w:sz w:val="22"/>
        </w:rPr>
        <w:t xml:space="preserve">Nevztahuje se na absenci z důvodu nemoci. </w:t>
      </w:r>
    </w:p>
    <w:p w:rsidR="00DB30EB" w:rsidRDefault="007721EF">
      <w:pPr>
        <w:spacing w:line="520" w:lineRule="auto"/>
        <w:ind w:left="361" w:right="959" w:hanging="361"/>
        <w:rPr>
          <w:b/>
          <w:sz w:val="22"/>
        </w:rPr>
      </w:pPr>
      <w:r>
        <w:rPr>
          <w:b/>
          <w:sz w:val="22"/>
        </w:rPr>
        <w:t>Článek V. Odstoupení od smlouvy</w:t>
      </w:r>
    </w:p>
    <w:p w:rsidR="00DB30EB" w:rsidRDefault="007721EF">
      <w:pPr>
        <w:spacing w:line="520" w:lineRule="auto"/>
        <w:ind w:left="361" w:right="959" w:hanging="361"/>
      </w:pPr>
      <w:r>
        <w:rPr>
          <w:sz w:val="22"/>
        </w:rPr>
        <w:t xml:space="preserve"> 1.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Odstoupení od smlouvy je možné v případě nečekaných událostí, jako jsou: </w:t>
      </w:r>
    </w:p>
    <w:p w:rsidR="00DB30EB" w:rsidRDefault="007721EF">
      <w:pPr>
        <w:spacing w:after="298"/>
        <w:ind w:left="1091" w:right="2010"/>
      </w:pP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rFonts w:ascii="Arial" w:eastAsia="Arial" w:hAnsi="Arial" w:cs="Arial"/>
          <w:sz w:val="22"/>
        </w:rPr>
        <w:tab/>
      </w:r>
      <w:r>
        <w:rPr>
          <w:sz w:val="22"/>
        </w:rPr>
        <w:t xml:space="preserve">Přírodní pohromy. </w:t>
      </w:r>
    </w:p>
    <w:p w:rsidR="00DB30EB" w:rsidRDefault="007721EF">
      <w:pPr>
        <w:spacing w:after="298"/>
        <w:ind w:left="1091" w:right="2010"/>
      </w:pPr>
      <w:r>
        <w:rPr>
          <w:rFonts w:ascii="Courier New" w:eastAsia="Courier New" w:hAnsi="Courier New" w:cs="Courier New"/>
          <w:sz w:val="22"/>
        </w:rPr>
        <w:t>o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2"/>
        </w:rPr>
        <w:t xml:space="preserve">Nepříznivé počasí znemožňující realizaci programu.    </w:t>
      </w:r>
    </w:p>
    <w:p w:rsidR="00DB30EB" w:rsidRDefault="007721EF">
      <w:pPr>
        <w:spacing w:after="298"/>
        <w:ind w:left="1091" w:right="2010"/>
      </w:pPr>
      <w:r>
        <w:rPr>
          <w:sz w:val="22"/>
        </w:rPr>
        <w:t xml:space="preserve"> </w:t>
      </w:r>
      <w:r>
        <w:rPr>
          <w:rFonts w:ascii="Courier New" w:eastAsia="Courier New" w:hAnsi="Courier New" w:cs="Courier New"/>
          <w:sz w:val="22"/>
        </w:rPr>
        <w:t>o</w:t>
      </w:r>
      <w:r>
        <w:rPr>
          <w:sz w:val="22"/>
        </w:rPr>
        <w:t xml:space="preserve"> Velká absence dětí (minimálně </w:t>
      </w:r>
      <w:proofErr w:type="gramStart"/>
      <w:r>
        <w:rPr>
          <w:sz w:val="22"/>
        </w:rPr>
        <w:t>40%</w:t>
      </w:r>
      <w:proofErr w:type="gramEnd"/>
      <w:r>
        <w:rPr>
          <w:sz w:val="22"/>
        </w:rPr>
        <w:t xml:space="preserve"> z celkového počtu). </w:t>
      </w:r>
    </w:p>
    <w:p w:rsidR="00DB30EB" w:rsidRDefault="007721EF">
      <w:pPr>
        <w:spacing w:after="307" w:line="254" w:lineRule="auto"/>
        <w:ind w:left="-5"/>
      </w:pPr>
      <w:r>
        <w:rPr>
          <w:b/>
          <w:sz w:val="22"/>
        </w:rPr>
        <w:t>Článek VI. Závěrečná ustanovení</w:t>
      </w:r>
      <w:r>
        <w:rPr>
          <w:sz w:val="22"/>
        </w:rPr>
        <w:t xml:space="preserve"> </w:t>
      </w:r>
    </w:p>
    <w:p w:rsidR="00DB30EB" w:rsidRDefault="007721EF">
      <w:pPr>
        <w:numPr>
          <w:ilvl w:val="0"/>
          <w:numId w:val="5"/>
        </w:numPr>
        <w:ind w:hanging="360"/>
        <w:rPr>
          <w:sz w:val="22"/>
        </w:rPr>
      </w:pPr>
      <w:r>
        <w:rPr>
          <w:sz w:val="22"/>
        </w:rPr>
        <w:t xml:space="preserve">Tato smlouva je vyhotovena ve dvou stejnopisech, z nichž každá smluvní strana obdrží jeden z nich. </w:t>
      </w:r>
    </w:p>
    <w:p w:rsidR="00DB30EB" w:rsidRDefault="007721EF">
      <w:pPr>
        <w:numPr>
          <w:ilvl w:val="0"/>
          <w:numId w:val="5"/>
        </w:numPr>
        <w:ind w:hanging="360"/>
        <w:rPr>
          <w:sz w:val="22"/>
        </w:rPr>
      </w:pPr>
      <w:r>
        <w:rPr>
          <w:sz w:val="22"/>
        </w:rPr>
        <w:t xml:space="preserve">Změny a doplňky této smlouvy jsou možné pouze na základě písemné dohody obou smluvních stran. </w:t>
      </w:r>
    </w:p>
    <w:p w:rsidR="00DB30EB" w:rsidRDefault="007721EF">
      <w:pPr>
        <w:numPr>
          <w:ilvl w:val="0"/>
          <w:numId w:val="5"/>
        </w:numPr>
        <w:spacing w:after="241"/>
        <w:ind w:hanging="360"/>
        <w:rPr>
          <w:sz w:val="22"/>
        </w:rPr>
      </w:pPr>
      <w:r>
        <w:rPr>
          <w:sz w:val="22"/>
        </w:rPr>
        <w:t xml:space="preserve">Smluvní strany potvrzují, že smlouvu uzavřely na základě své svobodné vůle a po jejím řádném přečtení. </w:t>
      </w:r>
    </w:p>
    <w:p w:rsidR="00DB30EB" w:rsidRDefault="007721EF">
      <w:pPr>
        <w:spacing w:after="0" w:line="254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7721EF">
      <w:pPr>
        <w:spacing w:after="0" w:line="254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Datum:</w:t>
      </w:r>
      <w:r w:rsidR="00154F55">
        <w:rPr>
          <w:rFonts w:ascii="Calibri" w:eastAsia="Calibri" w:hAnsi="Calibri" w:cs="Calibri"/>
        </w:rPr>
        <w:t xml:space="preserve"> 24.01.2025</w:t>
      </w: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DB30EB">
      <w:pPr>
        <w:spacing w:after="0" w:line="254" w:lineRule="auto"/>
        <w:ind w:left="0" w:firstLine="0"/>
        <w:rPr>
          <w:rFonts w:ascii="Calibri" w:eastAsia="Calibri" w:hAnsi="Calibri" w:cs="Calibri"/>
        </w:rPr>
      </w:pPr>
    </w:p>
    <w:p w:rsidR="00DB30EB" w:rsidRDefault="007721EF">
      <w:pPr>
        <w:spacing w:after="0" w:line="254" w:lineRule="auto"/>
        <w:ind w:left="0" w:firstLine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___________________</w:t>
      </w:r>
    </w:p>
    <w:p w:rsidR="00DB30EB" w:rsidRDefault="007721EF">
      <w:pPr>
        <w:spacing w:after="0" w:line="254" w:lineRule="auto"/>
        <w:ind w:left="0" w:firstLine="0"/>
      </w:pPr>
      <w:r>
        <w:rPr>
          <w:rFonts w:ascii="Calibri" w:eastAsia="Calibri" w:hAnsi="Calibri" w:cs="Calibri"/>
        </w:rPr>
        <w:t xml:space="preserve">       Zadavatel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Zajišťovatel</w:t>
      </w:r>
    </w:p>
    <w:sectPr w:rsidR="00DB30EB">
      <w:pgSz w:w="11905" w:h="16840"/>
      <w:pgMar w:top="1477" w:right="1562" w:bottom="157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7F51" w:rsidRDefault="007721EF">
      <w:pPr>
        <w:spacing w:after="0" w:line="240" w:lineRule="auto"/>
      </w:pPr>
      <w:r>
        <w:separator/>
      </w:r>
    </w:p>
  </w:endnote>
  <w:endnote w:type="continuationSeparator" w:id="0">
    <w:p w:rsidR="008A7F51" w:rsidRDefault="00772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7F51" w:rsidRDefault="007721EF">
      <w:pPr>
        <w:spacing w:after="0" w:line="240" w:lineRule="auto"/>
      </w:pPr>
      <w:r>
        <w:separator/>
      </w:r>
    </w:p>
  </w:footnote>
  <w:footnote w:type="continuationSeparator" w:id="0">
    <w:p w:rsidR="008A7F51" w:rsidRDefault="007721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638A6"/>
    <w:multiLevelType w:val="multilevel"/>
    <w:tmpl w:val="14F0838C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E163436"/>
    <w:multiLevelType w:val="multilevel"/>
    <w:tmpl w:val="678A830A"/>
    <w:lvl w:ilvl="0">
      <w:numFmt w:val="bullet"/>
      <w:lvlText w:val="o"/>
      <w:lvlJc w:val="left"/>
      <w:pPr>
        <w:ind w:left="144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216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88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360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432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504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76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648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7201" w:firstLine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 w15:restartNumberingAfterBreak="0">
    <w:nsid w:val="4C50655F"/>
    <w:multiLevelType w:val="multilevel"/>
    <w:tmpl w:val="61F8E964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numFmt w:val="bullet"/>
      <w:lvlText w:val="–"/>
      <w:lvlJc w:val="left"/>
      <w:pPr>
        <w:ind w:left="9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3" w15:restartNumberingAfterBreak="0">
    <w:nsid w:val="4E1E29FF"/>
    <w:multiLevelType w:val="multilevel"/>
    <w:tmpl w:val="9FE23234"/>
    <w:lvl w:ilvl="0">
      <w:start w:val="1"/>
      <w:numFmt w:val="decimal"/>
      <w:lvlText w:val="%1."/>
      <w:lvlJc w:val="left"/>
      <w:pPr>
        <w:ind w:left="7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73D51188"/>
    <w:multiLevelType w:val="multilevel"/>
    <w:tmpl w:val="705AB52C"/>
    <w:lvl w:ilvl="0">
      <w:start w:val="1"/>
      <w:numFmt w:val="decimal"/>
      <w:lvlText w:val="%1."/>
      <w:lvlJc w:val="left"/>
      <w:pPr>
        <w:ind w:left="7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EB"/>
    <w:rsid w:val="00154F55"/>
    <w:rsid w:val="007721EF"/>
    <w:rsid w:val="007852A3"/>
    <w:rsid w:val="008A7F51"/>
    <w:rsid w:val="00DB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28F"/>
  <w15:docId w15:val="{71431CCC-B95A-42E7-A9B9-D6DF1865A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uppressAutoHyphens/>
      <w:spacing w:after="13" w:line="266" w:lineRule="auto"/>
      <w:ind w:left="731" w:hanging="10"/>
    </w:pPr>
    <w:rPr>
      <w:rFonts w:ascii="Times New Roman" w:hAnsi="Times New Roman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rPr>
      <w:rFonts w:ascii="Times New Roman" w:hAnsi="Times New Roman"/>
      <w:color w:val="000000"/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Milíček Jaroslav Nicolas</dc:creator>
  <cp:lastModifiedBy>Linhartová Petra</cp:lastModifiedBy>
  <cp:revision>4</cp:revision>
  <cp:lastPrinted>2025-01-21T12:34:00Z</cp:lastPrinted>
  <dcterms:created xsi:type="dcterms:W3CDTF">2025-02-21T09:23:00Z</dcterms:created>
  <dcterms:modified xsi:type="dcterms:W3CDTF">2025-02-21T10:30:00Z</dcterms:modified>
</cp:coreProperties>
</file>