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D O D A T E K Č. 1</w:t>
        <w:br/>
        <w:t>K P A C H T O V N Í S M L O U V Ě</w:t>
        <w:br/>
        <w:t>POh č. 44/2020</w:t>
        <w:br/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uzavřené dne 30.1.2020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mezi :</w:t>
      </w:r>
      <w:bookmarkEnd w:id="0"/>
      <w:bookmarkEnd w:id="1"/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  <w:bookmarkEnd w:id="0"/>
      <w:bookmarkEnd w:id="1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orgán: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vložce č. 13052.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„propachtovatel“ na straně jedné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Antonín Mošovský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Olbrachtova 257/9, 350 02 Cheb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</w:t>
        <w:tab/>
        <w:t>18691170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Fyzická osoba je zapsána v evidenci zemědělského podnikatele vedené u Městského úřadu Cheb pod č.j. 034/2005/ZEM.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jen „pachtýř“ na straně druhé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dodatku č. 1 je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  <w:bookmarkEnd w:id="4"/>
      <w:bookmarkEnd w:id="5"/>
      <w:bookmarkEnd w:id="6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bookmarkStart w:id="7" w:name="bookmark7"/>
      <w:bookmarkStart w:id="8" w:name="bookmark8"/>
      <w:bookmarkEnd w:id="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odst. 1. článku II. Podmínky pachtu:</w:t>
      </w:r>
      <w:bookmarkEnd w:id="4"/>
      <w:bookmarkEnd w:id="5"/>
      <w:bookmarkEnd w:id="8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460" w:line="240" w:lineRule="auto"/>
        <w:ind w:left="440" w:right="0" w:hanging="440"/>
        <w:jc w:val="left"/>
      </w:pPr>
      <w:bookmarkStart w:id="9" w:name="bookmark9"/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Propachtovatel přenechává pachtýři k užívání a požívání předmět pachtu na dobu určitou, a to od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1.1.2025 do 31.12.2029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článku III. Pachtovné:</w:t>
      </w:r>
      <w:bookmarkEnd w:id="10"/>
      <w:bookmarkEnd w:id="11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Pachtovné je stanoveno na základě zákona č. 526/1990 Sb., o cenách jako cena smluvní.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line="240" w:lineRule="auto"/>
        <w:ind w:left="440" w:right="0" w:hanging="44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 pozemku je v souladu se zákonem č. 235/2004 Sb., o DPH v platném znění zdaňován platnou sazbou DPH.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Pachtovné je stanoveno ve výši 0,35 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/rok, tj.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13.436,85 Kč/rok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(38391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x 0,35 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/rok).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Roční pachtovné bude hrazeno na základě daňového dokladu vystaveného do 15 dnů ode dne uskutečnění zdanitelného plnění se splatností 14 dnů od data vystavení.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uskutečnění zdanitelného plnění je pro rok 2025 stanoven na den oboustranného podpisu dodatku.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uskutečnění zdanitelného plnění po zbývající dobu platnosti smlouvy je stanoven na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31. květen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kalendářního roku počínaje rokem 2026.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nezaplacení ve lhůtě splatnosti se pachtýř zavazuje zaplatit propachtovateli úrok z prodlení ve výši 0,3 % z dlužné částky za každý den prodlení. Prodlení s platbou pachtovného delší než 30 dnů se považuje za podstatné porušení podmínek této smlouvy a propachtovatel je v takovém případě oprávněn vypovědět tuto smlouvu s okamžitou platností, tj. bez výpovědní doby.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0" w:val="left"/>
        </w:tabs>
        <w:bidi w:val="0"/>
        <w:spacing w:before="0" w:line="240" w:lineRule="auto"/>
        <w:ind w:left="0" w:right="0" w:firstLine="0"/>
        <w:jc w:val="both"/>
      </w:pPr>
      <w:bookmarkStart w:id="21" w:name="bookmark21"/>
      <w:bookmarkStart w:id="22" w:name="bookmark22"/>
      <w:bookmarkStart w:id="23" w:name="bookmark23"/>
      <w:bookmarkStart w:id="24" w:name="bookmark24"/>
      <w:bookmarkEnd w:id="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Doplnění odst. 6 v článku VI. Ostatní závěrečná ustanovení:</w:t>
      </w:r>
      <w:bookmarkEnd w:id="21"/>
      <w:bookmarkEnd w:id="22"/>
      <w:bookmarkEnd w:id="2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440" w:right="0" w:hanging="4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 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je vyhotoven ve čtyřech (4) stejnopisech, z nichž tři (3) obdrží propachtovatel a jeden (1) pachtýř.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1227" w:left="1412" w:right="1410" w:bottom="1603" w:header="799" w:footer="1175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předmětné pachtovní smlouvy nedotčená tímto dodatkem zůstávají v platnosti.</w:t>
      </w:r>
    </w:p>
    <w:p>
      <w:pPr>
        <w:widowControl w:val="0"/>
        <w:spacing w:before="83" w:after="8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0" w:right="0" w:bottom="25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Chomutově dne …………….……..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1524" w:right="2114" w:bottom="2553" w:header="0" w:footer="3" w:gutter="0"/>
          <w:cols w:num="2" w:space="1518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Chebu dne ………….………..…..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0" w:right="0" w:bottom="12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………………………………………….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36" w:left="1413" w:right="1874" w:bottom="1236" w:header="0" w:footer="3" w:gutter="0"/>
          <w:cols w:num="2" w:space="1398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…………………………………………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1236" w:left="1413" w:right="1874" w:bottom="1236" w:header="0" w:footer="3" w:gutter="0"/>
      <w:cols w:num="2" w:space="1398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540"/>
      <w:jc w:val="center"/>
    </w:pPr>
    <w:rPr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20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20"/>
    </w:pPr>
    <w:rPr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 O D A T E K     č</dc:title>
  <dc:subject/>
  <dc:creator>Povodí Ohře a.s.</dc:creator>
  <cp:keywords/>
</cp:coreProperties>
</file>