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>Příloha č. 2</w:t>
      </w:r>
    </w:p>
    <w:p>
      <w:pPr>
        <w:pStyle w:val="Nzev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Smlouvy číslo</w:t>
      </w:r>
      <w:r>
        <w:rPr>
          <w:rFonts w:cs="Arial" w:ascii="Arial" w:hAnsi="Arial"/>
          <w:caps/>
        </w:rPr>
        <w:t xml:space="preserve"> </w:t>
      </w:r>
      <w:r>
        <w:rPr>
          <w:rFonts w:cs="Arial" w:ascii="Arial" w:hAnsi="Arial"/>
          <w:b/>
        </w:rPr>
        <w:t xml:space="preserve">GHAIP004CYZP </w:t>
      </w:r>
      <w:r>
        <w:rPr>
          <w:rFonts w:cs="Arial" w:ascii="Arial" w:hAnsi="Arial"/>
        </w:rPr>
        <w:t>o komplexní podpoře provozu a užití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</w:rPr>
        <w:t xml:space="preserve">informačního systému GINIS Enterprise+, jeho další obnově a rozvoji 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37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18"/>
        <w:gridCol w:w="881"/>
        <w:gridCol w:w="204"/>
        <w:gridCol w:w="1610"/>
        <w:gridCol w:w="1164"/>
      </w:tblGrid>
      <w:tr>
        <w:trPr>
          <w:trHeight w:val="408" w:hRule="atLeast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Cena podpory v Kč</w:t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 DPH</w:t>
            </w:r>
          </w:p>
        </w:tc>
      </w:tr>
      <w:tr>
        <w:trPr>
          <w:trHeight w:val="300" w:hRule="atLeast"/>
        </w:trPr>
        <w:tc>
          <w:tcPr>
            <w:tcW w:w="93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 Údržba (Aktuální verze, update, upgrade, legislativní podpora)</w:t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Údržba </w:t>
            </w:r>
            <w:r>
              <w:rPr>
                <w:rFonts w:cs="Arial" w:ascii="Arial" w:hAnsi="Arial"/>
                <w:sz w:val="18"/>
                <w:szCs w:val="18"/>
              </w:rPr>
              <w:t>(2 hod. / měsíc)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neaplikuje se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  <w:t xml:space="preserve">0,00   </w:t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Cena celkem za údržbu 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neaplikuje se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0,00   </w:t>
            </w:r>
          </w:p>
        </w:tc>
      </w:tr>
      <w:tr>
        <w:trPr>
          <w:trHeight w:val="300" w:hRule="atLeast"/>
        </w:trPr>
        <w:tc>
          <w:tcPr>
            <w:tcW w:w="93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2. Základní podpora (Helpdesk, Hot-Line, Řešení incidentů) </w:t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Hot-line měsíční plnění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HelpDesk měsíční plnění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Cena celkem za základní podporu za 1 měsíc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bottom w:val="single" w:sz="8" w:space="0" w:color="000000"/>
              <w:right w:val="single" w:sz="8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63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3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3.  Rozšířená podpora  </w:t>
            </w:r>
          </w:p>
        </w:tc>
      </w:tr>
      <w:tr>
        <w:trPr>
          <w:trHeight w:val="939" w:hRule="atLeast"/>
        </w:trPr>
        <w:tc>
          <w:tcPr>
            <w:tcW w:w="93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B4C6E7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 případě realizace služeb v rámci rozšířené podpory budou pro výpočet ceny využity jednotkové ceny služeb uvedené níže. Služby bude Zhotovitel realizovat na základě samostatné objednávky/požadavkem v helpdesku.</w:t>
            </w:r>
          </w:p>
        </w:tc>
      </w:tr>
      <w:tr>
        <w:trPr>
          <w:trHeight w:val="300" w:hRule="atLeast"/>
        </w:trPr>
        <w:tc>
          <w:tcPr>
            <w:tcW w:w="55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 DPH</w:t>
            </w:r>
          </w:p>
        </w:tc>
      </w:tr>
      <w:tr>
        <w:trPr>
          <w:trHeight w:val="300" w:hRule="atLeast"/>
        </w:trPr>
        <w:tc>
          <w:tcPr>
            <w:tcW w:w="55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Cena za hodinovou sazbu při řešení požadavků Objednatele (Helpdesk) </w:t>
            </w:r>
          </w:p>
        </w:tc>
        <w:tc>
          <w:tcPr>
            <w:tcW w:w="108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hod.   </w:t>
            </w:r>
          </w:p>
        </w:tc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5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Cena za hodinovou sazbu školení </w:t>
            </w:r>
          </w:p>
        </w:tc>
        <w:tc>
          <w:tcPr>
            <w:tcW w:w="108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hod.  </w:t>
            </w:r>
          </w:p>
        </w:tc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5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Cestovné</w:t>
            </w:r>
          </w:p>
        </w:tc>
        <w:tc>
          <w:tcPr>
            <w:tcW w:w="108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Kč/km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98" w:hRule="exact"/>
        </w:trPr>
        <w:tc>
          <w:tcPr>
            <w:tcW w:w="63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0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Ceny jsou platné i pro vzdálenou správu (mimo cestovného, které se pro vzdálenou správu neuplatňuje).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zev"/>
        <w:rPr>
          <w:rFonts w:ascii="Arial" w:hAnsi="Arial" w:cs="Arial"/>
          <w:b w:val="false"/>
          <w:b w:val="false"/>
          <w:sz w:val="22"/>
          <w:szCs w:val="22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pa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pa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ahoma" w:hAnsi="Tahoma" w:cs="Tahoma"/>
        <w:i/>
        <w:i/>
        <w:sz w:val="18"/>
        <w:szCs w:val="18"/>
      </w:rPr>
    </w:pPr>
    <w:r>
      <w:rPr>
        <w:rFonts w:cs="Tahoma" w:ascii="Tahoma" w:hAnsi="Tahoma"/>
        <w:i/>
        <w:sz w:val="18"/>
        <w:szCs w:val="18"/>
      </w:rPr>
    </w:r>
  </w:p>
  <w:p>
    <w:pPr>
      <w:pStyle w:val="Normal"/>
      <w:jc w:val="center"/>
      <w:rPr>
        <w:rFonts w:ascii="Tahoma" w:hAnsi="Tahoma" w:cs="Tahoma"/>
        <w:i/>
        <w:i/>
        <w:sz w:val="18"/>
        <w:szCs w:val="18"/>
      </w:rPr>
    </w:pPr>
    <w:r>
      <w:rPr>
        <w:rFonts w:cs="Tahoma" w:ascii="Tahoma" w:hAnsi="Tahoma"/>
        <w:i/>
        <w:sz w:val="18"/>
        <w:szCs w:val="18"/>
      </w:rPr>
      <w:t>Příloha č. 2 Smlouvy č.</w:t>
    </w:r>
    <w:r>
      <w:rPr>
        <w:i/>
        <w:caps/>
        <w:sz w:val="32"/>
      </w:rPr>
      <w:t xml:space="preserve"> </w:t>
    </w:r>
    <w:r>
      <w:rPr>
        <w:rFonts w:cs="Tahoma" w:ascii="Tahoma" w:hAnsi="Tahoma"/>
        <w:i/>
        <w:caps/>
        <w:sz w:val="18"/>
        <w:szCs w:val="18"/>
      </w:rPr>
      <w:t xml:space="preserve">GHAIP004CYZP </w:t>
    </w:r>
    <w:r>
      <w:rPr>
        <w:rFonts w:cs="Tahoma" w:ascii="Tahoma" w:hAnsi="Tahoma"/>
        <w:i/>
        <w:sz w:val="18"/>
        <w:szCs w:val="18"/>
      </w:rPr>
      <w:t xml:space="preserve">o komplexní podpoře provozu a užití </w:t>
    </w:r>
  </w:p>
  <w:p>
    <w:pPr>
      <w:pStyle w:val="Normal"/>
      <w:jc w:val="center"/>
      <w:rPr>
        <w:rFonts w:ascii="Tahoma" w:hAnsi="Tahoma" w:cs="Tahoma"/>
        <w:i/>
        <w:i/>
        <w:sz w:val="18"/>
        <w:szCs w:val="18"/>
      </w:rPr>
    </w:pPr>
    <w:r>
      <w:rPr>
        <w:rFonts w:cs="Tahoma" w:ascii="Tahoma" w:hAnsi="Tahoma"/>
        <w:i/>
        <w:sz w:val="18"/>
        <w:szCs w:val="18"/>
      </w:rPr>
      <w:t>informačního systému GINIS Enterprise, jeho další obnově a rozvoji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ahoma" w:hAnsi="Tahoma" w:cs="Tahoma"/>
        <w:i/>
        <w:i/>
        <w:sz w:val="18"/>
        <w:szCs w:val="18"/>
      </w:rPr>
    </w:pPr>
    <w:r>
      <w:rPr>
        <w:rFonts w:cs="Tahoma" w:ascii="Tahoma" w:hAnsi="Tahoma"/>
        <w:i/>
        <w:sz w:val="18"/>
        <w:szCs w:val="18"/>
      </w:rPr>
    </w:r>
  </w:p>
  <w:p>
    <w:pPr>
      <w:pStyle w:val="Normal"/>
      <w:jc w:val="center"/>
      <w:rPr>
        <w:rFonts w:ascii="Tahoma" w:hAnsi="Tahoma" w:cs="Tahoma"/>
        <w:i/>
        <w:i/>
        <w:sz w:val="18"/>
        <w:szCs w:val="18"/>
      </w:rPr>
    </w:pPr>
    <w:r>
      <w:rPr>
        <w:rFonts w:cs="Tahoma" w:ascii="Tahoma" w:hAnsi="Tahoma"/>
        <w:i/>
        <w:sz w:val="18"/>
        <w:szCs w:val="18"/>
      </w:rPr>
      <w:t>Příloha č. 2 Smlouvy č.</w:t>
    </w:r>
    <w:r>
      <w:rPr>
        <w:i/>
        <w:caps/>
        <w:sz w:val="32"/>
      </w:rPr>
      <w:t xml:space="preserve"> </w:t>
    </w:r>
    <w:r>
      <w:rPr>
        <w:rFonts w:cs="Tahoma" w:ascii="Tahoma" w:hAnsi="Tahoma"/>
        <w:i/>
        <w:caps/>
        <w:sz w:val="18"/>
        <w:szCs w:val="18"/>
      </w:rPr>
      <w:t xml:space="preserve">GHAIP004CYZP </w:t>
    </w:r>
    <w:r>
      <w:rPr>
        <w:rFonts w:cs="Tahoma" w:ascii="Tahoma" w:hAnsi="Tahoma"/>
        <w:i/>
        <w:sz w:val="18"/>
        <w:szCs w:val="18"/>
      </w:rPr>
      <w:t xml:space="preserve">o komplexní podpoře provozu a užití </w:t>
    </w:r>
  </w:p>
  <w:p>
    <w:pPr>
      <w:pStyle w:val="Normal"/>
      <w:jc w:val="center"/>
      <w:rPr>
        <w:rFonts w:ascii="Tahoma" w:hAnsi="Tahoma" w:cs="Tahoma"/>
        <w:i/>
        <w:i/>
        <w:sz w:val="18"/>
        <w:szCs w:val="18"/>
      </w:rPr>
    </w:pPr>
    <w:r>
      <w:rPr>
        <w:rFonts w:cs="Tahoma" w:ascii="Tahoma" w:hAnsi="Tahoma"/>
        <w:i/>
        <w:sz w:val="18"/>
        <w:szCs w:val="18"/>
      </w:rPr>
      <w:t>informačního systému GINIS Enterprise, jeho další obnově a rozvoji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>
        <w:rFonts w:cs="Arial" w:ascii="Arial" w:hAnsi="Arial"/>
        <w:i/>
        <w:sz w:val="16"/>
        <w:szCs w:val="16"/>
      </w:rPr>
      <w:tab/>
      <w:tab/>
      <w:t xml:space="preserve">Strana </w:t>
    </w:r>
    <w:r>
      <w:rPr>
        <w:rFonts w:cs="Arial" w:ascii="Arial" w:hAnsi="Arial"/>
        <w:i/>
        <w:sz w:val="16"/>
        <w:szCs w:val="16"/>
      </w:rPr>
      <w:fldChar w:fldCharType="begin"/>
    </w:r>
    <w:r>
      <w:rPr>
        <w:sz w:val="16"/>
        <w:i/>
        <w:szCs w:val="16"/>
        <w:rFonts w:cs="Arial" w:ascii="Arial" w:hAnsi="Arial"/>
      </w:rPr>
      <w:instrText xml:space="preserve"> PAGE </w:instrText>
    </w:r>
    <w:r>
      <w:rPr>
        <w:sz w:val="16"/>
        <w:i/>
        <w:szCs w:val="16"/>
        <w:rFonts w:cs="Arial" w:ascii="Arial" w:hAnsi="Arial"/>
      </w:rPr>
      <w:fldChar w:fldCharType="separate"/>
    </w:r>
    <w:r>
      <w:rPr>
        <w:sz w:val="16"/>
        <w:i/>
        <w:szCs w:val="16"/>
        <w:rFonts w:cs="Arial" w:ascii="Arial" w:hAnsi="Arial"/>
      </w:rPr>
      <w:t>1</w:t>
    </w:r>
    <w:r>
      <w:rPr>
        <w:sz w:val="16"/>
        <w:i/>
        <w:szCs w:val="16"/>
        <w:rFonts w:cs="Arial" w:ascii="Arial" w:hAnsi="Arial"/>
      </w:rPr>
      <w:fldChar w:fldCharType="end"/>
    </w:r>
    <w:r>
      <w:rPr>
        <w:rFonts w:cs="Arial" w:ascii="Arial" w:hAnsi="Arial"/>
        <w:i/>
        <w:sz w:val="16"/>
        <w:szCs w:val="16"/>
      </w:rPr>
      <w:t xml:space="preserve"> z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caps/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effect w:val="none"/>
        <w:szCs w:val="26"/>
        <w:vanish w:val="false"/>
        <w:color w:val="365F91" w:themeColor="accent1" w:themeShade="bf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sz w:val="22"/>
        <w:i w:val="false"/>
        <w:b w:val="false"/>
        <w:rFonts w:ascii="Calibri Light" w:hAnsi="Calibri Light" w:cs="Calibri Ligh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sz w:val="22"/>
        <w:i w:val="false"/>
        <w:b w:val="false"/>
        <w:szCs w:val="22"/>
        <w:rFonts w:ascii="Calibri Light" w:hAnsi="Calibri Light" w:cs="Calibri Light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/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szCs w:val="0"/>
        <w:iCs w:val="false"/>
        <w:bCs w:val="false"/>
        <w:em w:val="none"/>
        <w:w w:val="100"/>
        <w:vanish w:val="false"/>
        <w:rFonts w:ascii="Tahoma" w:hAnsi="Tahoma" w:cs="Tahoma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18"/>
        <w:i w:val="false"/>
        <w:b w:val="false"/>
        <w:szCs w:val="18"/>
        <w:rFonts w:ascii="Tahoma" w:hAnsi="Tahoma" w:cs="Tahom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22e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c42cb0"/>
    <w:pPr>
      <w:keepNext w:val="true"/>
      <w:keepLines/>
      <w:numPr>
        <w:ilvl w:val="0"/>
        <w:numId w:val="1"/>
      </w:numPr>
      <w:spacing w:lineRule="auto" w:line="252" w:before="240" w:after="120"/>
      <w:jc w:val="both"/>
      <w:outlineLvl w:val="1"/>
    </w:pPr>
    <w:rPr>
      <w:rFonts w:ascii="Calibri" w:hAnsi="Calibri" w:eastAsia="" w:cs="Calibri Light" w:asciiTheme="minorHAnsi" w:eastAsiaTheme="majorEastAsia" w:hAnsiTheme="minorHAnsi"/>
      <w:color w:val="244061" w:themeColor="accent1" w:themeShade="80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qFormat/>
    <w:rsid w:val="00983b40"/>
    <w:rPr>
      <w:sz w:val="16"/>
      <w:szCs w:val="16"/>
    </w:rPr>
  </w:style>
  <w:style w:type="character" w:styleId="Pagenumber">
    <w:name w:val="page number"/>
    <w:basedOn w:val="DefaultParagraphFont"/>
    <w:qFormat/>
    <w:rsid w:val="00da4261"/>
    <w:rPr/>
  </w:style>
  <w:style w:type="character" w:styleId="Zdraznn">
    <w:name w:val="Emphasis"/>
    <w:basedOn w:val="DefaultParagraphFont"/>
    <w:uiPriority w:val="20"/>
    <w:qFormat/>
    <w:rsid w:val="00450ab3"/>
    <w:rPr>
      <w:i/>
      <w:iCs/>
    </w:rPr>
  </w:style>
  <w:style w:type="character" w:styleId="Nadpis2Char" w:customStyle="1">
    <w:name w:val="Nadpis 2 Char"/>
    <w:basedOn w:val="DefaultParagraphFont"/>
    <w:uiPriority w:val="9"/>
    <w:semiHidden/>
    <w:qFormat/>
    <w:rsid w:val="00c42cb0"/>
    <w:rPr>
      <w:rFonts w:ascii="Calibri" w:hAnsi="Calibri" w:eastAsia="" w:cs="Calibri Light" w:asciiTheme="minorHAnsi" w:eastAsiaTheme="majorEastAsia" w:hAnsiTheme="minorHAnsi"/>
      <w:color w:val="244061" w:themeColor="accent1" w:themeShade="80"/>
      <w:sz w:val="28"/>
      <w:szCs w:val="26"/>
      <w:lang w:eastAsia="en-US"/>
    </w:rPr>
  </w:style>
  <w:style w:type="character" w:styleId="NadpisG3Char" w:customStyle="1">
    <w:name w:val="Nadpis G3 Char"/>
    <w:basedOn w:val="DefaultParagraphFont"/>
    <w:link w:val="NadpisG3"/>
    <w:qFormat/>
    <w:locked/>
    <w:rsid w:val="00c42cb0"/>
    <w:rPr>
      <w:rFonts w:ascii="Calibri" w:hAnsi="Calibri" w:cs="Calibri" w:asciiTheme="minorHAnsi" w:hAnsiTheme="minorHAnsi"/>
      <w:b/>
      <w:color w:val="1F497D" w:themeColor="text2"/>
      <w:sz w:val="22"/>
      <w:szCs w:val="24"/>
    </w:rPr>
  </w:style>
  <w:style w:type="character" w:styleId="OdstavecseseznamemChar" w:customStyle="1">
    <w:name w:val="Odstavec se seznamem Char"/>
    <w:link w:val="ListParagraph"/>
    <w:uiPriority w:val="34"/>
    <w:qFormat/>
    <w:rsid w:val="00ef51a1"/>
    <w:rPr>
      <w:rFonts w:ascii="Arial" w:hAnsi="Arial" w:cs="Arial"/>
      <w:sz w:val="18"/>
      <w:szCs w:val="18"/>
      <w:lang w:val="en-GB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rsid w:val="00e22e4b"/>
    <w:pPr/>
    <w:rPr>
      <w:b/>
      <w:bCs/>
      <w:sz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zev">
    <w:name w:val="Title"/>
    <w:basedOn w:val="Normal"/>
    <w:qFormat/>
    <w:rsid w:val="00e22e4b"/>
    <w:pPr>
      <w:jc w:val="center"/>
    </w:pPr>
    <w:rPr>
      <w:b/>
      <w:bCs/>
      <w:sz w:val="32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e22e4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e22e4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semiHidden/>
    <w:qFormat/>
    <w:rsid w:val="00983b4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983b40"/>
    <w:pPr/>
    <w:rPr>
      <w:b/>
      <w:bCs/>
    </w:rPr>
  </w:style>
  <w:style w:type="paragraph" w:styleId="BalloonText">
    <w:name w:val="Balloon Text"/>
    <w:basedOn w:val="Normal"/>
    <w:semiHidden/>
    <w:qFormat/>
    <w:rsid w:val="00983b40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1463b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G3" w:customStyle="1">
    <w:name w:val="Nadpis G3"/>
    <w:basedOn w:val="Normal"/>
    <w:link w:val="NadpisG3Char"/>
    <w:qFormat/>
    <w:rsid w:val="00c42cb0"/>
    <w:pPr>
      <w:numPr>
        <w:ilvl w:val="1"/>
        <w:numId w:val="1"/>
      </w:numPr>
      <w:spacing w:lineRule="exact" w:line="280" w:before="120" w:after="120"/>
      <w:jc w:val="both"/>
    </w:pPr>
    <w:rPr>
      <w:rFonts w:ascii="Calibri" w:hAnsi="Calibri" w:cs="Calibri" w:asciiTheme="minorHAnsi" w:hAnsiTheme="minorHAnsi"/>
      <w:b/>
      <w:color w:val="1F497D" w:themeColor="text2"/>
      <w:sz w:val="22"/>
    </w:rPr>
  </w:style>
  <w:style w:type="paragraph" w:styleId="ListParagraph">
    <w:name w:val="List Paragraph"/>
    <w:basedOn w:val="Normal"/>
    <w:link w:val="OdstavecseseznamemChar"/>
    <w:uiPriority w:val="34"/>
    <w:qFormat/>
    <w:rsid w:val="00ef51a1"/>
    <w:pPr>
      <w:numPr>
        <w:ilvl w:val="1"/>
        <w:numId w:val="2"/>
      </w:numPr>
      <w:ind w:left="709" w:hanging="709"/>
    </w:pPr>
    <w:rPr>
      <w:rFonts w:ascii="Arial" w:hAnsi="Arial" w:cs="Arial"/>
      <w:sz w:val="18"/>
      <w:szCs w:val="18"/>
      <w:lang w:val="en-GB"/>
    </w:rPr>
  </w:style>
  <w:style w:type="paragraph" w:styleId="Nadpis1" w:customStyle="1">
    <w:name w:val="Nadpis1"/>
    <w:basedOn w:val="Normal"/>
    <w:uiPriority w:val="99"/>
    <w:qFormat/>
    <w:rsid w:val="00ef51a1"/>
    <w:pPr>
      <w:numPr>
        <w:ilvl w:val="0"/>
        <w:numId w:val="2"/>
      </w:numPr>
    </w:pPr>
    <w:rPr>
      <w:rFonts w:ascii="Tahoma" w:hAnsi="Tahoma" w:cs="Tahoma"/>
      <w:b/>
      <w:sz w:val="20"/>
      <w:szCs w:val="20"/>
    </w:rPr>
  </w:style>
  <w:style w:type="paragraph" w:styleId="Nadpis3" w:customStyle="1">
    <w:name w:val="Nadpis3"/>
    <w:basedOn w:val="Normal"/>
    <w:uiPriority w:val="99"/>
    <w:qFormat/>
    <w:rsid w:val="00ef51a1"/>
    <w:pPr>
      <w:numPr>
        <w:ilvl w:val="2"/>
        <w:numId w:val="2"/>
      </w:numPr>
    </w:pPr>
    <w:rPr>
      <w:rFonts w:ascii="Tahoma" w:hAnsi="Tahoma" w:cs="Tahoma"/>
      <w:i/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5b4f9a-9f74-479c-9b75-2cf38e874b7b">
      <Terms xmlns="http://schemas.microsoft.com/office/infopath/2007/PartnerControls"/>
    </lcf76f155ced4ddcb4097134ff3c332f>
    <TaxCatchAll xmlns="9bb0da28-0e93-474e-bb63-ed708c0cdc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2F2BBD637704B8BCA4DE444F3B187" ma:contentTypeVersion="12" ma:contentTypeDescription="Vytvoří nový dokument" ma:contentTypeScope="" ma:versionID="a66bd7783c91ad03d3904fe4c2258744">
  <xsd:schema xmlns:xsd="http://www.w3.org/2001/XMLSchema" xmlns:xs="http://www.w3.org/2001/XMLSchema" xmlns:p="http://schemas.microsoft.com/office/2006/metadata/properties" xmlns:ns2="ad5b4f9a-9f74-479c-9b75-2cf38e874b7b" xmlns:ns3="9bb0da28-0e93-474e-bb63-ed708c0cdc9a" targetNamespace="http://schemas.microsoft.com/office/2006/metadata/properties" ma:root="true" ma:fieldsID="236be839c01ada6193e8ac048fcc59df" ns2:_="" ns3:_="">
    <xsd:import namespace="ad5b4f9a-9f74-479c-9b75-2cf38e874b7b"/>
    <xsd:import namespace="9bb0da28-0e93-474e-bb63-ed708c0cdc9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4f9a-9f74-479c-9b75-2cf38e874b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87981de6-c8cb-4470-bd83-03461ca59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da28-0e93-474e-bb63-ed708c0cdc9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7ec192-ccba-46fc-a24c-b0b8180557bb}" ma:internalName="TaxCatchAll" ma:showField="CatchAllData" ma:web="9bb0da28-0e93-474e-bb63-ed708c0cd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74943-4B9B-436C-822D-8833C22FBE0B}">
  <ds:schemaRefs>
    <ds:schemaRef ds:uri="http://schemas.microsoft.com/office/2006/metadata/properties"/>
    <ds:schemaRef ds:uri="http://schemas.microsoft.com/office/infopath/2007/PartnerControls"/>
    <ds:schemaRef ds:uri="ad5b4f9a-9f74-479c-9b75-2cf38e874b7b"/>
    <ds:schemaRef ds:uri="9bb0da28-0e93-474e-bb63-ed708c0cdc9a"/>
  </ds:schemaRefs>
</ds:datastoreItem>
</file>

<file path=customXml/itemProps2.xml><?xml version="1.0" encoding="utf-8"?>
<ds:datastoreItem xmlns:ds="http://schemas.openxmlformats.org/officeDocument/2006/customXml" ds:itemID="{82ED5C0C-914F-4369-A00C-C37AF1D79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b4f9a-9f74-479c-9b75-2cf38e874b7b"/>
    <ds:schemaRef ds:uri="9bb0da28-0e93-474e-bb63-ed708c0c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1B249-689B-42D2-BF3E-2B2B4A802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LibreOffice/7.4.0.3$Windows_X86_64 LibreOffice_project/f85e47c08ddd19c015c0114a68350214f7066f5a</Application>
  <AppVersion>15.0000</AppVersion>
  <Pages>1</Pages>
  <Words>190</Words>
  <Characters>1072</Characters>
  <CharactersWithSpaces>1271</CharactersWithSpaces>
  <Paragraphs>51</Paragraphs>
  <Company>HAiDA s.r.o.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2022-04-28T10:11:00Z</dcterms:created>
  <dc:creator>Mgr. Luboš Socha</dc:creator>
  <dc:description/>
  <dc:language>cs-CZ</dc:language>
  <cp:lastModifiedBy/>
  <cp:lastPrinted>2006-06-14T14:57:00Z</cp:lastPrinted>
  <dcterms:modified xsi:type="dcterms:W3CDTF">2025-02-20T12:12:32Z</dcterms:modified>
  <cp:revision>41</cp:revision>
  <dc:subject/>
  <dc:title>Příloha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0x0101000D12F2BBD637704B8BCA4DE444F3B187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