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7BFD69AC"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9446DF">
        <w:rPr>
          <w:rFonts w:ascii="Arial" w:hAnsi="Arial" w:cs="Arial"/>
          <w:bCs/>
        </w:rPr>
        <w:t>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6FAB75A" w14:textId="77777777" w:rsidR="009B4FCF" w:rsidRPr="006F522E" w:rsidRDefault="009B4FCF" w:rsidP="009B4FCF">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proofErr w:type="spellStart"/>
      <w:r w:rsidRPr="006F522E">
        <w:rPr>
          <w:rFonts w:ascii="Arial" w:hAnsi="Arial" w:cs="Arial"/>
          <w:b/>
          <w:bCs/>
        </w:rPr>
        <w:t>EMstav</w:t>
      </w:r>
      <w:proofErr w:type="spellEnd"/>
      <w:proofErr w:type="gramEnd"/>
      <w:r w:rsidRPr="006F522E">
        <w:rPr>
          <w:rFonts w:ascii="Arial" w:hAnsi="Arial" w:cs="Arial"/>
          <w:b/>
          <w:bCs/>
        </w:rPr>
        <w:t xml:space="preserve"> Lučina s.r.o.</w:t>
      </w:r>
    </w:p>
    <w:p w14:paraId="2B58A7E0" w14:textId="77777777" w:rsidR="009B4FCF" w:rsidRPr="006F522E" w:rsidRDefault="009B4FCF" w:rsidP="009B4FCF">
      <w:pPr>
        <w:tabs>
          <w:tab w:val="left" w:pos="2268"/>
        </w:tabs>
        <w:rPr>
          <w:rFonts w:ascii="Arial" w:hAnsi="Arial" w:cs="Arial"/>
          <w:bCs/>
        </w:rPr>
      </w:pPr>
      <w:r w:rsidRPr="006F522E">
        <w:rPr>
          <w:rFonts w:ascii="Arial" w:hAnsi="Arial" w:cs="Arial"/>
          <w:bCs/>
        </w:rPr>
        <w:t>Se sídlem :</w:t>
      </w:r>
      <w:r w:rsidRPr="006F522E">
        <w:rPr>
          <w:rFonts w:ascii="Arial" w:hAnsi="Arial" w:cs="Arial"/>
          <w:bCs/>
        </w:rPr>
        <w:tab/>
      </w:r>
      <w:proofErr w:type="gramStart"/>
      <w:r w:rsidRPr="006F522E">
        <w:rPr>
          <w:rFonts w:ascii="Arial" w:hAnsi="Arial" w:cs="Arial"/>
          <w:bCs/>
        </w:rPr>
        <w:t>č.p.</w:t>
      </w:r>
      <w:proofErr w:type="gramEnd"/>
      <w:r w:rsidRPr="006F522E">
        <w:rPr>
          <w:rFonts w:ascii="Arial" w:hAnsi="Arial" w:cs="Arial"/>
          <w:bCs/>
        </w:rPr>
        <w:t xml:space="preserve"> 120, 739 39 Lučina</w:t>
      </w:r>
    </w:p>
    <w:p w14:paraId="032D0E5A"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t>Radimem</w:t>
      </w:r>
      <w:proofErr w:type="gramEnd"/>
      <w:r w:rsidRPr="006F522E">
        <w:rPr>
          <w:rFonts w:ascii="Arial" w:hAnsi="Arial" w:cs="Arial"/>
          <w:bCs/>
        </w:rPr>
        <w:t xml:space="preserve"> </w:t>
      </w:r>
      <w:proofErr w:type="spellStart"/>
      <w:r w:rsidRPr="006F522E">
        <w:rPr>
          <w:rFonts w:ascii="Arial" w:hAnsi="Arial" w:cs="Arial"/>
          <w:bCs/>
        </w:rPr>
        <w:t>Kývalou</w:t>
      </w:r>
      <w:proofErr w:type="spellEnd"/>
      <w:r w:rsidRPr="006F522E">
        <w:rPr>
          <w:rFonts w:ascii="Arial" w:hAnsi="Arial" w:cs="Arial"/>
          <w:bCs/>
        </w:rPr>
        <w:t>, jednatelem společnosti</w:t>
      </w:r>
    </w:p>
    <w:p w14:paraId="728C3B3B"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t>09227873</w:t>
      </w:r>
    </w:p>
    <w:p w14:paraId="08C92A8B" w14:textId="77777777" w:rsidR="009B4FCF" w:rsidRPr="006F522E" w:rsidRDefault="009B4FCF" w:rsidP="009B4FCF">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CZ09227873</w:t>
      </w:r>
      <w:proofErr w:type="gramEnd"/>
    </w:p>
    <w:p w14:paraId="2871D477"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zapsán v obchodním rejstříku u Krajského soudu v Ostravě pod </w:t>
      </w:r>
      <w:proofErr w:type="spellStart"/>
      <w:r w:rsidRPr="006F522E">
        <w:rPr>
          <w:rFonts w:ascii="Arial" w:hAnsi="Arial" w:cs="Arial"/>
          <w:bCs/>
        </w:rPr>
        <w:t>sp</w:t>
      </w:r>
      <w:proofErr w:type="spellEnd"/>
      <w:r w:rsidRPr="006F522E">
        <w:rPr>
          <w:rFonts w:ascii="Arial" w:hAnsi="Arial" w:cs="Arial"/>
          <w:bCs/>
        </w:rPr>
        <w:t>. zn. C 82475</w:t>
      </w:r>
    </w:p>
    <w:p w14:paraId="31F09506"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Bankovní </w:t>
      </w:r>
      <w:proofErr w:type="gramStart"/>
      <w:r w:rsidRPr="006F522E">
        <w:rPr>
          <w:rFonts w:ascii="Arial" w:hAnsi="Arial" w:cs="Arial"/>
          <w:bCs/>
        </w:rPr>
        <w:t>spojení :</w:t>
      </w:r>
      <w:r w:rsidRPr="006F522E">
        <w:rPr>
          <w:rFonts w:ascii="Arial" w:hAnsi="Arial" w:cs="Arial"/>
          <w:bCs/>
        </w:rPr>
        <w:tab/>
        <w:t>MONETA</w:t>
      </w:r>
      <w:proofErr w:type="gramEnd"/>
      <w:r w:rsidRPr="006F522E">
        <w:rPr>
          <w:rFonts w:ascii="Arial" w:hAnsi="Arial" w:cs="Arial"/>
          <w:bCs/>
        </w:rPr>
        <w:t xml:space="preserve"> Money Bank, a.s.</w:t>
      </w:r>
    </w:p>
    <w:p w14:paraId="7591DF11" w14:textId="77777777" w:rsidR="009B4FCF" w:rsidRPr="006F522E" w:rsidRDefault="009B4FCF" w:rsidP="009B4FCF">
      <w:pPr>
        <w:tabs>
          <w:tab w:val="left" w:pos="2268"/>
        </w:tabs>
        <w:rPr>
          <w:rFonts w:ascii="Arial" w:hAnsi="Arial" w:cs="Arial"/>
          <w:bCs/>
        </w:rPr>
      </w:pPr>
      <w:r w:rsidRPr="006F522E">
        <w:rPr>
          <w:rFonts w:ascii="Arial" w:hAnsi="Arial" w:cs="Arial"/>
          <w:bCs/>
        </w:rPr>
        <w:t xml:space="preserve">Číslo </w:t>
      </w:r>
      <w:proofErr w:type="gramStart"/>
      <w:r w:rsidRPr="006F522E">
        <w:rPr>
          <w:rFonts w:ascii="Arial" w:hAnsi="Arial" w:cs="Arial"/>
          <w:bCs/>
        </w:rPr>
        <w:t xml:space="preserve">účtu :  </w:t>
      </w:r>
      <w:r w:rsidRPr="006F522E">
        <w:rPr>
          <w:rFonts w:ascii="Arial" w:hAnsi="Arial" w:cs="Arial"/>
          <w:bCs/>
        </w:rPr>
        <w:tab/>
        <w:t>235163445/0600</w:t>
      </w:r>
      <w:proofErr w:type="gramEnd"/>
    </w:p>
    <w:p w14:paraId="782791D9" w14:textId="77777777" w:rsidR="009B4FCF" w:rsidRPr="006F522E" w:rsidRDefault="009B4FCF" w:rsidP="009B4FCF">
      <w:pPr>
        <w:rPr>
          <w:rFonts w:ascii="Arial" w:hAnsi="Arial" w:cs="Arial"/>
          <w:bCs/>
        </w:rPr>
      </w:pPr>
      <w:r w:rsidRPr="006F522E">
        <w:rPr>
          <w:rFonts w:ascii="Arial" w:hAnsi="Arial" w:cs="Arial"/>
          <w:bCs/>
        </w:rPr>
        <w:t>Zástupce ve věcech smluvních</w:t>
      </w:r>
    </w:p>
    <w:p w14:paraId="2EB966B3" w14:textId="027F2654" w:rsidR="00F427A4" w:rsidRPr="007F4C5F" w:rsidRDefault="009B4FCF" w:rsidP="00F427A4">
      <w:pPr>
        <w:rPr>
          <w:rFonts w:ascii="Arial" w:hAnsi="Arial" w:cs="Arial"/>
          <w:bCs/>
        </w:rPr>
      </w:pPr>
      <w:r w:rsidRPr="006F522E">
        <w:rPr>
          <w:rFonts w:ascii="Arial" w:hAnsi="Arial" w:cs="Arial"/>
          <w:bCs/>
        </w:rPr>
        <w:t>a  technických - stavbyvedoucí : Radim Kývala</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3473D83C"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4D0691">
        <w:rPr>
          <w:rFonts w:ascii="Arial" w:hAnsi="Arial" w:cs="Arial"/>
          <w:b/>
          <w:sz w:val="22"/>
          <w:szCs w:val="22"/>
        </w:rPr>
        <w:t>2</w:t>
      </w:r>
      <w:r w:rsidR="009B4FCF">
        <w:rPr>
          <w:rFonts w:ascii="Arial" w:hAnsi="Arial" w:cs="Arial"/>
          <w:b/>
          <w:sz w:val="22"/>
          <w:szCs w:val="22"/>
        </w:rPr>
        <w:t>2</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9B4FCF">
        <w:rPr>
          <w:rFonts w:ascii="Arial" w:hAnsi="Arial" w:cs="Arial"/>
          <w:b/>
          <w:sz w:val="22"/>
          <w:szCs w:val="22"/>
        </w:rPr>
        <w:t>783</w:t>
      </w:r>
      <w:r w:rsidRPr="0052236E">
        <w:rPr>
          <w:rFonts w:ascii="Arial" w:hAnsi="Arial" w:cs="Arial"/>
          <w:b/>
          <w:sz w:val="22"/>
          <w:szCs w:val="22"/>
        </w:rPr>
        <w:t xml:space="preserve"> na ulici </w:t>
      </w:r>
      <w:proofErr w:type="spellStart"/>
      <w:r w:rsidR="009B4FCF">
        <w:rPr>
          <w:rFonts w:ascii="Arial" w:hAnsi="Arial" w:cs="Arial"/>
          <w:b/>
          <w:sz w:val="22"/>
          <w:szCs w:val="22"/>
        </w:rPr>
        <w:t>Trlicova</w:t>
      </w:r>
      <w:proofErr w:type="spellEnd"/>
      <w:r w:rsidR="009B4FCF">
        <w:rPr>
          <w:rFonts w:ascii="Arial" w:hAnsi="Arial" w:cs="Arial"/>
          <w:b/>
          <w:sz w:val="22"/>
          <w:szCs w:val="22"/>
        </w:rPr>
        <w:t xml:space="preserve"> 10</w:t>
      </w:r>
      <w:r w:rsidR="004D0691">
        <w:rPr>
          <w:rFonts w:ascii="Arial" w:hAnsi="Arial" w:cs="Arial"/>
          <w:b/>
          <w:sz w:val="22"/>
          <w:szCs w:val="22"/>
        </w:rPr>
        <w:t xml:space="preserve"> </w:t>
      </w:r>
      <w:r w:rsidRPr="0052236E">
        <w:rPr>
          <w:rFonts w:ascii="Arial" w:hAnsi="Arial" w:cs="Arial"/>
          <w:b/>
          <w:sz w:val="22"/>
          <w:szCs w:val="22"/>
        </w:rPr>
        <w:t>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1DCBDF0E"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9B4FCF">
        <w:rPr>
          <w:rFonts w:ascii="Arial" w:hAnsi="Arial" w:cs="Arial"/>
          <w:sz w:val="22"/>
          <w:szCs w:val="22"/>
        </w:rPr>
        <w:t>2</w:t>
      </w:r>
      <w:r w:rsidR="004D0691">
        <w:rPr>
          <w:rFonts w:ascii="Arial" w:hAnsi="Arial" w:cs="Arial"/>
          <w:sz w:val="22"/>
          <w:szCs w:val="22"/>
        </w:rPr>
        <w:t>2</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4D0691">
        <w:rPr>
          <w:rFonts w:ascii="Arial" w:hAnsi="Arial" w:cs="Arial"/>
          <w:sz w:val="22"/>
          <w:szCs w:val="22"/>
        </w:rPr>
        <w:t>2</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w:t>
      </w:r>
      <w:r w:rsidR="006232EB">
        <w:rPr>
          <w:rFonts w:ascii="Arial" w:hAnsi="Arial" w:cs="Arial"/>
          <w:sz w:val="22"/>
          <w:szCs w:val="22"/>
        </w:rPr>
        <w:t>48</w:t>
      </w:r>
      <w:r w:rsidR="005968A4">
        <w:rPr>
          <w:rFonts w:ascii="Arial" w:hAnsi="Arial" w:cs="Arial"/>
          <w:sz w:val="22"/>
          <w:szCs w:val="22"/>
        </w:rPr>
        <w:t>,</w:t>
      </w:r>
      <w:r w:rsidR="009B4FCF">
        <w:rPr>
          <w:rFonts w:ascii="Arial" w:hAnsi="Arial" w:cs="Arial"/>
          <w:sz w:val="22"/>
          <w:szCs w:val="22"/>
        </w:rPr>
        <w:t>60</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B312E3">
        <w:rPr>
          <w:rFonts w:ascii="Arial" w:hAnsi="Arial" w:cs="Arial"/>
          <w:sz w:val="22"/>
          <w:szCs w:val="22"/>
        </w:rPr>
        <w:t>1</w:t>
      </w:r>
      <w:r w:rsidR="009B4FCF">
        <w:rPr>
          <w:rFonts w:ascii="Arial" w:hAnsi="Arial" w:cs="Arial"/>
          <w:sz w:val="22"/>
          <w:szCs w:val="22"/>
        </w:rPr>
        <w:t>783</w:t>
      </w:r>
      <w:r w:rsidR="005968A4">
        <w:rPr>
          <w:rFonts w:ascii="Arial" w:hAnsi="Arial" w:cs="Arial"/>
          <w:sz w:val="22"/>
          <w:szCs w:val="22"/>
        </w:rPr>
        <w:t xml:space="preserve"> </w:t>
      </w:r>
      <w:r w:rsidR="005968A4" w:rsidRPr="007F4C5F">
        <w:rPr>
          <w:rFonts w:ascii="Arial" w:hAnsi="Arial" w:cs="Arial"/>
          <w:sz w:val="22"/>
          <w:szCs w:val="22"/>
        </w:rPr>
        <w:t>na ulici</w:t>
      </w:r>
      <w:r w:rsidR="005968A4">
        <w:rPr>
          <w:rFonts w:ascii="Arial" w:hAnsi="Arial" w:cs="Arial"/>
          <w:sz w:val="22"/>
          <w:szCs w:val="22"/>
        </w:rPr>
        <w:t xml:space="preserve"> </w:t>
      </w:r>
      <w:proofErr w:type="spellStart"/>
      <w:r w:rsidR="009B4FCF">
        <w:rPr>
          <w:rFonts w:ascii="Arial" w:hAnsi="Arial" w:cs="Arial"/>
          <w:sz w:val="22"/>
          <w:szCs w:val="22"/>
        </w:rPr>
        <w:t>Trlicova</w:t>
      </w:r>
      <w:proofErr w:type="spellEnd"/>
      <w:r w:rsidR="009B4FCF">
        <w:rPr>
          <w:rFonts w:ascii="Arial" w:hAnsi="Arial" w:cs="Arial"/>
          <w:sz w:val="22"/>
          <w:szCs w:val="22"/>
        </w:rPr>
        <w:t xml:space="preserve"> 10</w:t>
      </w:r>
      <w:r w:rsidR="005968A4">
        <w:rPr>
          <w:rFonts w:ascii="Arial" w:hAnsi="Arial" w:cs="Arial"/>
          <w:sz w:val="22"/>
          <w:szCs w:val="22"/>
        </w:rPr>
        <w:t xml:space="preserve">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781C7C">
      <w:pPr>
        <w:tabs>
          <w:tab w:val="left" w:pos="1134"/>
        </w:tabs>
        <w:ind w:left="709"/>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w:t>
      </w:r>
      <w:r>
        <w:rPr>
          <w:rFonts w:ascii="Arial" w:hAnsi="Arial"/>
          <w:sz w:val="22"/>
          <w:szCs w:val="22"/>
        </w:rPr>
        <w:lastRenderedPageBreak/>
        <w:t>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3138EC09"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B312E3">
        <w:rPr>
          <w:rFonts w:ascii="Arial" w:hAnsi="Arial"/>
          <w:b/>
          <w:sz w:val="22"/>
          <w:szCs w:val="22"/>
        </w:rPr>
        <w:t>4</w:t>
      </w:r>
      <w:r w:rsidR="009B4FCF">
        <w:rPr>
          <w:rFonts w:ascii="Arial" w:hAnsi="Arial"/>
          <w:b/>
          <w:sz w:val="22"/>
          <w:szCs w:val="22"/>
        </w:rPr>
        <w:t>9</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3BFB435A"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9B4FCF">
        <w:rPr>
          <w:rFonts w:ascii="Arial" w:hAnsi="Arial"/>
          <w:sz w:val="22"/>
          <w:szCs w:val="22"/>
        </w:rPr>
        <w:t>2</w:t>
      </w:r>
      <w:r w:rsidR="006232EB">
        <w:rPr>
          <w:rFonts w:ascii="Arial" w:hAnsi="Arial"/>
          <w:sz w:val="22"/>
          <w:szCs w:val="22"/>
        </w:rPr>
        <w:t xml:space="preserve">2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B312E3">
        <w:rPr>
          <w:rFonts w:ascii="Arial" w:hAnsi="Arial"/>
          <w:sz w:val="22"/>
          <w:szCs w:val="22"/>
        </w:rPr>
        <w:t>1</w:t>
      </w:r>
      <w:r w:rsidR="009B4FCF">
        <w:rPr>
          <w:rFonts w:ascii="Arial" w:hAnsi="Arial"/>
          <w:sz w:val="22"/>
          <w:szCs w:val="22"/>
        </w:rPr>
        <w:t>783</w:t>
      </w:r>
      <w:r>
        <w:rPr>
          <w:rFonts w:ascii="Arial" w:hAnsi="Arial"/>
          <w:sz w:val="22"/>
          <w:szCs w:val="22"/>
        </w:rPr>
        <w:t xml:space="preserve"> </w:t>
      </w:r>
      <w:r w:rsidR="006B6656">
        <w:rPr>
          <w:rFonts w:ascii="Arial" w:hAnsi="Arial"/>
          <w:sz w:val="22"/>
          <w:szCs w:val="22"/>
        </w:rPr>
        <w:t xml:space="preserve">na ulici </w:t>
      </w:r>
      <w:proofErr w:type="spellStart"/>
      <w:r w:rsidR="009B4FCF">
        <w:rPr>
          <w:rFonts w:ascii="Arial" w:hAnsi="Arial"/>
          <w:sz w:val="22"/>
          <w:szCs w:val="22"/>
        </w:rPr>
        <w:t>Trlicova</w:t>
      </w:r>
      <w:proofErr w:type="spellEnd"/>
      <w:r w:rsidR="009B4FCF">
        <w:rPr>
          <w:rFonts w:ascii="Arial" w:hAnsi="Arial"/>
          <w:sz w:val="22"/>
          <w:szCs w:val="22"/>
        </w:rPr>
        <w:t xml:space="preserve"> 10</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9B4FCF">
        <w:rPr>
          <w:rFonts w:ascii="Arial" w:hAnsi="Arial"/>
          <w:sz w:val="22"/>
          <w:szCs w:val="22"/>
        </w:rPr>
        <w:t>2</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09CCF883"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C536E8">
        <w:rPr>
          <w:rFonts w:ascii="Arial" w:hAnsi="Arial"/>
          <w:b/>
          <w:bCs/>
          <w:sz w:val="22"/>
          <w:szCs w:val="22"/>
        </w:rPr>
        <w:t>399</w:t>
      </w:r>
      <w:r w:rsidR="00B312E3" w:rsidRPr="003D18CA">
        <w:rPr>
          <w:rFonts w:ascii="Arial" w:hAnsi="Arial"/>
          <w:b/>
          <w:bCs/>
          <w:sz w:val="22"/>
          <w:szCs w:val="22"/>
        </w:rPr>
        <w:t>.</w:t>
      </w:r>
      <w:r w:rsidR="00C536E8">
        <w:rPr>
          <w:rFonts w:ascii="Arial" w:hAnsi="Arial"/>
          <w:b/>
          <w:bCs/>
          <w:sz w:val="22"/>
          <w:szCs w:val="22"/>
        </w:rPr>
        <w:t>499</w:t>
      </w:r>
      <w:r w:rsidR="003D18CA" w:rsidRPr="003D18CA">
        <w:rPr>
          <w:rFonts w:ascii="Arial" w:hAnsi="Arial"/>
          <w:b/>
          <w:bCs/>
          <w:sz w:val="22"/>
          <w:szCs w:val="22"/>
        </w:rPr>
        <w:t>,</w:t>
      </w:r>
      <w:r w:rsidR="00C536E8">
        <w:rPr>
          <w:rFonts w:ascii="Arial" w:hAnsi="Arial"/>
          <w:b/>
          <w:bCs/>
          <w:sz w:val="22"/>
          <w:szCs w:val="22"/>
        </w:rPr>
        <w:t>07</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200664" w:rsidRPr="003D18CA">
        <w:rPr>
          <w:rFonts w:ascii="Arial" w:hAnsi="Arial" w:cs="Arial"/>
          <w:bCs/>
          <w:sz w:val="22"/>
          <w:szCs w:val="22"/>
        </w:rPr>
        <w:t xml:space="preserve"> </w:t>
      </w:r>
      <w:r w:rsidR="00C536E8">
        <w:rPr>
          <w:rFonts w:ascii="Arial" w:hAnsi="Arial" w:cs="Arial"/>
          <w:bCs/>
          <w:sz w:val="22"/>
          <w:szCs w:val="22"/>
        </w:rPr>
        <w:t>tři sta devadesát devět tisíc čtyři sta devadesát devět</w:t>
      </w:r>
      <w:r w:rsidR="003D18CA" w:rsidRPr="003D18CA">
        <w:rPr>
          <w:rFonts w:ascii="Arial" w:hAnsi="Arial" w:cs="Arial"/>
          <w:bCs/>
          <w:sz w:val="22"/>
          <w:szCs w:val="22"/>
        </w:rPr>
        <w:t xml:space="preserve"> ko</w:t>
      </w:r>
      <w:r w:rsidR="00200664" w:rsidRPr="003D18CA">
        <w:rPr>
          <w:rFonts w:ascii="Arial" w:hAnsi="Arial" w:cs="Arial"/>
          <w:bCs/>
          <w:sz w:val="22"/>
          <w:szCs w:val="22"/>
        </w:rPr>
        <w:t xml:space="preserve">run českých </w:t>
      </w:r>
      <w:r w:rsidR="00C536E8">
        <w:rPr>
          <w:rFonts w:ascii="Arial" w:hAnsi="Arial" w:cs="Arial"/>
          <w:bCs/>
          <w:sz w:val="22"/>
          <w:szCs w:val="22"/>
        </w:rPr>
        <w:t>sedm</w:t>
      </w:r>
      <w:r w:rsidR="00200664" w:rsidRPr="003D18CA">
        <w:rPr>
          <w:rFonts w:ascii="Arial" w:hAnsi="Arial" w:cs="Arial"/>
          <w:bCs/>
          <w:sz w:val="22"/>
          <w:szCs w:val="22"/>
        </w:rPr>
        <w:t xml:space="preserve"> haléřů</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7777777" w:rsidR="00672C38" w:rsidRPr="009A0BBA" w:rsidRDefault="00200664" w:rsidP="008D2A03">
      <w:pPr>
        <w:numPr>
          <w:ilvl w:val="0"/>
          <w:numId w:val="29"/>
        </w:numPr>
        <w:ind w:hanging="720"/>
        <w:jc w:val="both"/>
        <w:rPr>
          <w:rFonts w:ascii="Arial" w:hAnsi="Arial"/>
          <w:bCs/>
          <w:sz w:val="22"/>
          <w:szCs w:val="22"/>
        </w:rPr>
      </w:pPr>
      <w:r>
        <w:rPr>
          <w:rFonts w:ascii="Arial" w:hAnsi="Arial"/>
          <w:bCs/>
          <w:sz w:val="22"/>
          <w:szCs w:val="22"/>
        </w:rPr>
        <w:t xml:space="preserve">V </w:t>
      </w:r>
      <w:r w:rsidRPr="0011291E">
        <w:rPr>
          <w:rFonts w:ascii="Arial" w:hAnsi="Arial" w:cs="Arial"/>
          <w:bCs/>
          <w:sz w:val="22"/>
          <w:szCs w:val="22"/>
        </w:rPr>
        <w:t>souladu s ustanovením zákona o DPH sjednávají smluvní strany dílčí plnění v rozsahu skutečně provedeného plnění za kalendářní měsíc</w:t>
      </w:r>
      <w:r w:rsidRPr="007F4C5F">
        <w:rPr>
          <w:rFonts w:ascii="Arial" w:hAnsi="Arial" w:cs="Arial"/>
          <w:bCs/>
          <w:sz w:val="22"/>
          <w:szCs w:val="22"/>
        </w:rPr>
        <w:t>.</w:t>
      </w:r>
    </w:p>
    <w:p w14:paraId="4F54582D" w14:textId="372796F8" w:rsidR="008D2A03" w:rsidRDefault="00672C38" w:rsidP="008D2A03">
      <w:pPr>
        <w:numPr>
          <w:ilvl w:val="0"/>
          <w:numId w:val="29"/>
        </w:numPr>
        <w:ind w:hanging="720"/>
        <w:jc w:val="both"/>
        <w:rPr>
          <w:rFonts w:ascii="Arial" w:hAnsi="Arial"/>
          <w:bCs/>
          <w:sz w:val="22"/>
          <w:szCs w:val="22"/>
        </w:rPr>
      </w:pPr>
      <w:r>
        <w:rPr>
          <w:rFonts w:ascii="Arial" w:hAnsi="Arial"/>
          <w:bCs/>
          <w:sz w:val="22"/>
          <w:szCs w:val="22"/>
        </w:rPr>
        <w:t xml:space="preserve">Zhotovitel </w:t>
      </w:r>
      <w:r w:rsidRPr="0011291E">
        <w:rPr>
          <w:rFonts w:ascii="Arial" w:hAnsi="Arial" w:cs="Arial"/>
          <w:bCs/>
          <w:sz w:val="22"/>
          <w:szCs w:val="22"/>
        </w:rPr>
        <w:t>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52362289"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C536E8">
        <w:rPr>
          <w:rFonts w:ascii="Arial" w:hAnsi="Arial" w:cs="Arial"/>
          <w:sz w:val="22"/>
          <w:szCs w:val="22"/>
        </w:rPr>
        <w:t>„</w:t>
      </w:r>
      <w:r w:rsidR="00C536E8" w:rsidRPr="00C536E8">
        <w:rPr>
          <w:rFonts w:ascii="Arial" w:hAnsi="Arial" w:cs="Arial"/>
          <w:sz w:val="22"/>
          <w:szCs w:val="22"/>
        </w:rPr>
        <w:t xml:space="preserve">Oprava volného bytu č. 22 v domě </w:t>
      </w:r>
      <w:proofErr w:type="gramStart"/>
      <w:r w:rsidR="00C536E8" w:rsidRPr="00C536E8">
        <w:rPr>
          <w:rFonts w:ascii="Arial" w:hAnsi="Arial" w:cs="Arial"/>
          <w:sz w:val="22"/>
          <w:szCs w:val="22"/>
        </w:rPr>
        <w:t>č.p.</w:t>
      </w:r>
      <w:proofErr w:type="gramEnd"/>
      <w:r w:rsidR="00C536E8" w:rsidRPr="00C536E8">
        <w:rPr>
          <w:rFonts w:ascii="Arial" w:hAnsi="Arial" w:cs="Arial"/>
          <w:sz w:val="22"/>
          <w:szCs w:val="22"/>
        </w:rPr>
        <w:t xml:space="preserve"> 1783 na ulici </w:t>
      </w:r>
      <w:proofErr w:type="spellStart"/>
      <w:r w:rsidR="00C536E8" w:rsidRPr="00C536E8">
        <w:rPr>
          <w:rFonts w:ascii="Arial" w:hAnsi="Arial" w:cs="Arial"/>
          <w:sz w:val="22"/>
          <w:szCs w:val="22"/>
        </w:rPr>
        <w:t>Trlicova</w:t>
      </w:r>
      <w:proofErr w:type="spellEnd"/>
      <w:r w:rsidR="00C536E8" w:rsidRPr="00C536E8">
        <w:rPr>
          <w:rFonts w:ascii="Arial" w:hAnsi="Arial" w:cs="Arial"/>
          <w:sz w:val="22"/>
          <w:szCs w:val="22"/>
        </w:rPr>
        <w:t xml:space="preserve"> 10 v Novém Jičíně</w:t>
      </w:r>
      <w:r w:rsidRPr="00C536E8">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0276812B"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9446DF">
        <w:rPr>
          <w:rFonts w:ascii="Arial" w:hAnsi="Arial"/>
          <w:b/>
          <w:bCs/>
          <w:sz w:val="22"/>
          <w:szCs w:val="22"/>
        </w:rPr>
        <w:t>18.2.2025</w:t>
      </w:r>
      <w:proofErr w:type="gramEnd"/>
      <w:r>
        <w:rPr>
          <w:rFonts w:ascii="Arial" w:hAnsi="Arial"/>
          <w:b/>
          <w:bCs/>
          <w:sz w:val="22"/>
          <w:szCs w:val="22"/>
        </w:rPr>
        <w:tab/>
        <w:t>Nový Jičín dne</w:t>
      </w:r>
      <w:r w:rsidR="009446DF">
        <w:rPr>
          <w:rFonts w:ascii="Arial" w:hAnsi="Arial"/>
          <w:b/>
          <w:bCs/>
          <w:sz w:val="22"/>
          <w:szCs w:val="22"/>
        </w:rPr>
        <w:t xml:space="preserve"> 19.2.2025</w:t>
      </w:r>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4BF33511"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9B4FCF">
        <w:rPr>
          <w:rFonts w:ascii="Arial" w:hAnsi="Arial" w:cs="Arial"/>
          <w:bCs/>
          <w:sz w:val="22"/>
          <w:szCs w:val="22"/>
        </w:rPr>
        <w:t>EMstav</w:t>
      </w:r>
      <w:proofErr w:type="spellEnd"/>
      <w:r w:rsidR="009B4FCF">
        <w:rPr>
          <w:rFonts w:ascii="Arial" w:hAnsi="Arial" w:cs="Arial"/>
          <w:bCs/>
          <w:sz w:val="22"/>
          <w:szCs w:val="22"/>
        </w:rPr>
        <w:t xml:space="preserve"> Lučina </w:t>
      </w:r>
      <w:r w:rsidR="009B4FCF" w:rsidRPr="006F522E">
        <w:rPr>
          <w:rFonts w:ascii="Arial" w:hAnsi="Arial" w:cs="Arial"/>
          <w:bCs/>
          <w:sz w:val="22"/>
          <w:szCs w:val="22"/>
        </w:rPr>
        <w:t>s.r.o.:</w:t>
      </w:r>
    </w:p>
    <w:p w14:paraId="264BE14A" w14:textId="4C47AC69"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4D0691">
        <w:rPr>
          <w:rFonts w:ascii="Arial" w:hAnsi="Arial" w:cs="Arial"/>
          <w:bCs/>
          <w:sz w:val="22"/>
          <w:szCs w:val="22"/>
        </w:rPr>
        <w:t xml:space="preserve">Radim </w:t>
      </w:r>
      <w:r w:rsidR="009B4FCF">
        <w:rPr>
          <w:rFonts w:ascii="Arial" w:hAnsi="Arial" w:cs="Arial"/>
          <w:bCs/>
          <w:sz w:val="22"/>
          <w:szCs w:val="22"/>
        </w:rPr>
        <w:t>Kývala,</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w:t>
      </w:r>
      <w:bookmarkStart w:id="7" w:name="_GoBack"/>
      <w:bookmarkEnd w:id="7"/>
      <w:r w:rsidR="00B312E3">
        <w:rPr>
          <w:rFonts w:ascii="Arial" w:hAnsi="Arial" w:cs="Arial"/>
          <w:bCs/>
          <w:sz w:val="22"/>
          <w:szCs w:val="22"/>
        </w:rPr>
        <w:t>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446DF">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79B0C62"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F427A4">
      <w:rPr>
        <w:rFonts w:ascii="Arial" w:hAnsi="Arial"/>
        <w:b/>
      </w:rPr>
      <w:t>5</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9B21B2">
      <w:rPr>
        <w:rFonts w:ascii="Arial" w:hAnsi="Arial"/>
        <w:b/>
      </w:rPr>
      <w:t>0</w:t>
    </w:r>
    <w:r w:rsidR="004D4178">
      <w:rPr>
        <w:rFonts w:ascii="Arial" w:hAnsi="Arial"/>
        <w:b/>
      </w:rPr>
      <w:t>70</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843BC"/>
    <w:rsid w:val="001C5279"/>
    <w:rsid w:val="001D50FF"/>
    <w:rsid w:val="00200664"/>
    <w:rsid w:val="00214394"/>
    <w:rsid w:val="00234CC8"/>
    <w:rsid w:val="00242887"/>
    <w:rsid w:val="002473F4"/>
    <w:rsid w:val="00274A90"/>
    <w:rsid w:val="002763CE"/>
    <w:rsid w:val="002804E2"/>
    <w:rsid w:val="00290663"/>
    <w:rsid w:val="002B2C6F"/>
    <w:rsid w:val="002B786E"/>
    <w:rsid w:val="002D41A8"/>
    <w:rsid w:val="002D6D43"/>
    <w:rsid w:val="002F435C"/>
    <w:rsid w:val="00327E94"/>
    <w:rsid w:val="003430CF"/>
    <w:rsid w:val="00367D4C"/>
    <w:rsid w:val="00383B55"/>
    <w:rsid w:val="003C4526"/>
    <w:rsid w:val="003C4645"/>
    <w:rsid w:val="003D18CA"/>
    <w:rsid w:val="003E2BB7"/>
    <w:rsid w:val="003E32A0"/>
    <w:rsid w:val="003E7D0A"/>
    <w:rsid w:val="00455681"/>
    <w:rsid w:val="00496EF4"/>
    <w:rsid w:val="004C6407"/>
    <w:rsid w:val="004D02DF"/>
    <w:rsid w:val="004D0691"/>
    <w:rsid w:val="004D4178"/>
    <w:rsid w:val="004E0EED"/>
    <w:rsid w:val="00551F24"/>
    <w:rsid w:val="005542CB"/>
    <w:rsid w:val="005968A4"/>
    <w:rsid w:val="00603D84"/>
    <w:rsid w:val="006232EB"/>
    <w:rsid w:val="00642AEC"/>
    <w:rsid w:val="00672C38"/>
    <w:rsid w:val="006B27D3"/>
    <w:rsid w:val="006B6656"/>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416D6"/>
    <w:rsid w:val="009446DF"/>
    <w:rsid w:val="00955DEC"/>
    <w:rsid w:val="009A0BBA"/>
    <w:rsid w:val="009B21B2"/>
    <w:rsid w:val="009B4FCF"/>
    <w:rsid w:val="009E0E16"/>
    <w:rsid w:val="009F561F"/>
    <w:rsid w:val="00A60A80"/>
    <w:rsid w:val="00A80CF8"/>
    <w:rsid w:val="00AB5C8A"/>
    <w:rsid w:val="00AD66B6"/>
    <w:rsid w:val="00AF3712"/>
    <w:rsid w:val="00B04AB5"/>
    <w:rsid w:val="00B060C1"/>
    <w:rsid w:val="00B22087"/>
    <w:rsid w:val="00B312E3"/>
    <w:rsid w:val="00B75143"/>
    <w:rsid w:val="00B859B9"/>
    <w:rsid w:val="00C536E8"/>
    <w:rsid w:val="00C85FB2"/>
    <w:rsid w:val="00CF5791"/>
    <w:rsid w:val="00D0361A"/>
    <w:rsid w:val="00D24D37"/>
    <w:rsid w:val="00D5040B"/>
    <w:rsid w:val="00D7616D"/>
    <w:rsid w:val="00DC25AA"/>
    <w:rsid w:val="00E25BEA"/>
    <w:rsid w:val="00E61B60"/>
    <w:rsid w:val="00E759CF"/>
    <w:rsid w:val="00E81EAE"/>
    <w:rsid w:val="00E852CB"/>
    <w:rsid w:val="00E9681B"/>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11</Pages>
  <Words>5273</Words>
  <Characters>31116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24</cp:revision>
  <cp:lastPrinted>2025-02-18T06:06:00Z</cp:lastPrinted>
  <dcterms:created xsi:type="dcterms:W3CDTF">2024-03-13T13:50:00Z</dcterms:created>
  <dcterms:modified xsi:type="dcterms:W3CDTF">2025-02-20T09:02:00Z</dcterms:modified>
</cp:coreProperties>
</file>