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786/2023</w:t>
        <w:br/>
        <w:t>č. smlouvy zhotovitele: 06-O-5666-13986/23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„Jez Kadaň, horní“ - rekonstrukce“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Studie proveditelnosti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3909060</wp:posOffset>
                </wp:positionH>
                <wp:positionV relativeFrom="paragraph">
                  <wp:posOffset>12700</wp:posOffset>
                </wp:positionV>
                <wp:extent cx="2228215" cy="115506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8215" cy="1155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7.80000000000001pt;margin-top:1.pt;width:175.45000000000002pt;height:90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zástupce ve věcech smluvních: zástupce ve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tbl>
      <w:tblPr>
        <w:tblOverlap w:val="never"/>
        <w:jc w:val="center"/>
        <w:tblLayout w:type="fixed"/>
      </w:tblPr>
      <w:tblGrid>
        <w:gridCol w:w="3648"/>
        <w:gridCol w:w="5338"/>
      </w:tblGrid>
      <w:tr>
        <w:trPr>
          <w:trHeight w:val="8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9" w:name="bookmark9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  <w:bookmarkEnd w:id="9"/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k podpisu smlouvy: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5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Vodohospodářský rozvoj a výstavba a.s.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Nábřežní 90/4, 150 00 Praha 5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 vedoucí projektového týmu (hlavní inženýr projektu- HIP):</w:t>
      </w:r>
    </w:p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vedoucí projektového týmu: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471 16 901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 xml:space="preserve">CZ47116901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zápis v obchodním rejstříku: u Městského soudu v Praze, oddíl B, vložka 1930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„zhotovitel“)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86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14" w:left="1370" w:right="1370" w:bottom="144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o doposud nerozhodnutém a výsledném řešení jezu Kadaň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650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2 k SoD 786/2023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horní. Další kolo jednání s městem Kadaň proběhne v pátek 07.02.2025 od 9,00hod.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1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Termíny plnění a to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dle dodatku č.1: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7" w:val="left"/>
        </w:tabs>
        <w:bidi w:val="0"/>
        <w:spacing w:before="0" w:after="0" w:line="240" w:lineRule="auto"/>
        <w:ind w:left="0" w:right="0" w:firstLine="3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7" w:val="left"/>
        </w:tabs>
        <w:bidi w:val="0"/>
        <w:spacing w:before="0" w:after="0" w:line="240" w:lineRule="auto"/>
        <w:ind w:left="0" w:right="0" w:firstLine="3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plnění – předání dílčích částí studie dle bodů A.1 až A.3.3, B.1 až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56" w:val="left"/>
        </w:tabs>
        <w:bidi w:val="0"/>
        <w:spacing w:before="0" w:after="0" w:line="240" w:lineRule="auto"/>
        <w:ind w:left="74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 C.1 až C.2, D.1 až D.3 (2x tištěné + elektronicky) po projednání a schválení na VV a na základě předávacího protokolu: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64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31.05.2024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740" w:right="0" w:hanging="3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zpracování a schválení návrhu revitalizace na VV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bodů A.4. až A.5, B.5 až B.6, C.3 až C.4, D.4 až E.5, E.7 až G.1, H.1 až I.2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(2x tištěné + elektronicky) po projednání a schválení na VV a na základě předávacího protokolu: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680" w:val="left"/>
        </w:tabs>
        <w:bidi w:val="0"/>
        <w:spacing w:before="0" w:after="0" w:line="240" w:lineRule="auto"/>
        <w:ind w:left="64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</w:t>
        <w:tab/>
        <w:t>do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28.02.2025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740" w:right="0" w:hanging="38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plnění - předání a převzetí kompletní studie proveditelnosti (2x tištěné +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5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30.06.2025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7" w:val="left"/>
        </w:tabs>
        <w:bidi w:val="0"/>
        <w:spacing w:before="0" w:after="0" w:line="240" w:lineRule="auto"/>
        <w:ind w:left="0" w:right="0" w:firstLine="3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konečné plnění – předání a převzetí kompletní studie proveditelnosti (4x tištěné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elektronicky, včetně dílčích částí studie dle bodů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A.1 až A.3.3, B.1 až B.4, C.1 až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56" w:val="left"/>
        </w:tabs>
        <w:bidi w:val="0"/>
        <w:spacing w:before="0" w:after="360" w:line="240" w:lineRule="auto"/>
        <w:ind w:left="0" w:right="0" w:firstLine="740"/>
        <w:jc w:val="both"/>
      </w:pPr>
      <w:bookmarkStart w:id="16" w:name="bookmark16"/>
      <w:bookmarkEnd w:id="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 D.1 až D.3): 1 měsíc po schválení v investiční komisi (dále jen IK PŘ)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7" w:val="left"/>
        </w:tabs>
        <w:bidi w:val="0"/>
        <w:spacing w:before="0" w:after="0" w:line="240" w:lineRule="auto"/>
        <w:ind w:left="0" w:right="0" w:firstLine="3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740" w:right="0" w:hanging="38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plnění – předání dílčích částí studie dle bodů A.1 až A.3.3, B.1 až B.4, C.1 až C.2, D.1 až D.3 (2x tištěné + elektronicky) po projednání a schválení na VV a na základě předávacího protokolu: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640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38" w:left="1370" w:right="1365" w:bottom="1444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31.05.2024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2" w:val="left"/>
        </w:tabs>
        <w:bidi w:val="0"/>
        <w:spacing w:before="0" w:after="0" w:line="240" w:lineRule="auto"/>
        <w:ind w:left="0" w:right="0" w:firstLine="4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zpracování a schválení návrhu revitalizace na VV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bodů A.4.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690" w:val="left"/>
        </w:tabs>
        <w:bidi w:val="0"/>
        <w:spacing w:before="0" w:after="0" w:line="240" w:lineRule="auto"/>
        <w:ind w:left="40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až A.5, B.5 až B.6, C.3 až C.4, D.4 až E.5, E.7 až G.1, H.1 až I.2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(2x tištěné + elektronicky) po projednání a schválení na VV a na základě předávacího protokolu: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</w:t>
        <w:tab/>
        <w:t>do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760"/>
        <w:jc w:val="both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30.09.2025</w:t>
      </w:r>
      <w:bookmarkEnd w:id="20"/>
      <w:bookmarkEnd w:id="21"/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7" w:val="left"/>
        </w:tabs>
        <w:bidi w:val="0"/>
        <w:spacing w:before="0" w:after="0" w:line="240" w:lineRule="auto"/>
        <w:ind w:left="760" w:right="0" w:hanging="3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plnění - předání a převzetí kompletní studie proveditelnosti (2x tištěné +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5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15.12.2025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7" w:val="left"/>
          <w:tab w:pos="3425" w:val="left"/>
        </w:tabs>
        <w:bidi w:val="0"/>
        <w:spacing w:before="0" w:after="0" w:line="240" w:lineRule="auto"/>
        <w:ind w:left="760" w:right="0" w:hanging="34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konečné plnění – předání a převzetí kompletní studie proveditelnosti (4x tištěné a elektronicky, včetně dílčích částí studie dle bodů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A.1 až A.3.3, B.1 až B.4, C.1 až C.2,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5" w:val="left"/>
        </w:tabs>
        <w:bidi w:val="0"/>
        <w:spacing w:before="0" w:after="0" w:line="240" w:lineRule="auto"/>
        <w:ind w:left="0" w:right="0" w:firstLine="760"/>
        <w:jc w:val="both"/>
      </w:pPr>
      <w:bookmarkStart w:id="25" w:name="bookmark25"/>
      <w:bookmarkEnd w:id="2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až D.3):</w:t>
        <w:tab/>
        <w:t>1 měsíc po schválení v investiční komisi (dále jen 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PŘ)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  <w:bookmarkEnd w:id="26"/>
      <w:bookmarkEnd w:id="27"/>
      <w:bookmarkEnd w:id="28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3" w:val="left"/>
        </w:tabs>
        <w:bidi w:val="0"/>
        <w:spacing w:before="0" w:after="14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3" w:val="left"/>
        </w:tabs>
        <w:bidi w:val="0"/>
        <w:spacing w:before="0" w:after="140" w:line="240" w:lineRule="auto"/>
        <w:ind w:left="400" w:right="0" w:hanging="40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3" w:val="left"/>
        </w:tabs>
        <w:bidi w:val="0"/>
        <w:spacing w:before="0" w:after="140" w:line="240" w:lineRule="auto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3" w:val="left"/>
        </w:tabs>
        <w:bidi w:val="0"/>
        <w:spacing w:before="0" w:after="620" w:line="240" w:lineRule="auto"/>
        <w:ind w:left="400" w:right="0" w:hanging="40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1524000" distL="135890" distR="1809115" simplePos="0" relativeHeight="125829380" behindDoc="0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12700</wp:posOffset>
                </wp:positionV>
                <wp:extent cx="819785" cy="22542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9.10000000000002pt;margin-top:1.pt;width:64.549999999999997pt;height:17.75pt;z-index:-125829373;mso-wrap-distance-left:10.700000000000001pt;mso-wrap-distance-right:142.45000000000002pt;mso-wrap-distance-bottom:12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73150" distB="0" distL="114300" distR="114300" simplePos="0" relativeHeight="125829382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1085850</wp:posOffset>
                </wp:positionV>
                <wp:extent cx="2536190" cy="67691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36190" cy="676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divize 06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Vodohospodářský rozvoj a výstavba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7.40000000000003pt;margin-top:85.5pt;width:199.70000000000002pt;height:53.300000000000004pt;z-index:-125829371;mso-wrap-distance-left:9.pt;mso-wrap-distance-top:84.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divize 06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Vodohospodářský rozvoj a výstavba 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4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pgSz w:w="11909" w:h="16838"/>
      <w:pgMar w:top="1257" w:left="1370" w:right="1365" w:bottom="144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5993765</wp:posOffset>
              </wp:positionH>
              <wp:positionV relativeFrom="page">
                <wp:posOffset>9774555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94999999999999pt;margin-top:769.64999999999998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5993765</wp:posOffset>
              </wp:positionH>
              <wp:positionV relativeFrom="page">
                <wp:posOffset>9774555</wp:posOffset>
              </wp:positionV>
              <wp:extent cx="673735" cy="1644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1.94999999999999pt;margin-top:769.64999999999998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5008880</wp:posOffset>
              </wp:positionH>
              <wp:positionV relativeFrom="page">
                <wp:posOffset>423545</wp:posOffset>
              </wp:positionV>
              <wp:extent cx="1090930" cy="3200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0930" cy="3200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786/2023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4.40000000000003pt;margin-top:33.350000000000001pt;width:85.900000000000006pt;height:25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786/2023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upperLetter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3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40"/>
      <w:ind w:firstLine="3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