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360" w:line="211"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9"/>
        <w:keepNext/>
        <w:keepLines/>
        <w:widowControl w:val="0"/>
        <w:shd w:val="clear" w:color="auto" w:fill="auto"/>
        <w:bidi w:val="0"/>
        <w:spacing w:before="0" w:after="0" w:line="259"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35/2025</w:t>
      </w:r>
      <w:bookmarkEnd w:id="0"/>
      <w:bookmarkEnd w:id="1"/>
      <w:bookmarkEnd w:id="2"/>
    </w:p>
    <w:p>
      <w:pPr>
        <w:pStyle w:val="Style2"/>
        <w:keepNext w:val="0"/>
        <w:keepLines w:val="0"/>
        <w:widowControl w:val="0"/>
        <w:shd w:val="clear" w:color="auto" w:fill="auto"/>
        <w:bidi w:val="0"/>
        <w:spacing w:before="0" w:line="259" w:lineRule="auto"/>
        <w:ind w:left="0" w:right="0" w:firstLine="0"/>
        <w:jc w:val="center"/>
      </w:pPr>
      <w:r>
        <w:rPr>
          <w:color w:val="000000"/>
          <w:spacing w:val="0"/>
          <w:w w:val="100"/>
          <w:position w:val="0"/>
          <w:shd w:val="clear" w:color="auto" w:fill="auto"/>
          <w:lang w:val="cs-CZ" w:eastAsia="cs-CZ" w:bidi="cs-CZ"/>
        </w:rPr>
        <w:t>Číslo smlouvy zhotovitele:</w:t>
      </w:r>
    </w:p>
    <w:p>
      <w:pPr>
        <w:pStyle w:val="Style2"/>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„Svitávka – obnova opevnění v Kunraticích u Cvikova“ – stavebně technický</w:t>
        <w:br/>
        <w:t>průzkum (STP)</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3624"/>
        <w:gridCol w:w="5510"/>
      </w:tblGrid>
      <w:tr>
        <w:trPr>
          <w:trHeight w:val="207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IČO: DIČ: statutární orgán: zástupce ve věcech smluvních: zástupce ve věcech technických:</w:t>
            </w:r>
          </w:p>
        </w:tc>
        <w:tc>
          <w:tcPr>
            <w:tcBorders/>
            <w:shd w:val="clear" w:color="auto" w:fill="FFFFFF"/>
            <w:vAlign w:val="top"/>
          </w:tcPr>
          <w:p>
            <w:pPr>
              <w:pStyle w:val="Style15"/>
              <w:keepNext w:val="0"/>
              <w:keepLines w:val="0"/>
              <w:widowControl w:val="0"/>
              <w:shd w:val="clear" w:color="auto" w:fill="auto"/>
              <w:bidi w:val="0"/>
              <w:spacing w:before="160" w:after="0" w:line="240" w:lineRule="auto"/>
              <w:ind w:left="0" w:right="0" w:firstLine="360"/>
              <w:jc w:val="left"/>
            </w:pPr>
            <w:r>
              <w:rPr>
                <w:b/>
                <w:bCs/>
                <w:color w:val="000000"/>
                <w:spacing w:val="0"/>
                <w:w w:val="100"/>
                <w:position w:val="0"/>
                <w:shd w:val="clear" w:color="auto" w:fill="auto"/>
                <w:lang w:val="cs-CZ" w:eastAsia="cs-CZ" w:bidi="cs-CZ"/>
              </w:rPr>
              <w:t>Povodí Ohře, státní podnik</w:t>
            </w:r>
          </w:p>
          <w:p>
            <w:pPr>
              <w:pStyle w:val="Style15"/>
              <w:keepNext w:val="0"/>
              <w:keepLines w:val="0"/>
              <w:widowControl w:val="0"/>
              <w:shd w:val="clear" w:color="auto" w:fill="auto"/>
              <w:bidi w:val="0"/>
              <w:spacing w:before="0" w:after="0" w:line="240" w:lineRule="auto"/>
              <w:ind w:left="360" w:right="0" w:firstLine="0"/>
              <w:jc w:val="left"/>
            </w:pPr>
            <w:r>
              <w:rPr>
                <w:color w:val="000000"/>
                <w:spacing w:val="0"/>
                <w:w w:val="100"/>
                <w:position w:val="0"/>
                <w:shd w:val="clear" w:color="auto" w:fill="auto"/>
                <w:lang w:val="cs-CZ" w:eastAsia="cs-CZ" w:bidi="cs-CZ"/>
              </w:rPr>
              <w:t>Bezručova 4219, 430 03 Chomutov 70889988</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CZ70889988</w:t>
            </w:r>
          </w:p>
        </w:tc>
      </w:tr>
      <w:tr>
        <w:trPr>
          <w:trHeight w:val="782"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e-mail:</w:t>
            </w:r>
          </w:p>
        </w:tc>
      </w:tr>
      <w:tr>
        <w:trPr>
          <w:trHeight w:val="1229"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5"/>
              <w:keepNext w:val="0"/>
              <w:keepLines w:val="0"/>
              <w:widowControl w:val="0"/>
              <w:shd w:val="clear" w:color="auto" w:fill="auto"/>
              <w:bidi w:val="0"/>
              <w:spacing w:before="120" w:after="0" w:line="240" w:lineRule="auto"/>
              <w:ind w:left="0" w:right="0" w:firstLine="36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CZ70889988</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widowControl w:val="0"/>
        <w:spacing w:after="199" w:line="1" w:lineRule="exact"/>
      </w:pP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624"/>
        <w:gridCol w:w="5506"/>
      </w:tblGrid>
      <w:tr>
        <w:trPr>
          <w:trHeight w:val="1565"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HG partner s.r.o.</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Smetanova 200, 250 82 Úvaly</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27221253</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CZ27221253</w:t>
            </w:r>
          </w:p>
        </w:tc>
      </w:tr>
    </w:tbl>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9"/>
        <w:keepNext/>
        <w:keepLines/>
        <w:widowControl w:val="0"/>
        <w:shd w:val="clear" w:color="auto" w:fill="auto"/>
        <w:bidi w:val="0"/>
        <w:spacing w:before="0" w:after="20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zápis v obchodním rejstříku: Městský soud v Praze, oddíl C, vložka 105510</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Toto zmocnění trvá až do písemného odvolání.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w:t>
      </w:r>
      <w:r>
        <w:rPr>
          <w:color w:val="000000"/>
          <w:spacing w:val="0"/>
          <w:w w:val="100"/>
          <w:position w:val="0"/>
          <w:shd w:val="clear" w:color="auto" w:fill="auto"/>
          <w:lang w:val="cs-CZ" w:eastAsia="cs-CZ" w:bidi="cs-CZ"/>
        </w:rPr>
        <w:t>registru smluv. Zveřejnění smlouvy a metadat v registru smluv zajistí Povodí Ohře, státní podnik, který má právo tuto smlouvu zveřejnit rovněž v pochybnostech o tom, zda tato smlouva zveřejnění podléhá či nikoliv.</w:t>
      </w:r>
    </w:p>
    <w:p>
      <w:pPr>
        <w:pStyle w:val="Style18"/>
        <w:keepNext/>
        <w:keepLines/>
        <w:widowControl w:val="0"/>
        <w:numPr>
          <w:ilvl w:val="0"/>
          <w:numId w:val="1"/>
        </w:numPr>
        <w:shd w:val="clear" w:color="auto" w:fill="auto"/>
        <w:tabs>
          <w:tab w:pos="480" w:val="left"/>
        </w:tabs>
        <w:bidi w:val="0"/>
        <w:spacing w:before="0" w:after="200" w:line="240" w:lineRule="auto"/>
        <w:ind w:left="0" w:right="0" w:firstLine="0"/>
        <w:jc w:val="center"/>
      </w:pPr>
      <w:bookmarkStart w:id="6" w:name="bookmark6"/>
      <w:bookmarkStart w:id="7" w:name="bookmark7"/>
      <w:bookmarkStart w:id="8" w:name="bookmark8"/>
      <w:bookmarkStart w:id="9" w:name="bookmark9"/>
      <w:bookmarkEnd w:id="8"/>
      <w:r>
        <w:rPr>
          <w:b/>
          <w:bCs/>
          <w:color w:val="000000"/>
          <w:spacing w:val="0"/>
          <w:w w:val="100"/>
          <w:position w:val="0"/>
          <w:shd w:val="clear" w:color="auto" w:fill="auto"/>
          <w:lang w:val="cs-CZ" w:eastAsia="cs-CZ" w:bidi="cs-CZ"/>
        </w:rPr>
        <w:t>PŘEDMĚT SMLOUVY A PŘEDMĚT DÍLA</w:t>
      </w:r>
      <w:bookmarkEnd w:id="6"/>
      <w:bookmarkEnd w:id="7"/>
      <w:bookmarkEnd w:id="9"/>
    </w:p>
    <w:p>
      <w:pPr>
        <w:pStyle w:val="Style9"/>
        <w:keepNext/>
        <w:keepLines/>
        <w:widowControl w:val="0"/>
        <w:shd w:val="clear" w:color="auto" w:fill="auto"/>
        <w:bidi w:val="0"/>
        <w:spacing w:before="0" w:after="700" w:line="240" w:lineRule="auto"/>
        <w:ind w:left="0" w:right="0" w:firstLine="0"/>
        <w:jc w:val="both"/>
      </w:pPr>
      <w:bookmarkStart w:id="10" w:name="bookmark10"/>
      <w:bookmarkStart w:id="11" w:name="bookmark11"/>
      <w:bookmarkStart w:id="12" w:name="bookmark12"/>
      <w:r>
        <w:rPr>
          <w:color w:val="000000"/>
          <w:spacing w:val="0"/>
          <w:w w:val="100"/>
          <w:position w:val="0"/>
          <w:shd w:val="clear" w:color="auto" w:fill="auto"/>
          <w:lang w:val="cs-CZ" w:eastAsia="cs-CZ" w:bidi="cs-CZ"/>
        </w:rPr>
        <w:t>Předmětem smlouvy je zpracování stavebně technického průzkumu na akci:</w:t>
      </w:r>
      <w:bookmarkEnd w:id="10"/>
      <w:bookmarkEnd w:id="11"/>
      <w:bookmarkEnd w:id="12"/>
    </w:p>
    <w:p>
      <w:pPr>
        <w:pStyle w:val="Style2"/>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Svitávka – obnova opevnění v Kunraticích u Cvikova</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Stavebně technický průzkum (dále jen STP) bude proveden v rámci přípravy akce „Svitávka – obnova opevnění v Kunraticích u Cvikova“ - jedná se o průzkum otevřeného profilu toku Svitávka.</w:t>
      </w:r>
    </w:p>
    <w:p>
      <w:pPr>
        <w:pStyle w:val="Style9"/>
        <w:keepNext/>
        <w:keepLines/>
        <w:widowControl w:val="0"/>
        <w:shd w:val="clear" w:color="auto" w:fill="auto"/>
        <w:bidi w:val="0"/>
        <w:spacing w:before="0" w:after="6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Součástí díla bude:</w:t>
      </w:r>
      <w:bookmarkEnd w:id="13"/>
      <w:bookmarkEnd w:id="14"/>
      <w:bookmarkEnd w:id="15"/>
    </w:p>
    <w:p>
      <w:pPr>
        <w:pStyle w:val="Style2"/>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6" w:name="bookmark16"/>
      <w:bookmarkEnd w:id="16"/>
      <w:r>
        <w:rPr>
          <w:color w:val="000000"/>
          <w:spacing w:val="0"/>
          <w:w w:val="100"/>
          <w:position w:val="0"/>
          <w:shd w:val="clear" w:color="auto" w:fill="auto"/>
          <w:lang w:val="cs-CZ" w:eastAsia="cs-CZ" w:bidi="cs-CZ"/>
        </w:rPr>
        <w:t>Min. 16 sond na zjištění kvality a rozměrů konstrukce zdiva, z toho 7 ks jádrově vrtaných sond, případně doplňující kopané sondy</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17" w:name="bookmark17"/>
      <w:bookmarkEnd w:id="17"/>
      <w:r>
        <w:rPr>
          <w:color w:val="000000"/>
          <w:spacing w:val="0"/>
          <w:w w:val="100"/>
          <w:position w:val="0"/>
          <w:shd w:val="clear" w:color="auto" w:fill="auto"/>
          <w:lang w:val="cs-CZ" w:eastAsia="cs-CZ" w:bidi="cs-CZ"/>
        </w:rPr>
        <w:t>Min. 15 sond pro ověření budoucí základové spáry a poměrů stávajícího založení</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18" w:name="bookmark18"/>
      <w:bookmarkEnd w:id="18"/>
      <w:r>
        <w:rPr>
          <w:color w:val="000000"/>
          <w:spacing w:val="0"/>
          <w:w w:val="100"/>
          <w:position w:val="0"/>
          <w:shd w:val="clear" w:color="auto" w:fill="auto"/>
          <w:lang w:val="cs-CZ" w:eastAsia="cs-CZ" w:bidi="cs-CZ"/>
        </w:rPr>
        <w:t>Statické posouzení konstrukcí</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19" w:name="bookmark19"/>
      <w:bookmarkEnd w:id="19"/>
      <w:r>
        <w:rPr>
          <w:color w:val="000000"/>
          <w:spacing w:val="0"/>
          <w:w w:val="100"/>
          <w:position w:val="0"/>
          <w:shd w:val="clear" w:color="auto" w:fill="auto"/>
          <w:lang w:val="cs-CZ" w:eastAsia="cs-CZ" w:bidi="cs-CZ"/>
        </w:rPr>
        <w:t>Celkové hodnocení konstrukcí z hlediska životnosti</w:t>
      </w:r>
    </w:p>
    <w:p>
      <w:pPr>
        <w:pStyle w:val="Style2"/>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20" w:name="bookmark20"/>
      <w:bookmarkEnd w:id="20"/>
      <w:r>
        <w:rPr>
          <w:color w:val="000000"/>
          <w:spacing w:val="0"/>
          <w:w w:val="100"/>
          <w:position w:val="0"/>
          <w:shd w:val="clear" w:color="auto" w:fill="auto"/>
          <w:lang w:val="cs-CZ" w:eastAsia="cs-CZ" w:bidi="cs-CZ"/>
        </w:rPr>
        <w:t>Podrobný popis přírodních břehů v celkové délce cca 350 m se zaměřením na poruchy</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21" w:name="bookmark21"/>
      <w:bookmarkEnd w:id="21"/>
      <w:r>
        <w:rPr>
          <w:color w:val="000000"/>
          <w:spacing w:val="0"/>
          <w:w w:val="100"/>
          <w:position w:val="0"/>
          <w:shd w:val="clear" w:color="auto" w:fill="auto"/>
          <w:lang w:val="cs-CZ" w:eastAsia="cs-CZ" w:bidi="cs-CZ"/>
        </w:rPr>
        <w:t>Stručný popis profilu toku v mezilehlých úsecích cca 300 m</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22" w:name="bookmark22"/>
      <w:bookmarkEnd w:id="22"/>
      <w:r>
        <w:rPr>
          <w:color w:val="000000"/>
          <w:spacing w:val="0"/>
          <w:w w:val="100"/>
          <w:position w:val="0"/>
          <w:shd w:val="clear" w:color="auto" w:fill="auto"/>
          <w:lang w:val="cs-CZ" w:eastAsia="cs-CZ" w:bidi="cs-CZ"/>
        </w:rPr>
        <w:t>Návrh (oprav) opatření nábřežního opevnění a propočet ceny po jednotlivých úsecích</w:t>
      </w:r>
    </w:p>
    <w:p>
      <w:pPr>
        <w:pStyle w:val="Style2"/>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23" w:name="bookmark23"/>
      <w:bookmarkEnd w:id="23"/>
      <w:r>
        <w:rPr>
          <w:color w:val="000000"/>
          <w:spacing w:val="0"/>
          <w:w w:val="100"/>
          <w:position w:val="0"/>
          <w:shd w:val="clear" w:color="auto" w:fill="auto"/>
          <w:lang w:val="cs-CZ" w:eastAsia="cs-CZ" w:bidi="cs-CZ"/>
        </w:rPr>
        <w:t>Průzkum inženýrských sítí (IS) – zajištění vyjádření správců inženýrských sítí k existenci sítí a katastrální situace, kde budou sítě zakresleny</w:t>
      </w:r>
    </w:p>
    <w:p>
      <w:pPr>
        <w:pStyle w:val="Style2"/>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24" w:name="bookmark24"/>
      <w:bookmarkEnd w:id="24"/>
      <w:r>
        <w:rPr>
          <w:color w:val="000000"/>
          <w:spacing w:val="0"/>
          <w:w w:val="100"/>
          <w:position w:val="0"/>
          <w:shd w:val="clear" w:color="auto" w:fill="auto"/>
          <w:lang w:val="cs-CZ" w:eastAsia="cs-CZ" w:bidi="cs-CZ"/>
        </w:rPr>
        <w:t>Fotodokumentace stavu konstrukcí opevnění toku s popisem místa (úseku)</w:t>
      </w:r>
    </w:p>
    <w:p>
      <w:pPr>
        <w:pStyle w:val="Style2"/>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25" w:name="bookmark25"/>
      <w:bookmarkEnd w:id="25"/>
      <w:r>
        <w:rPr>
          <w:color w:val="000000"/>
          <w:spacing w:val="0"/>
          <w:w w:val="100"/>
          <w:position w:val="0"/>
          <w:shd w:val="clear" w:color="auto" w:fill="auto"/>
          <w:lang w:val="cs-CZ" w:eastAsia="cs-CZ" w:bidi="cs-CZ"/>
        </w:rPr>
        <w:t>Geodetické zaměření: zaměřeny budou kromě vodního toku a jeho opevnění, veškeré výustě do toku (včetně informace o druhu výustě, materiálu a DN) a konstrukce schodišť v nábřežních zdech. Dále budou zaměřena veškerá vedení inženýrských sítí a mostních objektů vedoucí přes tok. Dále bude provedeno zaměření všech konstrukcí ve volném terénu, např. 5-10 m za břehovou hranu. Mezilehlé úseky nebudou zaměřeny.</w:t>
      </w:r>
    </w:p>
    <w:p>
      <w:pPr>
        <w:pStyle w:val="Style2"/>
        <w:keepNext w:val="0"/>
        <w:keepLines w:val="0"/>
        <w:widowControl w:val="0"/>
        <w:numPr>
          <w:ilvl w:val="0"/>
          <w:numId w:val="3"/>
        </w:numPr>
        <w:shd w:val="clear" w:color="auto" w:fill="auto"/>
        <w:tabs>
          <w:tab w:pos="740" w:val="left"/>
        </w:tabs>
        <w:bidi w:val="0"/>
        <w:spacing w:before="0" w:after="380" w:line="240" w:lineRule="auto"/>
        <w:ind w:left="740" w:right="0" w:hanging="360"/>
        <w:jc w:val="both"/>
      </w:pPr>
      <w:bookmarkStart w:id="26" w:name="bookmark26"/>
      <w:bookmarkEnd w:id="26"/>
      <w:r>
        <w:rPr>
          <w:color w:val="000000"/>
          <w:spacing w:val="0"/>
          <w:w w:val="100"/>
          <w:position w:val="0"/>
          <w:shd w:val="clear" w:color="auto" w:fill="auto"/>
          <w:lang w:val="cs-CZ" w:eastAsia="cs-CZ" w:bidi="cs-CZ"/>
        </w:rPr>
        <w:t>Výše uvedené bude zapracováno do hodnotící zprávy, dále bude zpracována přehledná situace se zakreslením umístění provedených sond a situace se stručným popisem jednotlivých konstrukcí (po úsecích).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zašle elektronicky koncept závěrečné zprávy objednateli k seznámení s jejím obsahem před vyskladněním finální verze. Finální verze bude vyskladněná po odsouhlasení konceptu objednatelem.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elaborát bude předán celkem v počtu 3x paré tištěné + elektronicky, a to ve formátu (_.pdf) a v editovatelných formátech pro potřeby objednatele (_.docx, _.xlsx, _.dwg a dalších).</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8"/>
        <w:keepNext/>
        <w:keepLines/>
        <w:widowControl w:val="0"/>
        <w:numPr>
          <w:ilvl w:val="0"/>
          <w:numId w:val="1"/>
        </w:numPr>
        <w:shd w:val="clear" w:color="auto" w:fill="auto"/>
        <w:tabs>
          <w:tab w:pos="644" w:val="left"/>
        </w:tabs>
        <w:bidi w:val="0"/>
        <w:spacing w:before="0" w:line="240" w:lineRule="auto"/>
        <w:ind w:left="0" w:right="0" w:firstLine="0"/>
        <w:jc w:val="center"/>
      </w:pPr>
      <w:bookmarkStart w:id="27" w:name="bookmark27"/>
      <w:bookmarkStart w:id="28" w:name="bookmark28"/>
      <w:bookmarkStart w:id="29" w:name="bookmark29"/>
      <w:bookmarkStart w:id="30" w:name="bookmark30"/>
      <w:bookmarkEnd w:id="29"/>
      <w:r>
        <w:rPr>
          <w:b/>
          <w:bCs/>
          <w:color w:val="000000"/>
          <w:spacing w:val="0"/>
          <w:w w:val="100"/>
          <w:position w:val="0"/>
          <w:shd w:val="clear" w:color="auto" w:fill="auto"/>
          <w:lang w:val="cs-CZ" w:eastAsia="cs-CZ" w:bidi="cs-CZ"/>
        </w:rPr>
        <w:t>DÍLO A ZPŮSOB PROVEDENÍ DÍLA</w:t>
      </w:r>
      <w:bookmarkEnd w:id="27"/>
      <w:bookmarkEnd w:id="28"/>
      <w:bookmarkEnd w:id="30"/>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Zhotovitel se zavazuje provést dílo v souladu s platnou legislativou, a to s odbornou péčí, v rozsahu a kvalitě podle této smlouvy a v termínu plnění, jak je definováno níže.</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Dílo bude označeno otiskem autorizačního razítka a vlastnoručním podpisem autorizované osoby v příslušném oboru či specializaci.</w:t>
      </w:r>
    </w:p>
    <w:p>
      <w:pPr>
        <w:pStyle w:val="Style2"/>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STP v požadovaném počtu za zvláštní úhradu. Objednatel se zavazuje řádně provedené dílo podle ustanovení této smlouvy převzít a zaplatit za dílo dohodnutou cenu.</w:t>
      </w:r>
    </w:p>
    <w:p>
      <w:pPr>
        <w:pStyle w:val="Style18"/>
        <w:keepNext/>
        <w:keepLines/>
        <w:widowControl w:val="0"/>
        <w:numPr>
          <w:ilvl w:val="0"/>
          <w:numId w:val="1"/>
        </w:numPr>
        <w:shd w:val="clear" w:color="auto" w:fill="auto"/>
        <w:tabs>
          <w:tab w:pos="644" w:val="left"/>
        </w:tabs>
        <w:bidi w:val="0"/>
        <w:spacing w:before="0" w:after="440" w:line="240" w:lineRule="auto"/>
        <w:ind w:left="0" w:right="0" w:firstLine="0"/>
        <w:jc w:val="center"/>
      </w:pPr>
      <w:bookmarkStart w:id="31" w:name="bookmark31"/>
      <w:bookmarkStart w:id="32" w:name="bookmark32"/>
      <w:bookmarkStart w:id="33" w:name="bookmark33"/>
      <w:bookmarkStart w:id="34" w:name="bookmark34"/>
      <w:bookmarkEnd w:id="33"/>
      <w:r>
        <w:rPr>
          <w:b/>
          <w:bCs/>
          <w:color w:val="000000"/>
          <w:spacing w:val="0"/>
          <w:w w:val="100"/>
          <w:position w:val="0"/>
          <w:shd w:val="clear" w:color="auto" w:fill="auto"/>
          <w:lang w:val="cs-CZ" w:eastAsia="cs-CZ" w:bidi="cs-CZ"/>
        </w:rPr>
        <w:t>TERMÍNY PLNĚNÍ</w:t>
      </w:r>
      <w:bookmarkEnd w:id="31"/>
      <w:bookmarkEnd w:id="32"/>
      <w:bookmarkEnd w:id="34"/>
    </w:p>
    <w:p>
      <w:pPr>
        <w:pStyle w:val="Style22"/>
        <w:keepNext/>
        <w:keepLines/>
        <w:widowControl w:val="0"/>
        <w:shd w:val="clear" w:color="auto" w:fill="auto"/>
        <w:bidi w:val="0"/>
        <w:spacing w:before="0" w:line="240" w:lineRule="auto"/>
        <w:ind w:left="0" w:right="0" w:firstLine="300"/>
        <w:jc w:val="both"/>
      </w:pPr>
      <w:bookmarkStart w:id="35" w:name="bookmark35"/>
      <w:bookmarkStart w:id="36" w:name="bookmark36"/>
      <w:bookmarkStart w:id="37" w:name="bookmark37"/>
      <w:r>
        <w:rPr>
          <w:b w:val="0"/>
          <w:bCs w:val="0"/>
          <w:color w:val="000000"/>
          <w:spacing w:val="0"/>
          <w:w w:val="100"/>
          <w:position w:val="0"/>
          <w:shd w:val="clear" w:color="auto" w:fill="auto"/>
          <w:lang w:val="cs-CZ" w:eastAsia="cs-CZ" w:bidi="cs-CZ"/>
        </w:rPr>
        <w:t>Termín provedení díla:</w:t>
      </w:r>
      <w:bookmarkEnd w:id="35"/>
      <w:bookmarkEnd w:id="36"/>
      <w:bookmarkEnd w:id="37"/>
    </w:p>
    <w:p>
      <w:pPr>
        <w:pStyle w:val="Style2"/>
        <w:keepNext w:val="0"/>
        <w:keepLines w:val="0"/>
        <w:widowControl w:val="0"/>
        <w:numPr>
          <w:ilvl w:val="0"/>
          <w:numId w:val="5"/>
        </w:numPr>
        <w:shd w:val="clear" w:color="auto" w:fill="auto"/>
        <w:tabs>
          <w:tab w:pos="697" w:val="left"/>
        </w:tabs>
        <w:bidi w:val="0"/>
        <w:spacing w:before="0" w:after="60" w:line="240" w:lineRule="auto"/>
        <w:ind w:left="0" w:right="0" w:firstLine="300"/>
        <w:jc w:val="both"/>
      </w:pPr>
      <w:bookmarkStart w:id="38" w:name="bookmark38"/>
      <w:bookmarkEnd w:id="38"/>
      <w:r>
        <w:rPr>
          <w:color w:val="000000"/>
          <w:spacing w:val="0"/>
          <w:w w:val="100"/>
          <w:position w:val="0"/>
          <w:shd w:val="clear" w:color="auto" w:fill="auto"/>
          <w:lang w:val="cs-CZ" w:eastAsia="cs-CZ" w:bidi="cs-CZ"/>
        </w:rPr>
        <w:t xml:space="preserve">zahájení prací na předmětu plnění: </w:t>
      </w:r>
      <w:r>
        <w:rPr>
          <w:b/>
          <w:bCs/>
          <w:color w:val="000000"/>
          <w:spacing w:val="0"/>
          <w:w w:val="100"/>
          <w:position w:val="0"/>
          <w:shd w:val="clear" w:color="auto" w:fill="auto"/>
          <w:lang w:val="cs-CZ" w:eastAsia="cs-CZ" w:bidi="cs-CZ"/>
        </w:rPr>
        <w:t>26.02.2025</w:t>
      </w:r>
    </w:p>
    <w:p>
      <w:pPr>
        <w:pStyle w:val="Style2"/>
        <w:keepNext w:val="0"/>
        <w:keepLines w:val="0"/>
        <w:widowControl w:val="0"/>
        <w:numPr>
          <w:ilvl w:val="0"/>
          <w:numId w:val="5"/>
        </w:numPr>
        <w:shd w:val="clear" w:color="auto" w:fill="auto"/>
        <w:tabs>
          <w:tab w:pos="697" w:val="left"/>
        </w:tabs>
        <w:bidi w:val="0"/>
        <w:spacing w:before="0" w:after="0" w:line="240" w:lineRule="auto"/>
        <w:ind w:left="0" w:right="0" w:firstLine="300"/>
        <w:jc w:val="both"/>
      </w:pPr>
      <w:bookmarkStart w:id="39" w:name="bookmark39"/>
      <w:bookmarkEnd w:id="39"/>
      <w:r>
        <w:rPr>
          <w:color w:val="000000"/>
          <w:spacing w:val="0"/>
          <w:w w:val="100"/>
          <w:position w:val="0"/>
          <w:shd w:val="clear" w:color="auto" w:fill="auto"/>
          <w:lang w:val="cs-CZ" w:eastAsia="cs-CZ" w:bidi="cs-CZ"/>
        </w:rPr>
        <w:t xml:space="preserve">předání a převzetí </w:t>
      </w:r>
      <w:r>
        <w:rPr>
          <w:b/>
          <w:bCs/>
          <w:color w:val="000000"/>
          <w:spacing w:val="0"/>
          <w:w w:val="100"/>
          <w:position w:val="0"/>
          <w:shd w:val="clear" w:color="auto" w:fill="auto"/>
          <w:lang w:val="cs-CZ" w:eastAsia="cs-CZ" w:bidi="cs-CZ"/>
        </w:rPr>
        <w:t>hodnotící zprávy a situací ke kompletnímu stavebně</w:t>
      </w:r>
    </w:p>
    <w:p>
      <w:pPr>
        <w:pStyle w:val="Style2"/>
        <w:keepNext w:val="0"/>
        <w:keepLines w:val="0"/>
        <w:widowControl w:val="0"/>
        <w:shd w:val="clear" w:color="auto" w:fill="auto"/>
        <w:tabs>
          <w:tab w:pos="6379" w:val="left"/>
        </w:tabs>
        <w:bidi w:val="0"/>
        <w:spacing w:before="0" w:after="440" w:line="240" w:lineRule="auto"/>
        <w:ind w:left="0" w:right="0" w:firstLine="720"/>
        <w:jc w:val="both"/>
      </w:pPr>
      <w:r>
        <w:rPr>
          <w:b/>
          <w:bCs/>
          <w:color w:val="000000"/>
          <w:spacing w:val="0"/>
          <w:w w:val="100"/>
          <w:position w:val="0"/>
          <w:shd w:val="clear" w:color="auto" w:fill="auto"/>
          <w:lang w:val="cs-CZ" w:eastAsia="cs-CZ" w:bidi="cs-CZ"/>
        </w:rPr>
        <w:t xml:space="preserve">technického průzkumu </w:t>
      </w:r>
      <w:r>
        <w:rPr>
          <w:color w:val="000000"/>
          <w:spacing w:val="0"/>
          <w:w w:val="100"/>
          <w:position w:val="0"/>
          <w:shd w:val="clear" w:color="auto" w:fill="auto"/>
          <w:lang w:val="cs-CZ" w:eastAsia="cs-CZ" w:bidi="cs-CZ"/>
        </w:rPr>
        <w:t>(3 x tištěné + elektronicky):</w:t>
        <w:tab/>
      </w:r>
      <w:r>
        <w:rPr>
          <w:b/>
          <w:bCs/>
          <w:color w:val="000000"/>
          <w:spacing w:val="0"/>
          <w:w w:val="100"/>
          <w:position w:val="0"/>
          <w:shd w:val="clear" w:color="auto" w:fill="auto"/>
          <w:lang w:val="cs-CZ" w:eastAsia="cs-CZ" w:bidi="cs-CZ"/>
        </w:rPr>
        <w:t>nejpozději do 30.06.2025</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8"/>
        <w:keepNext/>
        <w:keepLines/>
        <w:widowControl w:val="0"/>
        <w:numPr>
          <w:ilvl w:val="0"/>
          <w:numId w:val="1"/>
        </w:numPr>
        <w:shd w:val="clear" w:color="auto" w:fill="auto"/>
        <w:tabs>
          <w:tab w:pos="644"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b/>
          <w:bCs/>
          <w:color w:val="000000"/>
          <w:spacing w:val="0"/>
          <w:w w:val="100"/>
          <w:position w:val="0"/>
          <w:shd w:val="clear" w:color="auto" w:fill="auto"/>
          <w:lang w:val="cs-CZ" w:eastAsia="cs-CZ" w:bidi="cs-CZ"/>
        </w:rPr>
        <w:t>CENA</w:t>
      </w:r>
      <w:bookmarkEnd w:id="40"/>
      <w:bookmarkEnd w:id="41"/>
      <w:bookmarkEnd w:id="43"/>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díla zahrnuje veškeré náklady zhotovitele související s realizací díla a činí celkem</w:t>
      </w: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60" w:line="240" w:lineRule="auto"/>
        <w:ind w:left="0" w:right="0" w:firstLine="0"/>
        <w:jc w:val="center"/>
      </w:pPr>
      <w:r>
        <w:rPr>
          <w:b/>
          <w:bCs/>
          <w:color w:val="000000"/>
          <w:spacing w:val="0"/>
          <w:w w:val="100"/>
          <w:position w:val="0"/>
          <w:shd w:val="clear" w:color="auto" w:fill="auto"/>
          <w:lang w:val="cs-CZ" w:eastAsia="cs-CZ" w:bidi="cs-CZ"/>
        </w:rPr>
        <w:t>254 000,00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8"/>
        <w:keepNext/>
        <w:keepLines/>
        <w:widowControl w:val="0"/>
        <w:numPr>
          <w:ilvl w:val="0"/>
          <w:numId w:val="1"/>
        </w:numPr>
        <w:shd w:val="clear" w:color="auto" w:fill="auto"/>
        <w:tabs>
          <w:tab w:pos="461" w:val="left"/>
        </w:tabs>
        <w:bidi w:val="0"/>
        <w:spacing w:before="0" w:after="440" w:line="240" w:lineRule="auto"/>
        <w:ind w:left="0" w:right="0" w:firstLine="0"/>
        <w:jc w:val="center"/>
      </w:pPr>
      <w:bookmarkStart w:id="44" w:name="bookmark44"/>
      <w:bookmarkStart w:id="45" w:name="bookmark45"/>
      <w:bookmarkStart w:id="46" w:name="bookmark46"/>
      <w:bookmarkStart w:id="47" w:name="bookmark47"/>
      <w:bookmarkEnd w:id="46"/>
      <w:r>
        <w:rPr>
          <w:b/>
          <w:bCs/>
          <w:color w:val="000000"/>
          <w:spacing w:val="0"/>
          <w:w w:val="100"/>
          <w:position w:val="0"/>
          <w:shd w:val="clear" w:color="auto" w:fill="auto"/>
          <w:lang w:val="cs-CZ" w:eastAsia="cs-CZ" w:bidi="cs-CZ"/>
        </w:rPr>
        <w:t>PLATEBNÍ PODMÍNKY</w:t>
      </w:r>
      <w:bookmarkEnd w:id="44"/>
      <w:bookmarkEnd w:id="45"/>
      <w:bookmarkEnd w:id="47"/>
    </w:p>
    <w:p>
      <w:pPr>
        <w:pStyle w:val="Style2"/>
        <w:keepNext w:val="0"/>
        <w:keepLines w:val="0"/>
        <w:widowControl w:val="0"/>
        <w:numPr>
          <w:ilvl w:val="0"/>
          <w:numId w:val="7"/>
        </w:numPr>
        <w:shd w:val="clear" w:color="auto" w:fill="auto"/>
        <w:tabs>
          <w:tab w:pos="461"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7"/>
        </w:numPr>
        <w:shd w:val="clear" w:color="auto" w:fill="auto"/>
        <w:tabs>
          <w:tab w:pos="461" w:val="left"/>
        </w:tabs>
        <w:bidi w:val="0"/>
        <w:spacing w:before="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Cena díla bude hrazena na základě konečné faktury, kterou bude provedeno vyúčtování po dokončení, předání a převzetí díla bez vad.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shd w:val="clear" w:color="auto" w:fill="auto"/>
        <w:bidi w:val="0"/>
        <w:spacing w:before="0" w:after="700" w:line="240" w:lineRule="auto"/>
        <w:ind w:left="440" w:right="0" w:firstLine="0"/>
        <w:jc w:val="both"/>
      </w:pPr>
      <w:r>
        <w:rPr>
          <w:color w:val="000000"/>
          <w:spacing w:val="0"/>
          <w:w w:val="100"/>
          <w:position w:val="0"/>
          <w:shd w:val="clear" w:color="auto" w:fill="auto"/>
          <w:lang w:val="cs-CZ" w:eastAsia="cs-CZ" w:bidi="cs-CZ"/>
        </w:rPr>
        <w:t xml:space="preserve">dnem protokolárního předání a převzetí kompletního průzkumu ve výši 100 % ceny, tj. </w:t>
      </w:r>
      <w:r>
        <w:rPr>
          <w:b/>
          <w:bCs/>
          <w:color w:val="000000"/>
          <w:spacing w:val="0"/>
          <w:w w:val="100"/>
          <w:position w:val="0"/>
          <w:shd w:val="clear" w:color="auto" w:fill="auto"/>
          <w:lang w:val="cs-CZ" w:eastAsia="cs-CZ" w:bidi="cs-CZ"/>
        </w:rPr>
        <w:t>254 000,00 Kč bez DPH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hd w:val="clear" w:color="auto" w:fill="auto"/>
          <w:lang w:val="cs-CZ" w:eastAsia="cs-CZ" w:bidi="cs-CZ"/>
        </w:rPr>
        <w:t>Faktura bude povinně obsahovat příslušné číslo akce: 503 011</w:t>
      </w:r>
    </w:p>
    <w:p>
      <w:pPr>
        <w:pStyle w:val="Style2"/>
        <w:keepNext w:val="0"/>
        <w:keepLines w:val="0"/>
        <w:widowControl w:val="0"/>
        <w:numPr>
          <w:ilvl w:val="0"/>
          <w:numId w:val="7"/>
        </w:numPr>
        <w:shd w:val="clear" w:color="auto" w:fill="auto"/>
        <w:tabs>
          <w:tab w:pos="461" w:val="left"/>
        </w:tabs>
        <w:bidi w:val="0"/>
        <w:spacing w:before="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461"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 k chybnému vypořádání DPH, zavazuje se zhotovitel zaplatit objednateli smluvní pokutu ve výši, která bude správcem daně vyměřena objednateli jako sankce.</w:t>
      </w:r>
    </w:p>
    <w:p>
      <w:pPr>
        <w:pStyle w:val="Style2"/>
        <w:keepNext w:val="0"/>
        <w:keepLines w:val="0"/>
        <w:widowControl w:val="0"/>
        <w:numPr>
          <w:ilvl w:val="0"/>
          <w:numId w:val="7"/>
        </w:numPr>
        <w:shd w:val="clear" w:color="auto" w:fill="auto"/>
        <w:tabs>
          <w:tab w:pos="461" w:val="left"/>
        </w:tabs>
        <w:bidi w:val="0"/>
        <w:spacing w:before="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7"/>
        </w:numPr>
        <w:shd w:val="clear" w:color="auto" w:fill="auto"/>
        <w:tabs>
          <w:tab w:pos="461" w:val="left"/>
        </w:tabs>
        <w:bidi w:val="0"/>
        <w:spacing w:before="0" w:after="70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8"/>
        <w:keepNext/>
        <w:keepLines/>
        <w:widowControl w:val="0"/>
        <w:numPr>
          <w:ilvl w:val="0"/>
          <w:numId w:val="1"/>
        </w:numPr>
        <w:shd w:val="clear" w:color="auto" w:fill="auto"/>
        <w:tabs>
          <w:tab w:pos="469" w:val="left"/>
        </w:tabs>
        <w:bidi w:val="0"/>
        <w:spacing w:before="0" w:after="200" w:line="240" w:lineRule="auto"/>
        <w:ind w:left="0" w:right="0" w:firstLine="0"/>
        <w:jc w:val="center"/>
      </w:pPr>
      <w:bookmarkStart w:id="54" w:name="bookmark54"/>
      <w:bookmarkStart w:id="55" w:name="bookmark55"/>
      <w:bookmarkStart w:id="56" w:name="bookmark56"/>
      <w:bookmarkStart w:id="57" w:name="bookmark57"/>
      <w:bookmarkEnd w:id="56"/>
      <w:r>
        <w:rPr>
          <w:b/>
          <w:bCs/>
          <w:color w:val="000000"/>
          <w:spacing w:val="0"/>
          <w:w w:val="100"/>
          <w:position w:val="0"/>
          <w:shd w:val="clear" w:color="auto" w:fill="auto"/>
          <w:lang w:val="cs-CZ" w:eastAsia="cs-CZ" w:bidi="cs-CZ"/>
        </w:rPr>
        <w:t>SANKCE</w:t>
      </w:r>
      <w:bookmarkEnd w:id="54"/>
      <w:bookmarkEnd w:id="55"/>
      <w:bookmarkEnd w:id="57"/>
    </w:p>
    <w:p>
      <w:pPr>
        <w:pStyle w:val="Style2"/>
        <w:keepNext w:val="0"/>
        <w:keepLines w:val="0"/>
        <w:widowControl w:val="0"/>
        <w:numPr>
          <w:ilvl w:val="0"/>
          <w:numId w:val="9"/>
        </w:numPr>
        <w:shd w:val="clear" w:color="auto" w:fill="auto"/>
        <w:tabs>
          <w:tab w:pos="461"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Pokud bude zhotovitel v prodlení proti smluvně ujednanému termínu plnění díla, je povinen zaplatit objednateli smluvní pokutu ve výši 0,2 % z ceny díla za každý i započatý den prodlení.</w:t>
      </w:r>
    </w:p>
    <w:p>
      <w:pPr>
        <w:pStyle w:val="Style2"/>
        <w:keepNext w:val="0"/>
        <w:keepLines w:val="0"/>
        <w:widowControl w:val="0"/>
        <w:numPr>
          <w:ilvl w:val="0"/>
          <w:numId w:val="9"/>
        </w:numPr>
        <w:shd w:val="clear" w:color="auto" w:fill="auto"/>
        <w:tabs>
          <w:tab w:pos="461"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27" w:val="left"/>
        </w:tabs>
        <w:bidi w:val="0"/>
        <w:spacing w:before="0" w:after="44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8"/>
        <w:keepNext/>
        <w:keepLines/>
        <w:widowControl w:val="0"/>
        <w:numPr>
          <w:ilvl w:val="0"/>
          <w:numId w:val="1"/>
        </w:numPr>
        <w:shd w:val="clear" w:color="auto" w:fill="auto"/>
        <w:tabs>
          <w:tab w:pos="764" w:val="left"/>
        </w:tabs>
        <w:bidi w:val="0"/>
        <w:spacing w:before="0" w:after="440" w:line="240" w:lineRule="auto"/>
        <w:ind w:left="0" w:right="0" w:firstLine="0"/>
        <w:jc w:val="center"/>
      </w:pPr>
      <w:bookmarkStart w:id="65" w:name="bookmark65"/>
      <w:bookmarkStart w:id="66" w:name="bookmark66"/>
      <w:bookmarkStart w:id="67" w:name="bookmark67"/>
      <w:bookmarkStart w:id="68" w:name="bookmark68"/>
      <w:bookmarkEnd w:id="67"/>
      <w:r>
        <w:rPr>
          <w:b/>
          <w:bCs/>
          <w:color w:val="000000"/>
          <w:spacing w:val="0"/>
          <w:w w:val="100"/>
          <w:position w:val="0"/>
          <w:shd w:val="clear" w:color="auto" w:fill="auto"/>
          <w:lang w:val="cs-CZ" w:eastAsia="cs-CZ" w:bidi="cs-CZ"/>
        </w:rPr>
        <w:t>ZAJIŠTĚNÍ ZÁVAZKU</w:t>
      </w:r>
      <w:bookmarkEnd w:id="65"/>
      <w:bookmarkEnd w:id="66"/>
      <w:bookmarkEnd w:id="68"/>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0" w:name="bookmark70"/>
      <w:bookmarkEnd w:id="70"/>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1"/>
        </w:numPr>
        <w:shd w:val="clear" w:color="auto" w:fill="auto"/>
        <w:tabs>
          <w:tab w:pos="427" w:val="left"/>
        </w:tabs>
        <w:bidi w:val="0"/>
        <w:spacing w:before="0" w:after="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Zhotovitel zodpovídá za vady díla následovně:</w:t>
      </w:r>
    </w:p>
    <w:p>
      <w:pPr>
        <w:pStyle w:val="Style2"/>
        <w:keepNext w:val="0"/>
        <w:keepLines w:val="0"/>
        <w:widowControl w:val="0"/>
        <w:numPr>
          <w:ilvl w:val="0"/>
          <w:numId w:val="13"/>
        </w:numPr>
        <w:shd w:val="clear" w:color="auto" w:fill="auto"/>
        <w:tabs>
          <w:tab w:pos="772" w:val="left"/>
        </w:tabs>
        <w:bidi w:val="0"/>
        <w:spacing w:before="0" w:after="0" w:line="240" w:lineRule="auto"/>
        <w:ind w:left="800" w:right="0" w:hanging="360"/>
        <w:jc w:val="both"/>
      </w:pPr>
      <w:bookmarkStart w:id="73" w:name="bookmark73"/>
      <w:bookmarkEnd w:id="73"/>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13"/>
        </w:numPr>
        <w:shd w:val="clear" w:color="auto" w:fill="auto"/>
        <w:tabs>
          <w:tab w:pos="772" w:val="left"/>
        </w:tabs>
        <w:bidi w:val="0"/>
        <w:spacing w:before="0" w:line="240" w:lineRule="auto"/>
        <w:ind w:left="800" w:right="0" w:hanging="360"/>
        <w:jc w:val="both"/>
      </w:pPr>
      <w:bookmarkStart w:id="74" w:name="bookmark74"/>
      <w:bookmarkEnd w:id="74"/>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5" w:name="bookmark75"/>
      <w:bookmarkEnd w:id="75"/>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6" w:name="bookmark76"/>
      <w:bookmarkEnd w:id="76"/>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1"/>
        </w:numPr>
        <w:shd w:val="clear" w:color="auto" w:fill="auto"/>
        <w:tabs>
          <w:tab w:pos="439" w:val="left"/>
        </w:tabs>
        <w:bidi w:val="0"/>
        <w:spacing w:before="0" w:after="180" w:line="240" w:lineRule="auto"/>
        <w:ind w:left="440" w:right="0" w:hanging="440"/>
        <w:jc w:val="both"/>
      </w:pPr>
      <w:bookmarkStart w:id="77" w:name="bookmark77"/>
      <w:bookmarkEnd w:id="77"/>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1"/>
        </w:numPr>
        <w:shd w:val="clear" w:color="auto" w:fill="auto"/>
        <w:tabs>
          <w:tab w:pos="439" w:val="left"/>
        </w:tabs>
        <w:bidi w:val="0"/>
        <w:spacing w:before="0" w:after="18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1"/>
        </w:numPr>
        <w:shd w:val="clear" w:color="auto" w:fill="auto"/>
        <w:tabs>
          <w:tab w:pos="439" w:val="left"/>
        </w:tabs>
        <w:bidi w:val="0"/>
        <w:spacing w:before="0" w:after="70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8"/>
        <w:keepNext/>
        <w:keepLines/>
        <w:widowControl w:val="0"/>
        <w:numPr>
          <w:ilvl w:val="0"/>
          <w:numId w:val="1"/>
        </w:numPr>
        <w:shd w:val="clear" w:color="auto" w:fill="auto"/>
        <w:tabs>
          <w:tab w:pos="691"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b/>
          <w:bCs/>
          <w:color w:val="000000"/>
          <w:spacing w:val="0"/>
          <w:w w:val="100"/>
          <w:position w:val="0"/>
          <w:shd w:val="clear" w:color="auto" w:fill="auto"/>
          <w:lang w:val="cs-CZ" w:eastAsia="cs-CZ" w:bidi="cs-CZ"/>
        </w:rPr>
        <w:t>LICENČNÍ PODMÍNKY</w:t>
      </w:r>
      <w:bookmarkEnd w:id="80"/>
      <w:bookmarkEnd w:id="81"/>
      <w:bookmarkEnd w:id="83"/>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8"/>
        <w:keepNext/>
        <w:keepLines/>
        <w:widowControl w:val="0"/>
        <w:numPr>
          <w:ilvl w:val="0"/>
          <w:numId w:val="1"/>
        </w:numPr>
        <w:shd w:val="clear" w:color="auto" w:fill="auto"/>
        <w:tabs>
          <w:tab w:pos="691" w:val="left"/>
        </w:tabs>
        <w:bidi w:val="0"/>
        <w:spacing w:before="0" w:line="240" w:lineRule="auto"/>
        <w:ind w:left="0" w:right="0" w:firstLine="0"/>
        <w:jc w:val="center"/>
      </w:pPr>
      <w:bookmarkStart w:id="84" w:name="bookmark84"/>
      <w:bookmarkStart w:id="85" w:name="bookmark85"/>
      <w:bookmarkStart w:id="86" w:name="bookmark86"/>
      <w:bookmarkStart w:id="87" w:name="bookmark87"/>
      <w:bookmarkEnd w:id="86"/>
      <w:r>
        <w:rPr>
          <w:b/>
          <w:bCs/>
          <w:color w:val="000000"/>
          <w:spacing w:val="0"/>
          <w:w w:val="100"/>
          <w:position w:val="0"/>
          <w:shd w:val="clear" w:color="auto" w:fill="auto"/>
          <w:lang w:val="cs-CZ" w:eastAsia="cs-CZ" w:bidi="cs-CZ"/>
        </w:rPr>
        <w:t>NÁHRADA ŠKODY</w:t>
      </w:r>
      <w:bookmarkEnd w:id="84"/>
      <w:bookmarkEnd w:id="85"/>
      <w:bookmarkEnd w:id="87"/>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8"/>
        <w:keepNext/>
        <w:keepLines/>
        <w:widowControl w:val="0"/>
        <w:numPr>
          <w:ilvl w:val="0"/>
          <w:numId w:val="1"/>
        </w:numPr>
        <w:shd w:val="clear" w:color="auto" w:fill="auto"/>
        <w:tabs>
          <w:tab w:pos="439" w:val="left"/>
        </w:tabs>
        <w:bidi w:val="0"/>
        <w:spacing w:before="0" w:line="240" w:lineRule="auto"/>
        <w:ind w:left="0" w:right="0" w:firstLine="0"/>
        <w:jc w:val="center"/>
      </w:pPr>
      <w:bookmarkStart w:id="88" w:name="bookmark88"/>
      <w:bookmarkStart w:id="89" w:name="bookmark89"/>
      <w:bookmarkStart w:id="90" w:name="bookmark90"/>
      <w:bookmarkStart w:id="91" w:name="bookmark91"/>
      <w:bookmarkEnd w:id="90"/>
      <w:r>
        <w:rPr>
          <w:b/>
          <w:bCs/>
          <w:color w:val="000000"/>
          <w:spacing w:val="0"/>
          <w:w w:val="100"/>
          <w:position w:val="0"/>
          <w:shd w:val="clear" w:color="auto" w:fill="auto"/>
          <w:lang w:val="cs-CZ" w:eastAsia="cs-CZ" w:bidi="cs-CZ"/>
        </w:rPr>
        <w:t>OSTATNÍ USTANOVEN Í</w:t>
      </w:r>
      <w:bookmarkEnd w:id="88"/>
      <w:bookmarkEnd w:id="89"/>
      <w:bookmarkEnd w:id="91"/>
    </w:p>
    <w:p>
      <w:pPr>
        <w:pStyle w:val="Style2"/>
        <w:keepNext w:val="0"/>
        <w:keepLines w:val="0"/>
        <w:widowControl w:val="0"/>
        <w:numPr>
          <w:ilvl w:val="0"/>
          <w:numId w:val="15"/>
        </w:numPr>
        <w:shd w:val="clear" w:color="auto" w:fill="auto"/>
        <w:tabs>
          <w:tab w:pos="439" w:val="left"/>
        </w:tabs>
        <w:bidi w:val="0"/>
        <w:spacing w:before="0" w:after="6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15"/>
        </w:numPr>
        <w:shd w:val="clear" w:color="auto" w:fill="auto"/>
        <w:tabs>
          <w:tab w:pos="439" w:val="left"/>
        </w:tabs>
        <w:bidi w:val="0"/>
        <w:spacing w:before="0" w:after="32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15"/>
        </w:numPr>
        <w:shd w:val="clear" w:color="auto" w:fill="auto"/>
        <w:tabs>
          <w:tab w:pos="439" w:val="left"/>
        </w:tabs>
        <w:bidi w:val="0"/>
        <w:spacing w:before="0" w:after="6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15"/>
        </w:numPr>
        <w:shd w:val="clear" w:color="auto" w:fill="auto"/>
        <w:tabs>
          <w:tab w:pos="439" w:val="left"/>
        </w:tabs>
        <w:bidi w:val="0"/>
        <w:spacing w:before="0" w:after="6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15"/>
        </w:numPr>
        <w:shd w:val="clear" w:color="auto" w:fill="auto"/>
        <w:tabs>
          <w:tab w:pos="439" w:val="left"/>
        </w:tabs>
        <w:bidi w:val="0"/>
        <w:spacing w:before="0" w:after="18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8"/>
        <w:keepNext/>
        <w:keepLines/>
        <w:widowControl w:val="0"/>
        <w:numPr>
          <w:ilvl w:val="0"/>
          <w:numId w:val="15"/>
        </w:numPr>
        <w:shd w:val="clear" w:color="auto" w:fill="auto"/>
        <w:tabs>
          <w:tab w:pos="427" w:val="left"/>
        </w:tabs>
        <w:bidi w:val="0"/>
        <w:spacing w:before="0" w:after="44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0"/>
      <w:bookmarkEnd w:id="97"/>
      <w:bookmarkEnd w:id="98"/>
    </w:p>
    <w:p>
      <w:pPr>
        <w:pStyle w:val="Style22"/>
        <w:keepNext/>
        <w:keepLines/>
        <w:widowControl w:val="0"/>
        <w:numPr>
          <w:ilvl w:val="0"/>
          <w:numId w:val="1"/>
        </w:numPr>
        <w:shd w:val="clear" w:color="auto" w:fill="auto"/>
        <w:tabs>
          <w:tab w:pos="691" w:val="left"/>
        </w:tabs>
        <w:bidi w:val="0"/>
        <w:spacing w:before="0" w:line="240" w:lineRule="auto"/>
        <w:ind w:left="0" w:right="0" w:firstLine="0"/>
        <w:jc w:val="center"/>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COMPLIANCE DOLOŽKA</w:t>
      </w:r>
      <w:bookmarkEnd w:id="101"/>
      <w:bookmarkEnd w:id="102"/>
      <w:bookmarkEnd w:id="104"/>
    </w:p>
    <w:p>
      <w:pPr>
        <w:pStyle w:val="Style18"/>
        <w:keepNext/>
        <w:keepLines/>
        <w:widowControl w:val="0"/>
        <w:numPr>
          <w:ilvl w:val="0"/>
          <w:numId w:val="17"/>
        </w:numPr>
        <w:shd w:val="clear" w:color="auto" w:fill="auto"/>
        <w:tabs>
          <w:tab w:pos="427"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05"/>
      <w:bookmarkEnd w:id="106"/>
      <w:bookmarkEnd w:id="108"/>
    </w:p>
    <w:p>
      <w:pPr>
        <w:pStyle w:val="Style18"/>
        <w:keepNext/>
        <w:keepLines/>
        <w:widowControl w:val="0"/>
        <w:numPr>
          <w:ilvl w:val="0"/>
          <w:numId w:val="17"/>
        </w:numPr>
        <w:shd w:val="clear" w:color="auto" w:fill="auto"/>
        <w:tabs>
          <w:tab w:pos="427"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09"/>
      <w:bookmarkEnd w:id="110"/>
      <w:bookmarkEnd w:id="112"/>
    </w:p>
    <w:p>
      <w:pPr>
        <w:pStyle w:val="Style18"/>
        <w:keepNext/>
        <w:keepLines/>
        <w:widowControl w:val="0"/>
        <w:numPr>
          <w:ilvl w:val="0"/>
          <w:numId w:val="17"/>
        </w:numPr>
        <w:shd w:val="clear" w:color="auto" w:fill="auto"/>
        <w:tabs>
          <w:tab w:pos="427" w:val="left"/>
        </w:tabs>
        <w:bidi w:val="0"/>
        <w:spacing w:before="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13"/>
      <w:bookmarkEnd w:id="114"/>
      <w:bookmarkEnd w:id="116"/>
    </w:p>
    <w:p>
      <w:pPr>
        <w:pStyle w:val="Style18"/>
        <w:keepNext/>
        <w:keepLines/>
        <w:widowControl w:val="0"/>
        <w:numPr>
          <w:ilvl w:val="0"/>
          <w:numId w:val="17"/>
        </w:numPr>
        <w:shd w:val="clear" w:color="auto" w:fill="auto"/>
        <w:tabs>
          <w:tab w:pos="427" w:val="left"/>
        </w:tabs>
        <w:bidi w:val="0"/>
        <w:spacing w:before="0" w:after="70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17"/>
      <w:bookmarkEnd w:id="118"/>
      <w:bookmarkEnd w:id="120"/>
    </w:p>
    <w:p>
      <w:pPr>
        <w:pStyle w:val="Style22"/>
        <w:keepNext/>
        <w:keepLines/>
        <w:widowControl w:val="0"/>
        <w:numPr>
          <w:ilvl w:val="0"/>
          <w:numId w:val="1"/>
        </w:numPr>
        <w:shd w:val="clear" w:color="auto" w:fill="auto"/>
        <w:tabs>
          <w:tab w:pos="691" w:val="left"/>
        </w:tabs>
        <w:bidi w:val="0"/>
        <w:spacing w:before="0" w:line="240" w:lineRule="auto"/>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OCHRANA A ZPRACOVÁNÍ OSOBNÍCH ÚDAJŮ</w:t>
      </w:r>
      <w:bookmarkEnd w:id="121"/>
      <w:bookmarkEnd w:id="122"/>
      <w:bookmarkEnd w:id="124"/>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2"/>
        <w:keepNext/>
        <w:keepLines/>
        <w:widowControl w:val="0"/>
        <w:numPr>
          <w:ilvl w:val="0"/>
          <w:numId w:val="1"/>
        </w:numPr>
        <w:shd w:val="clear" w:color="auto" w:fill="auto"/>
        <w:tabs>
          <w:tab w:pos="691" w:val="left"/>
        </w:tabs>
        <w:bidi w:val="0"/>
        <w:spacing w:before="0" w:line="240" w:lineRule="auto"/>
        <w:ind w:left="0" w:right="0" w:firstLine="0"/>
        <w:jc w:val="center"/>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ZÁVĚREČNÁ USTANOVEN Í</w:t>
      </w:r>
      <w:bookmarkEnd w:id="125"/>
      <w:bookmarkEnd w:id="126"/>
      <w:bookmarkEnd w:id="128"/>
    </w:p>
    <w:p>
      <w:pPr>
        <w:pStyle w:val="Style2"/>
        <w:keepNext w:val="0"/>
        <w:keepLines w:val="0"/>
        <w:widowControl w:val="0"/>
        <w:shd w:val="clear" w:color="auto" w:fill="auto"/>
        <w:bidi w:val="0"/>
        <w:spacing w:before="0" w:after="180" w:line="240" w:lineRule="auto"/>
        <w:ind w:left="440" w:right="0" w:hanging="440"/>
        <w:jc w:val="both"/>
      </w:pPr>
      <w:r>
        <w:rPr>
          <w:color w:val="000000"/>
          <w:spacing w:val="0"/>
          <w:w w:val="100"/>
          <w:position w:val="0"/>
          <w:shd w:val="clear" w:color="auto" w:fill="auto"/>
          <w:lang w:val="cs-CZ" w:eastAsia="cs-CZ" w:bidi="cs-CZ"/>
        </w:rPr>
        <w:t>1. Právní vztahy vzniklé z této smlouvy nebo s touto smlouvou související se řídí platným českým právem, zejména Občanským zákoníkem.</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9" w:name="bookmark129"/>
      <w:bookmarkEnd w:id="129"/>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19"/>
        </w:numPr>
        <w:shd w:val="clear" w:color="auto" w:fill="auto"/>
        <w:tabs>
          <w:tab w:pos="427" w:val="left"/>
        </w:tabs>
        <w:bidi w:val="0"/>
        <w:spacing w:before="0" w:after="440" w:line="240" w:lineRule="auto"/>
        <w:ind w:left="440" w:right="0" w:hanging="440"/>
        <w:jc w:val="both"/>
      </w:pPr>
      <w:bookmarkStart w:id="130" w:name="bookmark130"/>
      <w:bookmarkEnd w:id="13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1" w:name="bookmark131"/>
      <w:bookmarkEnd w:id="131"/>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2" w:name="bookmark132"/>
      <w:bookmarkEnd w:id="132"/>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3" w:name="bookmark133"/>
      <w:bookmarkEnd w:id="13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5" w:name="bookmark135"/>
      <w:bookmarkEnd w:id="135"/>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137" w:name="bookmark137"/>
      <w:bookmarkEnd w:id="137"/>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2"/>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138" w:name="bookmark138"/>
      <w:bookmarkEnd w:id="13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139" w:name="bookmark139"/>
      <w:bookmarkEnd w:id="13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r>
        <w:br w:type="page"/>
      </w:r>
    </w:p>
    <w:p>
      <w:pPr>
        <w:pStyle w:val="Style2"/>
        <w:keepNext w:val="0"/>
        <w:keepLines w:val="0"/>
        <w:widowControl w:val="0"/>
        <w:numPr>
          <w:ilvl w:val="0"/>
          <w:numId w:val="19"/>
        </w:numPr>
        <w:shd w:val="clear" w:color="auto" w:fill="auto"/>
        <w:tabs>
          <w:tab w:pos="502" w:val="left"/>
        </w:tabs>
        <w:bidi w:val="0"/>
        <w:spacing w:before="0" w:line="240" w:lineRule="auto"/>
        <w:ind w:left="0" w:right="0" w:firstLine="0"/>
        <w:jc w:val="left"/>
      </w:pPr>
      <w:bookmarkStart w:id="141" w:name="bookmark141"/>
      <w:bookmarkEnd w:id="14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502" w:val="left"/>
        </w:tabs>
        <w:bidi w:val="0"/>
        <w:spacing w:before="0" w:line="240" w:lineRule="auto"/>
        <w:ind w:left="440" w:right="0" w:hanging="440"/>
        <w:jc w:val="both"/>
      </w:pPr>
      <w:bookmarkStart w:id="142" w:name="bookmark142"/>
      <w:bookmarkEnd w:id="14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9"/>
        </w:numPr>
        <w:shd w:val="clear" w:color="auto" w:fill="auto"/>
        <w:tabs>
          <w:tab w:pos="502" w:val="left"/>
        </w:tabs>
        <w:bidi w:val="0"/>
        <w:spacing w:before="0" w:after="46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2) Příloha č.1: Cenová nabídka</w:t>
      </w:r>
    </w:p>
    <w:p>
      <w:pPr>
        <w:pStyle w:val="Style2"/>
        <w:keepNext w:val="0"/>
        <w:keepLines w:val="0"/>
        <w:widowControl w:val="0"/>
        <w:shd w:val="clear" w:color="auto" w:fill="auto"/>
        <w:bidi w:val="0"/>
        <w:spacing w:before="0" w:line="240" w:lineRule="auto"/>
        <w:ind w:left="440" w:right="0" w:firstLine="0"/>
        <w:jc w:val="left"/>
      </w:pPr>
      <w:r>
        <w:rPr>
          <w:color w:val="000000"/>
          <w:spacing w:val="0"/>
          <w:w w:val="100"/>
          <w:position w:val="0"/>
          <w:shd w:val="clear" w:color="auto" w:fill="auto"/>
          <w:lang w:val="cs-CZ" w:eastAsia="cs-CZ" w:bidi="cs-CZ"/>
        </w:rPr>
        <w:t>Priorita 3) Příloha č.2: Čestné prohlášení o společensky odpovědném plnění veřejné zakázky</w:t>
      </w:r>
    </w:p>
    <w:p>
      <w:pPr>
        <w:pStyle w:val="Style2"/>
        <w:keepNext w:val="0"/>
        <w:keepLines w:val="0"/>
        <w:widowControl w:val="0"/>
        <w:shd w:val="clear" w:color="auto" w:fill="auto"/>
        <w:bidi w:val="0"/>
        <w:spacing w:before="0" w:after="0" w:line="240" w:lineRule="auto"/>
        <w:ind w:left="440" w:right="0" w:firstLine="0"/>
        <w:jc w:val="left"/>
        <w:sectPr>
          <w:headerReference w:type="default" r:id="rId5"/>
          <w:footerReference w:type="default" r:id="rId6"/>
          <w:footnotePr>
            <w:pos w:val="pageBottom"/>
            <w:numFmt w:val="decimal"/>
            <w:numRestart w:val="continuous"/>
          </w:footnotePr>
          <w:pgSz w:w="11909" w:h="16838"/>
          <w:pgMar w:top="1087" w:left="1383" w:right="1390" w:bottom="1505"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3) Příloha č.3: Čestné prohlášení k finančním sankcím</w:t>
      </w: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675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oprávněný zástupce objednatele </w:t>
      </w:r>
      <w:r>
        <w:rPr>
          <w:color w:val="000000"/>
          <w:spacing w:val="0"/>
          <w:w w:val="100"/>
          <w:position w:val="0"/>
          <w:shd w:val="clear" w:color="auto" w:fill="auto"/>
          <w:lang w:val="cs-CZ" w:eastAsia="cs-CZ" w:bidi="cs-CZ"/>
        </w:rPr>
        <w:t>v Úvalech dne:</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821" w:right="2421" w:bottom="6753" w:header="0" w:footer="3" w:gutter="0"/>
          <w:cols w:num="2" w:space="1292"/>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44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4023995</wp:posOffset>
                </wp:positionH>
                <wp:positionV relativeFrom="paragraph">
                  <wp:posOffset>12700</wp:posOffset>
                </wp:positionV>
                <wp:extent cx="1075690" cy="847090"/>
                <wp:wrapSquare wrapText="bothSides"/>
                <wp:docPr id="5" name="Shape 5"/>
                <a:graphic xmlns:a="http://schemas.openxmlformats.org/drawingml/2006/main">
                  <a:graphicData uri="http://schemas.microsoft.com/office/word/2010/wordprocessingShape">
                    <wps:wsp>
                      <wps:cNvSpPr txBox="1"/>
                      <wps:spPr>
                        <a:xfrm>
                          <a:ext cx="1075690"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HG partner s.r.o. </w:t>
                            </w:r>
                            <w:r>
                              <w:rPr>
                                <w:i/>
                                <w:iCs/>
                                <w:color w:val="000000"/>
                                <w:spacing w:val="0"/>
                                <w:w w:val="100"/>
                                <w:position w:val="0"/>
                                <w:shd w:val="clear" w:color="auto" w:fill="auto"/>
                                <w:lang w:val="cs-CZ" w:eastAsia="cs-CZ" w:bidi="cs-CZ"/>
                              </w:rPr>
                              <w:t>za zhotovitele</w:t>
                            </w:r>
                          </w:p>
                        </w:txbxContent>
                      </wps:txbx>
                      <wps:bodyPr lIns="0" tIns="0" rIns="0" bIns="0">
                        <a:noAutoFit/>
                      </wps:bodyPr>
                    </wps:wsp>
                  </a:graphicData>
                </a:graphic>
              </wp:anchor>
            </w:drawing>
          </mc:Choice>
          <mc:Fallback>
            <w:pict>
              <v:shape id="_x0000_s1031" type="#_x0000_t202" style="position:absolute;margin-left:316.85000000000002pt;margin-top:1.pt;width:84.700000000000003pt;height:66.700000000000003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HG partner s.r.o. </w:t>
                      </w:r>
                      <w:r>
                        <w:rPr>
                          <w:i/>
                          <w:iCs/>
                          <w:color w:val="000000"/>
                          <w:spacing w:val="0"/>
                          <w:w w:val="100"/>
                          <w:position w:val="0"/>
                          <w:shd w:val="clear" w:color="auto" w:fill="auto"/>
                          <w:lang w:val="cs-CZ" w:eastAsia="cs-CZ" w:bidi="cs-CZ"/>
                        </w:rPr>
                        <w:t>za zhotovitele</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440"/>
        <w:jc w:val="left"/>
      </w:pPr>
      <w:r>
        <w:rPr>
          <w:i/>
          <w:iCs/>
          <w:color w:val="000000"/>
          <w:spacing w:val="0"/>
          <w:w w:val="100"/>
          <w:position w:val="0"/>
          <w:shd w:val="clear" w:color="auto" w:fill="auto"/>
          <w:lang w:val="cs-CZ" w:eastAsia="cs-CZ" w:bidi="cs-CZ"/>
        </w:rPr>
        <w:t>za objednatele</w:t>
      </w:r>
    </w:p>
    <w:sectPr>
      <w:footnotePr>
        <w:pos w:val="pageBottom"/>
        <w:numFmt w:val="decimal"/>
        <w:numRestart w:val="continuous"/>
      </w:footnotePr>
      <w:type w:val="continuous"/>
      <w:pgSz w:w="11909" w:h="16838"/>
      <w:pgMar w:top="1161" w:left="1394" w:right="5565" w:bottom="144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5834380</wp:posOffset>
              </wp:positionH>
              <wp:positionV relativeFrom="page">
                <wp:posOffset>9788525</wp:posOffset>
              </wp:positionV>
              <wp:extent cx="822960" cy="198120"/>
              <wp:wrapNone/>
              <wp:docPr id="3" name="Shape 3"/>
              <a:graphic xmlns:a="http://schemas.openxmlformats.org/drawingml/2006/main">
                <a:graphicData uri="http://schemas.microsoft.com/office/word/2010/wordprocessingShape">
                  <wps:wsp>
                    <wps:cNvSpPr txBox="1"/>
                    <wps:spPr>
                      <a:xfrm>
                        <a:ext cx="822960"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9.40000000000003pt;margin-top:770.75pt;width:64.799999999999997pt;height:15.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5041900</wp:posOffset>
              </wp:positionH>
              <wp:positionV relativeFrom="page">
                <wp:posOffset>388620</wp:posOffset>
              </wp:positionV>
              <wp:extent cx="1612265" cy="189230"/>
              <wp:wrapNone/>
              <wp:docPr id="1" name="Shape 1"/>
              <a:graphic xmlns:a="http://schemas.openxmlformats.org/drawingml/2006/main">
                <a:graphicData uri="http://schemas.microsoft.com/office/word/2010/wordprocessingShape">
                  <wps:wsp>
                    <wps:cNvSpPr txBox="1"/>
                    <wps:spPr>
                      <a:xfrm>
                        <a:ext cx="1612265"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35/2025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7.pt;margin-top:30.600000000000001pt;width:126.9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35/2025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3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line="250" w:lineRule="auto"/>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ind w:left="440" w:hanging="440"/>
      <w:outlineLvl w:val="1"/>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18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