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C6BB" w14:textId="77777777" w:rsidR="00320809" w:rsidRDefault="00320809" w:rsidP="006443B2">
      <w:pPr>
        <w:ind w:left="-709"/>
        <w:rPr>
          <w:sz w:val="20"/>
          <w:szCs w:val="20"/>
        </w:rPr>
      </w:pPr>
    </w:p>
    <w:p w14:paraId="1724493B" w14:textId="77777777" w:rsidR="0094442E" w:rsidRPr="0094442E" w:rsidRDefault="0094442E" w:rsidP="0094442E">
      <w:pPr>
        <w:rPr>
          <w:sz w:val="20"/>
          <w:szCs w:val="20"/>
        </w:rPr>
      </w:pPr>
    </w:p>
    <w:p w14:paraId="1031D735" w14:textId="77777777" w:rsidR="0094442E" w:rsidRPr="0094442E" w:rsidRDefault="0094442E" w:rsidP="0094442E">
      <w:pPr>
        <w:rPr>
          <w:sz w:val="20"/>
          <w:szCs w:val="20"/>
        </w:rPr>
      </w:pPr>
    </w:p>
    <w:p w14:paraId="02F2470F" w14:textId="77777777" w:rsidR="0094442E" w:rsidRPr="0094442E" w:rsidRDefault="0094442E" w:rsidP="0094442E">
      <w:pPr>
        <w:rPr>
          <w:sz w:val="20"/>
          <w:szCs w:val="20"/>
        </w:rPr>
      </w:pPr>
    </w:p>
    <w:p w14:paraId="4E1B0B30" w14:textId="77777777" w:rsidR="0094442E" w:rsidRDefault="0094442E" w:rsidP="0094442E">
      <w:pPr>
        <w:rPr>
          <w:sz w:val="20"/>
          <w:szCs w:val="20"/>
        </w:rPr>
      </w:pPr>
    </w:p>
    <w:p w14:paraId="68470CC8" w14:textId="77777777" w:rsidR="005B0498" w:rsidRDefault="005B0498" w:rsidP="00E309DA">
      <w:pPr>
        <w:jc w:val="center"/>
        <w:rPr>
          <w:rFonts w:ascii="Ebrima" w:hAnsi="Ebrima"/>
          <w:b/>
          <w:bCs/>
          <w:sz w:val="32"/>
          <w:szCs w:val="32"/>
        </w:rPr>
      </w:pPr>
    </w:p>
    <w:p w14:paraId="3FFB5874" w14:textId="07E49C26" w:rsidR="0094442E" w:rsidRPr="00E309DA" w:rsidRDefault="0094442E" w:rsidP="00E309DA">
      <w:pPr>
        <w:jc w:val="center"/>
        <w:rPr>
          <w:rFonts w:ascii="Ebrima" w:hAnsi="Ebrima"/>
          <w:b/>
          <w:bCs/>
          <w:sz w:val="32"/>
          <w:szCs w:val="32"/>
        </w:rPr>
      </w:pPr>
      <w:proofErr w:type="spellStart"/>
      <w:r w:rsidRPr="00E309DA">
        <w:rPr>
          <w:rFonts w:ascii="Ebrima" w:hAnsi="Ebrima"/>
          <w:b/>
          <w:bCs/>
          <w:sz w:val="32"/>
          <w:szCs w:val="32"/>
        </w:rPr>
        <w:t>Smlouva</w:t>
      </w:r>
      <w:proofErr w:type="spellEnd"/>
      <w:r w:rsidRPr="00E309DA">
        <w:rPr>
          <w:rFonts w:ascii="Ebrima" w:hAnsi="Ebrima"/>
          <w:b/>
          <w:bCs/>
          <w:sz w:val="32"/>
          <w:szCs w:val="32"/>
        </w:rPr>
        <w:t xml:space="preserve"> o </w:t>
      </w:r>
      <w:proofErr w:type="spellStart"/>
      <w:r w:rsidRPr="00E309DA">
        <w:rPr>
          <w:rFonts w:ascii="Ebrima" w:hAnsi="Ebrima"/>
          <w:b/>
          <w:bCs/>
          <w:sz w:val="32"/>
          <w:szCs w:val="32"/>
        </w:rPr>
        <w:t>poskytování</w:t>
      </w:r>
      <w:proofErr w:type="spellEnd"/>
      <w:r w:rsidRPr="00E309DA">
        <w:rPr>
          <w:rFonts w:ascii="Ebrima" w:hAnsi="Ebrima"/>
          <w:b/>
          <w:bCs/>
          <w:sz w:val="32"/>
          <w:szCs w:val="32"/>
        </w:rPr>
        <w:t xml:space="preserve"> </w:t>
      </w:r>
      <w:proofErr w:type="spellStart"/>
      <w:r w:rsidRPr="00E309DA">
        <w:rPr>
          <w:rFonts w:ascii="Ebrima" w:hAnsi="Ebrima"/>
          <w:b/>
          <w:bCs/>
          <w:sz w:val="32"/>
          <w:szCs w:val="32"/>
        </w:rPr>
        <w:t>právních</w:t>
      </w:r>
      <w:proofErr w:type="spellEnd"/>
      <w:r w:rsidRPr="00E309DA">
        <w:rPr>
          <w:rFonts w:ascii="Ebrima" w:hAnsi="Ebrima"/>
          <w:b/>
          <w:bCs/>
          <w:sz w:val="32"/>
          <w:szCs w:val="32"/>
        </w:rPr>
        <w:t xml:space="preserve"> </w:t>
      </w:r>
      <w:proofErr w:type="spellStart"/>
      <w:r w:rsidRPr="00E309DA">
        <w:rPr>
          <w:rFonts w:ascii="Ebrima" w:hAnsi="Ebrima"/>
          <w:b/>
          <w:bCs/>
          <w:sz w:val="32"/>
          <w:szCs w:val="32"/>
        </w:rPr>
        <w:t>služeb</w:t>
      </w:r>
      <w:proofErr w:type="spellEnd"/>
    </w:p>
    <w:p w14:paraId="287D3375" w14:textId="77777777" w:rsidR="0094442E" w:rsidRDefault="0094442E" w:rsidP="0094442E">
      <w:pPr>
        <w:jc w:val="center"/>
        <w:rPr>
          <w:rFonts w:ascii="Ebrima" w:hAnsi="Ebrima"/>
          <w:sz w:val="22"/>
          <w:szCs w:val="22"/>
          <w:lang w:val="cs-CZ"/>
        </w:rPr>
      </w:pPr>
    </w:p>
    <w:p w14:paraId="662BD6C2" w14:textId="77777777" w:rsidR="0094442E" w:rsidRDefault="0094442E" w:rsidP="0094442E">
      <w:pPr>
        <w:jc w:val="center"/>
        <w:rPr>
          <w:rFonts w:ascii="Ebrima" w:hAnsi="Ebrima"/>
          <w:sz w:val="22"/>
          <w:szCs w:val="22"/>
          <w:lang w:val="cs-CZ"/>
        </w:rPr>
      </w:pPr>
      <w:r>
        <w:rPr>
          <w:rFonts w:ascii="Ebrima" w:hAnsi="Ebrima"/>
          <w:sz w:val="22"/>
          <w:szCs w:val="22"/>
          <w:lang w:val="cs-CZ"/>
        </w:rPr>
        <w:t>kterou dále uvedeného dne, měsíce a roku spolu uzavřeli:</w:t>
      </w:r>
    </w:p>
    <w:p w14:paraId="3ADAC6B7" w14:textId="77777777" w:rsidR="0094442E" w:rsidRDefault="0094442E" w:rsidP="0094442E">
      <w:pPr>
        <w:rPr>
          <w:rFonts w:ascii="Ebrima" w:hAnsi="Ebrima"/>
          <w:b/>
          <w:bCs/>
          <w:sz w:val="22"/>
          <w:szCs w:val="22"/>
          <w:lang w:val="cs-CZ"/>
        </w:rPr>
      </w:pPr>
    </w:p>
    <w:p w14:paraId="76062615" w14:textId="77777777" w:rsidR="0094442E" w:rsidRPr="00486F35" w:rsidRDefault="0094442E" w:rsidP="0094442E">
      <w:pPr>
        <w:rPr>
          <w:rFonts w:ascii="Ebrima" w:hAnsi="Ebrima"/>
          <w:b/>
          <w:bCs/>
          <w:sz w:val="22"/>
          <w:szCs w:val="22"/>
          <w:lang w:val="cs-CZ"/>
        </w:rPr>
      </w:pPr>
    </w:p>
    <w:p w14:paraId="64EFD808" w14:textId="5A846D16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b/>
          <w:bCs/>
          <w:sz w:val="22"/>
          <w:szCs w:val="22"/>
          <w:lang w:val="cs-CZ"/>
        </w:rPr>
        <w:t>Doucha Šikola advokáti</w:t>
      </w:r>
      <w:r w:rsidR="00486F35">
        <w:rPr>
          <w:rFonts w:ascii="Ebrima" w:hAnsi="Ebrima"/>
          <w:b/>
          <w:bCs/>
          <w:sz w:val="22"/>
          <w:szCs w:val="22"/>
          <w:lang w:val="cs-CZ"/>
        </w:rPr>
        <w:t>,</w:t>
      </w:r>
      <w:r w:rsidRPr="00486F35">
        <w:rPr>
          <w:rFonts w:ascii="Ebrima" w:hAnsi="Ebrima"/>
          <w:b/>
          <w:bCs/>
          <w:sz w:val="22"/>
          <w:szCs w:val="22"/>
          <w:lang w:val="cs-CZ"/>
        </w:rPr>
        <w:t xml:space="preserve"> s.r.o.  </w:t>
      </w:r>
      <w:r w:rsidRPr="00486F35">
        <w:rPr>
          <w:rFonts w:ascii="Ebrima" w:hAnsi="Ebrima"/>
          <w:sz w:val="22"/>
          <w:szCs w:val="22"/>
          <w:lang w:val="cs-CZ"/>
        </w:rPr>
        <w:br/>
        <w:t>zapsaná v obchodním rejstříku vedeném Městským soudem v Praze, oddíl C, vložka 252262</w:t>
      </w:r>
      <w:r w:rsidRPr="00486F35">
        <w:rPr>
          <w:rFonts w:ascii="Ebrima" w:hAnsi="Ebrima"/>
          <w:sz w:val="22"/>
          <w:szCs w:val="22"/>
          <w:lang w:val="cs-CZ"/>
        </w:rPr>
        <w:br/>
        <w:t>se sídlem Ovocný trh 1096/8, Staré Město, 110 00 Praha 1</w:t>
      </w:r>
      <w:r w:rsidRPr="00486F35">
        <w:rPr>
          <w:rFonts w:ascii="Ebrima" w:hAnsi="Ebrima"/>
          <w:sz w:val="22"/>
          <w:szCs w:val="22"/>
          <w:lang w:val="cs-CZ"/>
        </w:rPr>
        <w:br/>
        <w:t>IČO: 044 42 687</w:t>
      </w:r>
    </w:p>
    <w:p w14:paraId="603F9407" w14:textId="5F11F4FA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 xml:space="preserve">DIČ: </w:t>
      </w:r>
      <w:proofErr w:type="spellStart"/>
      <w:r w:rsidR="00680075">
        <w:rPr>
          <w:rFonts w:ascii="Ebrima" w:hAnsi="Ebrima"/>
          <w:sz w:val="22"/>
          <w:szCs w:val="22"/>
          <w:lang w:val="cs-CZ"/>
        </w:rPr>
        <w:t>xxxx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br/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č.ú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. </w:t>
      </w:r>
      <w:proofErr w:type="spellStart"/>
      <w:r w:rsidR="00680075">
        <w:rPr>
          <w:rFonts w:ascii="Ebrima" w:hAnsi="Ebrima"/>
          <w:sz w:val="22"/>
          <w:szCs w:val="22"/>
          <w:lang w:val="cs-CZ"/>
        </w:rPr>
        <w:t>xxxx</w:t>
      </w:r>
      <w:proofErr w:type="spellEnd"/>
    </w:p>
    <w:p w14:paraId="021ECAAE" w14:textId="3F793908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 xml:space="preserve">e-mail: </w:t>
      </w:r>
      <w:proofErr w:type="spellStart"/>
      <w:r w:rsidR="00680075">
        <w:rPr>
          <w:rFonts w:ascii="Ebrima" w:hAnsi="Ebrima"/>
          <w:sz w:val="22"/>
          <w:szCs w:val="22"/>
          <w:lang w:val="cs-CZ"/>
        </w:rPr>
        <w:t>xxxx</w:t>
      </w:r>
      <w:proofErr w:type="spellEnd"/>
    </w:p>
    <w:p w14:paraId="72522B88" w14:textId="77777777" w:rsidR="0094442E" w:rsidRPr="00486F35" w:rsidRDefault="0094442E" w:rsidP="0094442E">
      <w:pPr>
        <w:rPr>
          <w:rFonts w:ascii="Ebrima" w:hAnsi="Ebrima"/>
          <w:i/>
          <w:sz w:val="22"/>
          <w:szCs w:val="22"/>
          <w:lang w:val="cs-CZ"/>
        </w:rPr>
      </w:pPr>
    </w:p>
    <w:p w14:paraId="555CF4B2" w14:textId="6A388115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>zastoupena Mgr. Pavlem Douchou, jednatelem</w:t>
      </w:r>
    </w:p>
    <w:p w14:paraId="6A243DFB" w14:textId="77777777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</w:p>
    <w:p w14:paraId="0B6AC6EA" w14:textId="77777777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>(na straně jedné jako „</w:t>
      </w:r>
      <w:r w:rsidRPr="00486F35">
        <w:rPr>
          <w:rFonts w:ascii="Ebrima" w:hAnsi="Ebrima"/>
          <w:b/>
          <w:sz w:val="22"/>
          <w:szCs w:val="22"/>
          <w:lang w:val="cs-CZ"/>
        </w:rPr>
        <w:t>advokátní kancelář</w:t>
      </w:r>
      <w:r w:rsidRPr="00486F35">
        <w:rPr>
          <w:rFonts w:ascii="Ebrima" w:hAnsi="Ebrima"/>
          <w:sz w:val="22"/>
          <w:szCs w:val="22"/>
          <w:lang w:val="cs-CZ"/>
        </w:rPr>
        <w:t>“)</w:t>
      </w:r>
    </w:p>
    <w:p w14:paraId="1A5DB4BC" w14:textId="77777777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</w:p>
    <w:p w14:paraId="17EB4CD7" w14:textId="77777777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>a</w:t>
      </w:r>
    </w:p>
    <w:p w14:paraId="38EFA4F4" w14:textId="77777777" w:rsidR="0094442E" w:rsidRPr="00486F35" w:rsidRDefault="0094442E" w:rsidP="0094442E">
      <w:pPr>
        <w:rPr>
          <w:rFonts w:ascii="Ebrima" w:hAnsi="Ebrima"/>
          <w:b/>
          <w:sz w:val="22"/>
          <w:szCs w:val="22"/>
          <w:lang w:val="cs-CZ"/>
        </w:rPr>
      </w:pPr>
    </w:p>
    <w:p w14:paraId="5C97FE1B" w14:textId="6B60A555" w:rsidR="0094442E" w:rsidRPr="00486F35" w:rsidRDefault="00495609" w:rsidP="0094442E">
      <w:pPr>
        <w:rPr>
          <w:rFonts w:ascii="Ebrima" w:hAnsi="Ebrima"/>
          <w:b/>
          <w:sz w:val="22"/>
          <w:szCs w:val="22"/>
          <w:lang w:val="cs-CZ"/>
        </w:rPr>
      </w:pPr>
      <w:r w:rsidRPr="00486F35">
        <w:rPr>
          <w:rFonts w:ascii="Ebrima" w:hAnsi="Ebrima"/>
          <w:b/>
          <w:sz w:val="22"/>
          <w:szCs w:val="22"/>
          <w:lang w:val="cs-CZ"/>
        </w:rPr>
        <w:t>Město Jindřichův Hradec</w:t>
      </w:r>
    </w:p>
    <w:p w14:paraId="56D8BAFD" w14:textId="1E6556CF" w:rsidR="0094442E" w:rsidRPr="004F7E5D" w:rsidRDefault="0094442E" w:rsidP="004F7E5D">
      <w:pPr>
        <w:pStyle w:val="Normlnweb"/>
        <w:spacing w:before="0" w:beforeAutospacing="0"/>
        <w:rPr>
          <w:rFonts w:ascii="Ebrima" w:hAnsi="Ebrima"/>
          <w:sz w:val="22"/>
          <w:szCs w:val="22"/>
        </w:rPr>
      </w:pPr>
      <w:r w:rsidRPr="00486F35">
        <w:rPr>
          <w:rFonts w:ascii="Ebrima" w:hAnsi="Ebrima"/>
          <w:sz w:val="22"/>
          <w:szCs w:val="22"/>
        </w:rPr>
        <w:t xml:space="preserve">se sídlem </w:t>
      </w:r>
      <w:proofErr w:type="spellStart"/>
      <w:r w:rsidR="00495609" w:rsidRPr="00486F35">
        <w:rPr>
          <w:rFonts w:ascii="Ebrima" w:hAnsi="Ebrima" w:cs="Calibri"/>
          <w:sz w:val="22"/>
          <w:szCs w:val="22"/>
        </w:rPr>
        <w:t>Klášterska</w:t>
      </w:r>
      <w:proofErr w:type="spellEnd"/>
      <w:r w:rsidR="00495609" w:rsidRPr="00486F35">
        <w:rPr>
          <w:rFonts w:ascii="Ebrima" w:hAnsi="Ebrima" w:cs="Calibri"/>
          <w:sz w:val="22"/>
          <w:szCs w:val="22"/>
        </w:rPr>
        <w:t>́ 135/</w:t>
      </w:r>
      <w:proofErr w:type="gramStart"/>
      <w:r w:rsidR="00495609" w:rsidRPr="00486F35">
        <w:rPr>
          <w:rFonts w:ascii="Ebrima" w:hAnsi="Ebrima" w:cs="Calibri"/>
          <w:sz w:val="22"/>
          <w:szCs w:val="22"/>
        </w:rPr>
        <w:t>II ,</w:t>
      </w:r>
      <w:proofErr w:type="gramEnd"/>
      <w:r w:rsidR="00495609" w:rsidRPr="00486F35">
        <w:rPr>
          <w:rFonts w:ascii="Ebrima" w:hAnsi="Ebrima" w:cs="Calibri"/>
          <w:sz w:val="22"/>
          <w:szCs w:val="22"/>
        </w:rPr>
        <w:t xml:space="preserve"> 37722 </w:t>
      </w:r>
      <w:proofErr w:type="spellStart"/>
      <w:r w:rsidR="00495609" w:rsidRPr="00486F35">
        <w:rPr>
          <w:rFonts w:ascii="Ebrima" w:hAnsi="Ebrima" w:cs="Calibri"/>
          <w:sz w:val="22"/>
          <w:szCs w:val="22"/>
        </w:rPr>
        <w:t>Jindřichův</w:t>
      </w:r>
      <w:proofErr w:type="spellEnd"/>
      <w:r w:rsidR="00495609" w:rsidRPr="00486F35">
        <w:rPr>
          <w:rFonts w:ascii="Ebrima" w:hAnsi="Ebrima" w:cs="Calibri"/>
          <w:sz w:val="22"/>
          <w:szCs w:val="22"/>
        </w:rPr>
        <w:t xml:space="preserve"> Hradec </w:t>
      </w:r>
      <w:r w:rsidRPr="00486F35">
        <w:rPr>
          <w:rFonts w:ascii="Ebrima" w:hAnsi="Ebrima"/>
          <w:sz w:val="22"/>
          <w:szCs w:val="22"/>
        </w:rPr>
        <w:br/>
        <w:t xml:space="preserve">IČO: </w:t>
      </w:r>
      <w:r w:rsidR="00495609" w:rsidRPr="00486F35">
        <w:rPr>
          <w:rFonts w:ascii="Ebrima" w:hAnsi="Ebrima"/>
          <w:sz w:val="22"/>
          <w:szCs w:val="22"/>
        </w:rPr>
        <w:t>00246875</w:t>
      </w:r>
      <w:r w:rsidRPr="00486F35">
        <w:rPr>
          <w:rFonts w:ascii="Ebrima" w:hAnsi="Ebrima"/>
          <w:sz w:val="22"/>
          <w:szCs w:val="22"/>
        </w:rPr>
        <w:br/>
        <w:t xml:space="preserve">DIČ: </w:t>
      </w:r>
      <w:r w:rsidR="00495609" w:rsidRPr="00486F35">
        <w:rPr>
          <w:rFonts w:ascii="Ebrima" w:hAnsi="Ebrima"/>
          <w:sz w:val="22"/>
          <w:szCs w:val="22"/>
        </w:rPr>
        <w:t>CZ00246875</w:t>
      </w:r>
      <w:r w:rsidRPr="00486F35">
        <w:rPr>
          <w:rFonts w:ascii="Ebrima" w:hAnsi="Ebrima"/>
          <w:sz w:val="22"/>
          <w:szCs w:val="22"/>
        </w:rPr>
        <w:br/>
        <w:t xml:space="preserve">e-mail: </w:t>
      </w:r>
      <w:proofErr w:type="spellStart"/>
      <w:r w:rsidR="006E388A">
        <w:rPr>
          <w:rFonts w:ascii="Ebrima" w:hAnsi="Ebrima"/>
          <w:sz w:val="22"/>
          <w:szCs w:val="22"/>
        </w:rPr>
        <w:t>xxxx</w:t>
      </w:r>
      <w:proofErr w:type="spellEnd"/>
    </w:p>
    <w:p w14:paraId="538A5945" w14:textId="4076904E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>zas</w:t>
      </w:r>
      <w:r w:rsidR="00495609" w:rsidRPr="00486F35">
        <w:rPr>
          <w:rFonts w:ascii="Ebrima" w:hAnsi="Ebrima"/>
          <w:sz w:val="22"/>
          <w:szCs w:val="22"/>
          <w:lang w:val="cs-CZ"/>
        </w:rPr>
        <w:t xml:space="preserve">toupena starostou Mgr. Ing. Michalem </w:t>
      </w:r>
      <w:proofErr w:type="spellStart"/>
      <w:r w:rsidR="00495609" w:rsidRPr="00486F35">
        <w:rPr>
          <w:rFonts w:ascii="Ebrima" w:hAnsi="Ebrima"/>
          <w:sz w:val="22"/>
          <w:szCs w:val="22"/>
          <w:lang w:val="cs-CZ"/>
        </w:rPr>
        <w:t>Kozárem</w:t>
      </w:r>
      <w:proofErr w:type="spellEnd"/>
      <w:r w:rsidR="00495609" w:rsidRPr="00486F35">
        <w:rPr>
          <w:rFonts w:ascii="Ebrima" w:hAnsi="Ebrima"/>
          <w:sz w:val="22"/>
          <w:szCs w:val="22"/>
          <w:lang w:val="cs-CZ"/>
        </w:rPr>
        <w:t>, MBA</w:t>
      </w:r>
    </w:p>
    <w:p w14:paraId="7D8F9257" w14:textId="77777777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</w:p>
    <w:p w14:paraId="07EE117D" w14:textId="77777777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 xml:space="preserve">(na straně druhé jako </w:t>
      </w:r>
      <w:r w:rsidRPr="00486F35">
        <w:rPr>
          <w:rFonts w:ascii="Ebrima" w:hAnsi="Ebrima"/>
          <w:b/>
          <w:sz w:val="22"/>
          <w:szCs w:val="22"/>
          <w:lang w:val="cs-CZ"/>
        </w:rPr>
        <w:t>„klient“</w:t>
      </w:r>
      <w:r w:rsidRPr="00486F35">
        <w:rPr>
          <w:rFonts w:ascii="Ebrima" w:hAnsi="Ebrima"/>
          <w:sz w:val="22"/>
          <w:szCs w:val="22"/>
          <w:lang w:val="cs-CZ"/>
        </w:rPr>
        <w:t xml:space="preserve">) </w:t>
      </w:r>
    </w:p>
    <w:p w14:paraId="5321A1E1" w14:textId="77777777" w:rsidR="0094442E" w:rsidRPr="00486F35" w:rsidRDefault="0094442E" w:rsidP="0094442E">
      <w:pPr>
        <w:rPr>
          <w:rFonts w:ascii="Ebrima" w:hAnsi="Ebrima"/>
          <w:sz w:val="22"/>
          <w:szCs w:val="22"/>
          <w:lang w:val="cs-CZ"/>
        </w:rPr>
      </w:pPr>
    </w:p>
    <w:p w14:paraId="4C4C1ACA" w14:textId="77777777" w:rsidR="0094442E" w:rsidRPr="00486F35" w:rsidRDefault="0094442E" w:rsidP="0094442E">
      <w:pPr>
        <w:rPr>
          <w:rFonts w:ascii="Ebrima" w:hAnsi="Ebrima"/>
          <w:b/>
          <w:sz w:val="22"/>
          <w:szCs w:val="22"/>
          <w:lang w:val="cs-CZ"/>
        </w:rPr>
      </w:pPr>
    </w:p>
    <w:p w14:paraId="7038846E" w14:textId="38CF6864" w:rsidR="0094442E" w:rsidRDefault="0094442E" w:rsidP="0094442E">
      <w:pPr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 xml:space="preserve">(dále oba též jako </w:t>
      </w:r>
      <w:r w:rsidRPr="00486F35">
        <w:rPr>
          <w:rFonts w:ascii="Ebrima" w:hAnsi="Ebrima"/>
          <w:b/>
          <w:sz w:val="22"/>
          <w:szCs w:val="22"/>
          <w:lang w:val="cs-CZ"/>
        </w:rPr>
        <w:t>„smluvní strany“</w:t>
      </w:r>
      <w:r w:rsidRPr="00486F35">
        <w:rPr>
          <w:rFonts w:ascii="Ebrima" w:hAnsi="Ebrima"/>
          <w:sz w:val="22"/>
          <w:szCs w:val="22"/>
          <w:lang w:val="cs-CZ"/>
        </w:rPr>
        <w:t>)</w:t>
      </w:r>
    </w:p>
    <w:p w14:paraId="72340B97" w14:textId="77777777" w:rsidR="004F7E5D" w:rsidRDefault="004F7E5D" w:rsidP="0094442E">
      <w:pPr>
        <w:rPr>
          <w:rFonts w:ascii="Ebrima" w:hAnsi="Ebrima"/>
          <w:sz w:val="22"/>
          <w:szCs w:val="22"/>
          <w:lang w:val="cs-CZ"/>
        </w:rPr>
      </w:pPr>
    </w:p>
    <w:p w14:paraId="0C6976A2" w14:textId="77777777" w:rsidR="004F7E5D" w:rsidRDefault="004F7E5D" w:rsidP="0094442E">
      <w:pPr>
        <w:rPr>
          <w:rFonts w:ascii="Ebrima" w:hAnsi="Ebrima"/>
          <w:sz w:val="22"/>
          <w:szCs w:val="22"/>
          <w:lang w:val="cs-CZ"/>
        </w:rPr>
      </w:pPr>
    </w:p>
    <w:p w14:paraId="17BB5545" w14:textId="77777777" w:rsidR="004F7E5D" w:rsidRDefault="004F7E5D" w:rsidP="0094442E">
      <w:pPr>
        <w:rPr>
          <w:rFonts w:ascii="Ebrima" w:hAnsi="Ebrima"/>
          <w:sz w:val="22"/>
          <w:szCs w:val="22"/>
          <w:lang w:val="cs-CZ"/>
        </w:rPr>
      </w:pPr>
    </w:p>
    <w:p w14:paraId="3BB00431" w14:textId="77777777" w:rsidR="004F7E5D" w:rsidRDefault="004F7E5D" w:rsidP="0094442E">
      <w:pPr>
        <w:rPr>
          <w:rFonts w:ascii="Ebrima" w:hAnsi="Ebrima"/>
          <w:sz w:val="22"/>
          <w:szCs w:val="22"/>
          <w:lang w:val="cs-CZ"/>
        </w:rPr>
      </w:pPr>
    </w:p>
    <w:p w14:paraId="3A955105" w14:textId="77777777" w:rsidR="004F7E5D" w:rsidRDefault="004F7E5D" w:rsidP="0094442E">
      <w:pPr>
        <w:rPr>
          <w:rFonts w:ascii="Ebrima" w:hAnsi="Ebrima"/>
          <w:sz w:val="22"/>
          <w:szCs w:val="22"/>
          <w:lang w:val="cs-CZ"/>
        </w:rPr>
      </w:pPr>
    </w:p>
    <w:p w14:paraId="2020BDD5" w14:textId="77777777" w:rsidR="004F7E5D" w:rsidRDefault="004F7E5D" w:rsidP="0094442E">
      <w:pPr>
        <w:rPr>
          <w:rFonts w:ascii="Ebrima" w:hAnsi="Ebrima"/>
          <w:sz w:val="22"/>
          <w:szCs w:val="22"/>
          <w:lang w:val="cs-CZ"/>
        </w:rPr>
      </w:pPr>
    </w:p>
    <w:p w14:paraId="433D6D8A" w14:textId="77777777" w:rsidR="0094442E" w:rsidRDefault="0094442E" w:rsidP="0094442E">
      <w:pPr>
        <w:rPr>
          <w:rFonts w:ascii="Ebrima" w:hAnsi="Ebrima"/>
          <w:sz w:val="22"/>
          <w:szCs w:val="22"/>
          <w:lang w:val="cs-CZ"/>
        </w:rPr>
      </w:pPr>
    </w:p>
    <w:p w14:paraId="26A03175" w14:textId="77777777" w:rsidR="0094442E" w:rsidRPr="00E309DA" w:rsidRDefault="0094442E" w:rsidP="004F7E5D">
      <w:pPr>
        <w:pStyle w:val="Nadpis1"/>
        <w:spacing w:after="120"/>
      </w:pPr>
      <w:r w:rsidRPr="00E309DA">
        <w:lastRenderedPageBreak/>
        <w:t>Předmět smlouvy</w:t>
      </w:r>
    </w:p>
    <w:p w14:paraId="2E1CA4CC" w14:textId="1CD2D9F4" w:rsidR="00E309DA" w:rsidRDefault="0094442E" w:rsidP="00E309DA">
      <w:pPr>
        <w:numPr>
          <w:ilvl w:val="1"/>
          <w:numId w:val="15"/>
        </w:numPr>
        <w:spacing w:after="120"/>
        <w:jc w:val="both"/>
        <w:rPr>
          <w:rFonts w:ascii="Ebrima" w:hAnsi="Ebrima"/>
          <w:sz w:val="22"/>
          <w:szCs w:val="22"/>
          <w:lang w:val="cs-CZ"/>
        </w:rPr>
      </w:pPr>
      <w:r>
        <w:rPr>
          <w:rFonts w:ascii="Ebrima" w:hAnsi="Ebrima"/>
          <w:sz w:val="22"/>
          <w:szCs w:val="22"/>
          <w:lang w:val="cs-CZ"/>
        </w:rPr>
        <w:t xml:space="preserve">Klient touto smlouvou objednává a advokátní kancelář se zavazuje poskytovat klientovi právní služby ve věci </w:t>
      </w:r>
      <w:r w:rsidR="00495609">
        <w:rPr>
          <w:rFonts w:ascii="Ebrima" w:hAnsi="Ebrima"/>
          <w:b/>
          <w:sz w:val="22"/>
          <w:szCs w:val="22"/>
          <w:lang w:val="cs-CZ"/>
        </w:rPr>
        <w:t>Vznik energetického společenství Jindřichův Hradec</w:t>
      </w:r>
      <w:r w:rsidR="005B0498">
        <w:rPr>
          <w:rFonts w:ascii="Ebrima" w:hAnsi="Ebrima"/>
          <w:b/>
          <w:sz w:val="22"/>
          <w:szCs w:val="22"/>
          <w:lang w:val="cs-CZ"/>
        </w:rPr>
        <w:t xml:space="preserve"> </w:t>
      </w:r>
      <w:r w:rsidR="005B0498" w:rsidRPr="005B0498">
        <w:rPr>
          <w:rFonts w:ascii="Ebrima" w:hAnsi="Ebrima"/>
          <w:bCs/>
          <w:sz w:val="22"/>
          <w:szCs w:val="22"/>
          <w:lang w:val="cs-CZ"/>
        </w:rPr>
        <w:t>(dále jen</w:t>
      </w:r>
      <w:r w:rsidR="005B0498">
        <w:rPr>
          <w:rFonts w:ascii="Ebrima" w:hAnsi="Ebrima"/>
          <w:b/>
          <w:sz w:val="22"/>
          <w:szCs w:val="22"/>
          <w:lang w:val="cs-CZ"/>
        </w:rPr>
        <w:t xml:space="preserve"> „ES“</w:t>
      </w:r>
      <w:r w:rsidR="005B0498" w:rsidRPr="005B0498">
        <w:rPr>
          <w:rFonts w:ascii="Ebrima" w:hAnsi="Ebrima"/>
          <w:bCs/>
          <w:sz w:val="22"/>
          <w:szCs w:val="22"/>
          <w:lang w:val="cs-CZ"/>
        </w:rPr>
        <w:t>)</w:t>
      </w:r>
      <w:r w:rsidR="00495609" w:rsidRPr="005B0498">
        <w:rPr>
          <w:rFonts w:ascii="Ebrima" w:hAnsi="Ebrima"/>
          <w:bCs/>
          <w:sz w:val="22"/>
          <w:szCs w:val="22"/>
          <w:lang w:val="cs-CZ"/>
        </w:rPr>
        <w:t>.</w:t>
      </w:r>
      <w:r w:rsidR="00E309DA" w:rsidRPr="00E309DA">
        <w:rPr>
          <w:rFonts w:ascii="Ebrima" w:hAnsi="Ebrima"/>
          <w:sz w:val="22"/>
          <w:szCs w:val="22"/>
          <w:lang w:val="cs-CZ"/>
        </w:rPr>
        <w:t xml:space="preserve"> </w:t>
      </w:r>
      <w:r w:rsidR="00E309DA">
        <w:rPr>
          <w:rFonts w:ascii="Ebrima" w:hAnsi="Ebrima"/>
          <w:sz w:val="22"/>
          <w:szCs w:val="22"/>
          <w:lang w:val="cs-CZ"/>
        </w:rPr>
        <w:t xml:space="preserve">Smluvní strany souhlasí, že </w:t>
      </w:r>
      <w:r w:rsidR="00E309DA">
        <w:rPr>
          <w:rFonts w:ascii="Ebrima" w:hAnsi="Ebrima"/>
          <w:b/>
          <w:sz w:val="22"/>
          <w:szCs w:val="22"/>
          <w:lang w:val="cs-CZ"/>
        </w:rPr>
        <w:t>právními službami</w:t>
      </w:r>
      <w:r w:rsidR="00E309DA">
        <w:rPr>
          <w:rFonts w:ascii="Ebrima" w:hAnsi="Ebrima"/>
          <w:sz w:val="22"/>
          <w:szCs w:val="22"/>
          <w:lang w:val="cs-CZ"/>
        </w:rPr>
        <w:t xml:space="preserve"> se v této věci rozumí zejména:</w:t>
      </w:r>
    </w:p>
    <w:p w14:paraId="5238C3EC" w14:textId="5AF0BBFA" w:rsidR="0053269E" w:rsidRDefault="00486F35" w:rsidP="00486F35">
      <w:pPr>
        <w:spacing w:after="120"/>
        <w:ind w:left="432"/>
        <w:jc w:val="both"/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>-</w:t>
      </w:r>
      <w:r w:rsidRPr="00486F35">
        <w:rPr>
          <w:rFonts w:ascii="Ebrima" w:hAnsi="Ebrima"/>
          <w:sz w:val="22"/>
          <w:szCs w:val="22"/>
          <w:lang w:val="cs-CZ"/>
        </w:rPr>
        <w:tab/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analýza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vlastnicke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struktury </w:t>
      </w:r>
      <w:r w:rsidR="0053269E">
        <w:rPr>
          <w:rFonts w:ascii="Ebrima" w:hAnsi="Ebrima"/>
          <w:sz w:val="22"/>
          <w:szCs w:val="22"/>
          <w:lang w:val="cs-CZ"/>
        </w:rPr>
        <w:t>výroben a odběrných míst zapojených do ES,</w:t>
      </w:r>
    </w:p>
    <w:p w14:paraId="052FABFF" w14:textId="3C81CF0B" w:rsidR="00486F35" w:rsidRPr="00486F35" w:rsidRDefault="0053269E" w:rsidP="00486F35">
      <w:pPr>
        <w:spacing w:after="120"/>
        <w:ind w:left="432"/>
        <w:jc w:val="both"/>
        <w:rPr>
          <w:rFonts w:ascii="Ebrima" w:hAnsi="Ebrima"/>
          <w:sz w:val="22"/>
          <w:szCs w:val="22"/>
          <w:lang w:val="cs-CZ"/>
        </w:rPr>
      </w:pPr>
      <w:r>
        <w:rPr>
          <w:rFonts w:ascii="Ebrima" w:hAnsi="Ebrima"/>
          <w:sz w:val="22"/>
          <w:szCs w:val="22"/>
          <w:lang w:val="cs-CZ"/>
        </w:rPr>
        <w:t>-</w:t>
      </w:r>
      <w:r>
        <w:rPr>
          <w:rFonts w:ascii="Ebrima" w:hAnsi="Ebrima"/>
          <w:sz w:val="22"/>
          <w:szCs w:val="22"/>
          <w:lang w:val="cs-CZ"/>
        </w:rPr>
        <w:tab/>
        <w:t xml:space="preserve">analýza </w:t>
      </w:r>
      <w:r w:rsidR="00486F35">
        <w:rPr>
          <w:rFonts w:ascii="Ebrima" w:hAnsi="Ebrima"/>
          <w:sz w:val="22"/>
          <w:szCs w:val="22"/>
          <w:lang w:val="cs-CZ"/>
        </w:rPr>
        <w:t>právní form</w:t>
      </w:r>
      <w:r>
        <w:rPr>
          <w:rFonts w:ascii="Ebrima" w:hAnsi="Ebrima"/>
          <w:sz w:val="22"/>
          <w:szCs w:val="22"/>
          <w:lang w:val="cs-CZ"/>
        </w:rPr>
        <w:t>y energetického společenství</w:t>
      </w:r>
      <w:r w:rsidR="00486F35" w:rsidRPr="00486F35">
        <w:rPr>
          <w:rFonts w:ascii="Ebrima" w:hAnsi="Ebrima"/>
          <w:sz w:val="22"/>
          <w:szCs w:val="22"/>
          <w:lang w:val="cs-CZ"/>
        </w:rPr>
        <w:t xml:space="preserve">, </w:t>
      </w:r>
    </w:p>
    <w:p w14:paraId="10E5FBC8" w14:textId="47C4DA8B" w:rsidR="00486F35" w:rsidRPr="00486F35" w:rsidRDefault="00486F35" w:rsidP="00486F35">
      <w:pPr>
        <w:spacing w:after="120"/>
        <w:ind w:left="432"/>
        <w:jc w:val="both"/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>-</w:t>
      </w:r>
      <w:r w:rsidRPr="00486F35">
        <w:rPr>
          <w:rFonts w:ascii="Ebrima" w:hAnsi="Ebrima"/>
          <w:sz w:val="22"/>
          <w:szCs w:val="22"/>
          <w:lang w:val="cs-CZ"/>
        </w:rPr>
        <w:tab/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vypracováni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zakladatelského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právního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jednáni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>́</w:t>
      </w:r>
      <w:r w:rsidR="00DE70E6">
        <w:rPr>
          <w:rFonts w:ascii="Ebrima" w:hAnsi="Ebrima"/>
          <w:sz w:val="22"/>
          <w:szCs w:val="22"/>
          <w:lang w:val="cs-CZ"/>
        </w:rPr>
        <w:t xml:space="preserve"> umožňující bezvadné založení ES</w:t>
      </w:r>
      <w:r>
        <w:rPr>
          <w:rFonts w:ascii="Ebrima" w:hAnsi="Ebrima"/>
          <w:sz w:val="22"/>
          <w:szCs w:val="22"/>
          <w:lang w:val="cs-CZ"/>
        </w:rPr>
        <w:t>,</w:t>
      </w:r>
    </w:p>
    <w:p w14:paraId="61F8DD39" w14:textId="43646E31" w:rsidR="00486F35" w:rsidRPr="00486F35" w:rsidRDefault="00486F35" w:rsidP="00486F35">
      <w:pPr>
        <w:spacing w:after="120"/>
        <w:ind w:left="432"/>
        <w:jc w:val="both"/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>-</w:t>
      </w:r>
      <w:r w:rsidRPr="00486F35">
        <w:rPr>
          <w:rFonts w:ascii="Ebrima" w:hAnsi="Ebrima"/>
          <w:sz w:val="22"/>
          <w:szCs w:val="22"/>
          <w:lang w:val="cs-CZ"/>
        </w:rPr>
        <w:tab/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vypracováni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plánu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majetkove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účasti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členu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>̊ ES</w:t>
      </w:r>
      <w:r w:rsidR="0053269E">
        <w:rPr>
          <w:rFonts w:ascii="Ebrima" w:hAnsi="Ebrima"/>
          <w:sz w:val="22"/>
          <w:szCs w:val="22"/>
          <w:lang w:val="cs-CZ"/>
        </w:rPr>
        <w:t xml:space="preserve"> v ES</w:t>
      </w:r>
      <w:r w:rsidRPr="00486F35">
        <w:rPr>
          <w:rFonts w:ascii="Ebrima" w:hAnsi="Ebrima"/>
          <w:sz w:val="22"/>
          <w:szCs w:val="22"/>
          <w:lang w:val="cs-CZ"/>
        </w:rPr>
        <w:t xml:space="preserve">,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financováni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</w:t>
      </w:r>
      <w:r>
        <w:rPr>
          <w:rFonts w:ascii="Ebrima" w:hAnsi="Ebrima"/>
          <w:sz w:val="22"/>
          <w:szCs w:val="22"/>
          <w:lang w:val="cs-CZ"/>
        </w:rPr>
        <w:t xml:space="preserve">provozu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výroben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a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souvisejících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nákladu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>̊</w:t>
      </w:r>
      <w:r w:rsidR="00DE70E6">
        <w:rPr>
          <w:rFonts w:ascii="Ebrima" w:hAnsi="Ebrima"/>
          <w:sz w:val="22"/>
          <w:szCs w:val="22"/>
          <w:lang w:val="cs-CZ"/>
        </w:rPr>
        <w:t>,</w:t>
      </w:r>
    </w:p>
    <w:p w14:paraId="234BC76B" w14:textId="77777777" w:rsidR="00486F35" w:rsidRPr="00486F35" w:rsidRDefault="00486F35" w:rsidP="00486F35">
      <w:pPr>
        <w:spacing w:after="120"/>
        <w:ind w:left="432"/>
        <w:jc w:val="both"/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>-</w:t>
      </w:r>
      <w:r w:rsidRPr="00486F35">
        <w:rPr>
          <w:rFonts w:ascii="Ebrima" w:hAnsi="Ebrima"/>
          <w:sz w:val="22"/>
          <w:szCs w:val="22"/>
          <w:lang w:val="cs-CZ"/>
        </w:rPr>
        <w:tab/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vypracováni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smlouvy o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sdíleni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elektricke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energie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včetne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̌ stanovení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alokačního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klíče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nebo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způsobu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určeni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výše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plateb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členu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̊ ES za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sdílenou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energii, </w:t>
      </w:r>
    </w:p>
    <w:p w14:paraId="70D48848" w14:textId="6F011ED3" w:rsidR="00486F35" w:rsidRDefault="00486F35" w:rsidP="00486F35">
      <w:pPr>
        <w:spacing w:after="120"/>
        <w:ind w:left="432"/>
        <w:jc w:val="both"/>
        <w:rPr>
          <w:rFonts w:ascii="Ebrima" w:hAnsi="Ebrima"/>
          <w:sz w:val="22"/>
          <w:szCs w:val="22"/>
          <w:lang w:val="cs-CZ"/>
        </w:rPr>
      </w:pPr>
      <w:r w:rsidRPr="00486F35">
        <w:rPr>
          <w:rFonts w:ascii="Ebrima" w:hAnsi="Ebrima"/>
          <w:sz w:val="22"/>
          <w:szCs w:val="22"/>
          <w:lang w:val="cs-CZ"/>
        </w:rPr>
        <w:t>-</w:t>
      </w:r>
      <w:r w:rsidRPr="00486F35">
        <w:rPr>
          <w:rFonts w:ascii="Ebrima" w:hAnsi="Ebrima"/>
          <w:sz w:val="22"/>
          <w:szCs w:val="22"/>
          <w:lang w:val="cs-CZ"/>
        </w:rPr>
        <w:tab/>
      </w:r>
      <w:r w:rsidR="007B54CF">
        <w:rPr>
          <w:rFonts w:ascii="Ebrima" w:hAnsi="Ebrima"/>
          <w:sz w:val="22"/>
          <w:szCs w:val="22"/>
          <w:lang w:val="cs-CZ"/>
        </w:rPr>
        <w:t xml:space="preserve">právní konzultace při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zpracováni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a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podáváni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žádosti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́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spojených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s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povolovacími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procesy </w:t>
      </w:r>
      <w:r>
        <w:rPr>
          <w:rFonts w:ascii="Ebrima" w:hAnsi="Ebrima"/>
          <w:sz w:val="22"/>
          <w:szCs w:val="22"/>
          <w:lang w:val="cs-CZ"/>
        </w:rPr>
        <w:t xml:space="preserve">výroben elektřiny provozovaných </w:t>
      </w:r>
      <w:r w:rsidR="0053269E">
        <w:rPr>
          <w:rFonts w:ascii="Ebrima" w:hAnsi="Ebrima"/>
          <w:sz w:val="22"/>
          <w:szCs w:val="22"/>
          <w:lang w:val="cs-CZ"/>
        </w:rPr>
        <w:t xml:space="preserve">ES </w:t>
      </w:r>
      <w:r w:rsidRPr="00486F35">
        <w:rPr>
          <w:rFonts w:ascii="Ebrima" w:hAnsi="Ebrima"/>
          <w:sz w:val="22"/>
          <w:szCs w:val="22"/>
          <w:lang w:val="cs-CZ"/>
        </w:rPr>
        <w:t xml:space="preserve">a zastoupení v </w:t>
      </w:r>
      <w:proofErr w:type="spellStart"/>
      <w:r w:rsidRPr="00486F35">
        <w:rPr>
          <w:rFonts w:ascii="Ebrima" w:hAnsi="Ebrima"/>
          <w:sz w:val="22"/>
          <w:szCs w:val="22"/>
          <w:lang w:val="cs-CZ"/>
        </w:rPr>
        <w:t>těchto</w:t>
      </w:r>
      <w:proofErr w:type="spellEnd"/>
      <w:r w:rsidRPr="00486F35">
        <w:rPr>
          <w:rFonts w:ascii="Ebrima" w:hAnsi="Ebrima"/>
          <w:sz w:val="22"/>
          <w:szCs w:val="22"/>
          <w:lang w:val="cs-CZ"/>
        </w:rPr>
        <w:t xml:space="preserve"> procesech.</w:t>
      </w:r>
    </w:p>
    <w:p w14:paraId="2F0943EC" w14:textId="70781F94" w:rsidR="007E0F89" w:rsidRDefault="007E0F89" w:rsidP="00486F35">
      <w:pPr>
        <w:spacing w:after="120"/>
        <w:ind w:left="432"/>
        <w:jc w:val="both"/>
        <w:rPr>
          <w:rFonts w:ascii="Ebrima" w:hAnsi="Ebrima"/>
          <w:sz w:val="22"/>
          <w:szCs w:val="22"/>
          <w:lang w:val="cs-CZ"/>
        </w:rPr>
      </w:pPr>
      <w:r>
        <w:rPr>
          <w:rFonts w:ascii="Ebrima" w:hAnsi="Ebrima"/>
          <w:sz w:val="22"/>
          <w:szCs w:val="22"/>
          <w:lang w:val="cs-CZ"/>
        </w:rPr>
        <w:t>Bližší popis objednaných právních služeb obsahuje příloha č. 1 této smlouvy.</w:t>
      </w:r>
    </w:p>
    <w:p w14:paraId="3157EADD" w14:textId="09FB8830" w:rsidR="00495609" w:rsidRPr="00495609" w:rsidRDefault="0094442E" w:rsidP="00396EC4">
      <w:pPr>
        <w:numPr>
          <w:ilvl w:val="1"/>
          <w:numId w:val="15"/>
        </w:numPr>
        <w:spacing w:after="120"/>
        <w:jc w:val="both"/>
        <w:rPr>
          <w:rFonts w:ascii="Ebrima" w:hAnsi="Ebrima"/>
          <w:sz w:val="22"/>
          <w:szCs w:val="22"/>
          <w:lang w:val="cs-CZ"/>
        </w:rPr>
      </w:pPr>
      <w:r>
        <w:rPr>
          <w:rFonts w:ascii="Ebrima" w:eastAsia="Calibri" w:hAnsi="Ebrima" w:cs="Calibri"/>
          <w:sz w:val="22"/>
          <w:szCs w:val="22"/>
          <w:lang w:val="cs-CZ"/>
        </w:rPr>
        <w:t xml:space="preserve">Konkrétní obsah a rozsah služeb bude průběžně upřesňován na základě </w:t>
      </w:r>
      <w:r>
        <w:rPr>
          <w:rFonts w:ascii="Ebrima" w:eastAsia="Calibri" w:hAnsi="Ebrima" w:cs="Calibri"/>
          <w:b/>
          <w:bCs/>
          <w:sz w:val="22"/>
          <w:szCs w:val="22"/>
          <w:lang w:val="cs-CZ"/>
        </w:rPr>
        <w:t>pokynů klienta</w:t>
      </w:r>
      <w:r>
        <w:rPr>
          <w:rFonts w:ascii="Ebrima" w:eastAsia="Calibri" w:hAnsi="Ebrima" w:cs="Calibri"/>
          <w:sz w:val="22"/>
          <w:szCs w:val="22"/>
          <w:lang w:val="cs-CZ"/>
        </w:rPr>
        <w:t>. Jménem klienta j</w:t>
      </w:r>
      <w:r w:rsidR="00495609">
        <w:rPr>
          <w:rFonts w:ascii="Ebrima" w:eastAsia="Calibri" w:hAnsi="Ebrima" w:cs="Calibri"/>
          <w:sz w:val="22"/>
          <w:szCs w:val="22"/>
          <w:lang w:val="cs-CZ"/>
        </w:rPr>
        <w:t>sou</w:t>
      </w:r>
      <w:r>
        <w:rPr>
          <w:rFonts w:ascii="Ebrima" w:eastAsia="Calibri" w:hAnsi="Ebrima" w:cs="Calibri"/>
          <w:sz w:val="22"/>
          <w:szCs w:val="22"/>
          <w:lang w:val="cs-CZ"/>
        </w:rPr>
        <w:t xml:space="preserve"> oprávněn</w:t>
      </w:r>
      <w:r w:rsidR="00495609">
        <w:rPr>
          <w:rFonts w:ascii="Ebrima" w:eastAsia="Calibri" w:hAnsi="Ebrima" w:cs="Calibri"/>
          <w:sz w:val="22"/>
          <w:szCs w:val="22"/>
          <w:lang w:val="cs-CZ"/>
        </w:rPr>
        <w:t>i</w:t>
      </w:r>
      <w:r>
        <w:rPr>
          <w:rFonts w:ascii="Ebrima" w:eastAsia="Calibri" w:hAnsi="Ebrima" w:cs="Calibri"/>
          <w:sz w:val="22"/>
          <w:szCs w:val="22"/>
          <w:lang w:val="cs-CZ"/>
        </w:rPr>
        <w:t xml:space="preserve"> udělovat pokyny</w:t>
      </w:r>
      <w:r w:rsidR="00495609">
        <w:rPr>
          <w:rFonts w:ascii="Ebrima" w:eastAsia="Calibri" w:hAnsi="Ebrima" w:cs="Calibri"/>
          <w:sz w:val="22"/>
          <w:szCs w:val="22"/>
          <w:lang w:val="cs-CZ"/>
        </w:rPr>
        <w:t>:</w:t>
      </w:r>
    </w:p>
    <w:p w14:paraId="679D5960" w14:textId="15B390BD" w:rsidR="00495609" w:rsidRPr="00987CF3" w:rsidRDefault="00987CF3" w:rsidP="00396EC4">
      <w:pPr>
        <w:pStyle w:val="Odstavecseseznamem"/>
        <w:numPr>
          <w:ilvl w:val="0"/>
          <w:numId w:val="16"/>
        </w:numPr>
        <w:spacing w:after="120"/>
        <w:rPr>
          <w:rFonts w:ascii="Ebrima" w:hAnsi="Ebrima"/>
        </w:rPr>
      </w:pPr>
      <w:r w:rsidRPr="00987CF3">
        <w:rPr>
          <w:rFonts w:ascii="Ebrima" w:hAnsi="Ebrima"/>
        </w:rPr>
        <w:t>Mgr. Ing. Michal Kozár, MBA</w:t>
      </w:r>
    </w:p>
    <w:p w14:paraId="4FF8054F" w14:textId="39D71A04" w:rsidR="00495609" w:rsidRPr="00987CF3" w:rsidRDefault="002E021B" w:rsidP="00396EC4">
      <w:pPr>
        <w:pStyle w:val="Odstavecseseznamem"/>
        <w:numPr>
          <w:ilvl w:val="0"/>
          <w:numId w:val="16"/>
        </w:numPr>
        <w:spacing w:after="120"/>
        <w:rPr>
          <w:rFonts w:ascii="Ebrima" w:hAnsi="Ebrima"/>
        </w:rPr>
      </w:pPr>
      <w:r>
        <w:rPr>
          <w:rFonts w:ascii="Ebrima" w:hAnsi="Ebrima"/>
        </w:rPr>
        <w:t xml:space="preserve">Ing. </w:t>
      </w:r>
      <w:proofErr w:type="spellStart"/>
      <w:r w:rsidR="006E388A">
        <w:rPr>
          <w:rFonts w:ascii="Ebrima" w:hAnsi="Ebrima"/>
        </w:rPr>
        <w:t>xxx</w:t>
      </w:r>
      <w:proofErr w:type="spellEnd"/>
    </w:p>
    <w:p w14:paraId="250E4F51" w14:textId="25E21E9D" w:rsidR="00495609" w:rsidRPr="00987CF3" w:rsidRDefault="002E021B" w:rsidP="00396EC4">
      <w:pPr>
        <w:pStyle w:val="Odstavecseseznamem"/>
        <w:numPr>
          <w:ilvl w:val="0"/>
          <w:numId w:val="16"/>
        </w:numPr>
        <w:spacing w:after="120"/>
        <w:rPr>
          <w:rFonts w:ascii="Ebrima" w:hAnsi="Ebrima"/>
        </w:rPr>
      </w:pPr>
      <w:r>
        <w:rPr>
          <w:rFonts w:ascii="Ebrima" w:hAnsi="Ebrima"/>
        </w:rPr>
        <w:t xml:space="preserve">Bc. </w:t>
      </w:r>
      <w:r w:rsidR="006E388A">
        <w:rPr>
          <w:rFonts w:ascii="Ebrima" w:hAnsi="Ebrima"/>
        </w:rPr>
        <w:t>xxxx</w:t>
      </w:r>
    </w:p>
    <w:p w14:paraId="1D304553" w14:textId="12ADD1D7" w:rsidR="0094442E" w:rsidRDefault="0094442E" w:rsidP="00DE70E6">
      <w:pPr>
        <w:spacing w:after="120"/>
        <w:ind w:left="432"/>
        <w:jc w:val="both"/>
        <w:rPr>
          <w:rFonts w:ascii="Ebrima" w:hAnsi="Ebrima"/>
          <w:sz w:val="22"/>
          <w:szCs w:val="22"/>
          <w:lang w:val="cs-CZ"/>
        </w:rPr>
      </w:pPr>
      <w:r>
        <w:rPr>
          <w:rFonts w:ascii="Ebrima" w:eastAsia="Calibri" w:hAnsi="Ebrima" w:cs="Calibri"/>
          <w:sz w:val="22"/>
          <w:szCs w:val="22"/>
          <w:lang w:val="cs-CZ"/>
        </w:rPr>
        <w:t>Klient je oprávněn pověřit k udělování pokynů další osoby a v takovém případě o tom advokátní kancelář bezodkladně informovat.</w:t>
      </w:r>
    </w:p>
    <w:p w14:paraId="5FE05512" w14:textId="343E73E0" w:rsidR="0094442E" w:rsidRDefault="0094442E" w:rsidP="00396EC4">
      <w:pPr>
        <w:numPr>
          <w:ilvl w:val="1"/>
          <w:numId w:val="15"/>
        </w:numPr>
        <w:spacing w:after="120"/>
        <w:jc w:val="both"/>
        <w:rPr>
          <w:rFonts w:ascii="Ebrima" w:hAnsi="Ebrima"/>
          <w:sz w:val="22"/>
          <w:szCs w:val="22"/>
          <w:lang w:val="cs-CZ"/>
        </w:rPr>
      </w:pPr>
      <w:r>
        <w:rPr>
          <w:rFonts w:ascii="Ebrima" w:hAnsi="Ebrima"/>
          <w:sz w:val="22"/>
          <w:szCs w:val="22"/>
          <w:lang w:val="cs-CZ"/>
        </w:rPr>
        <w:t>Právní služby poskytuje advokátní kancelář klientovi prostřednictvím svých advokátů, advokátních koncipientů a dalších zaměstnanců. Je však oprávněna poskytovat právní služby klientovi i prostřednictvím jiného advokáta. Přitom však advokátní kancelář dbá na to, aby nedošlo k poškození zájmů klienta.</w:t>
      </w:r>
      <w:r w:rsidR="00495609">
        <w:rPr>
          <w:rFonts w:ascii="Ebrima" w:hAnsi="Ebrima"/>
          <w:sz w:val="22"/>
          <w:szCs w:val="22"/>
          <w:lang w:val="cs-CZ"/>
        </w:rPr>
        <w:t xml:space="preserve"> Realizační tým pro účely</w:t>
      </w:r>
      <w:r w:rsidR="00D167C9">
        <w:rPr>
          <w:rFonts w:ascii="Ebrima" w:hAnsi="Ebrima"/>
          <w:sz w:val="22"/>
          <w:szCs w:val="22"/>
          <w:lang w:val="cs-CZ"/>
        </w:rPr>
        <w:t xml:space="preserve"> poskytování právních služeb podle</w:t>
      </w:r>
      <w:r w:rsidR="00495609">
        <w:rPr>
          <w:rFonts w:ascii="Ebrima" w:hAnsi="Ebrima"/>
          <w:sz w:val="22"/>
          <w:szCs w:val="22"/>
          <w:lang w:val="cs-CZ"/>
        </w:rPr>
        <w:t xml:space="preserve"> této smlouvy tvoří:</w:t>
      </w:r>
    </w:p>
    <w:p w14:paraId="77B51E33" w14:textId="0489D4D3" w:rsidR="00495609" w:rsidRDefault="00495609" w:rsidP="00396EC4">
      <w:pPr>
        <w:pStyle w:val="Odstavecseseznamem"/>
        <w:numPr>
          <w:ilvl w:val="0"/>
          <w:numId w:val="17"/>
        </w:numPr>
        <w:spacing w:after="120"/>
        <w:rPr>
          <w:rFonts w:ascii="Ebrima" w:hAnsi="Ebrima"/>
        </w:rPr>
      </w:pPr>
      <w:r>
        <w:rPr>
          <w:rFonts w:ascii="Ebrima" w:hAnsi="Ebrima"/>
        </w:rPr>
        <w:t>Mgr. Pavel Doucha, advokát</w:t>
      </w:r>
      <w:r w:rsidR="00D167C9">
        <w:rPr>
          <w:rFonts w:ascii="Ebrima" w:hAnsi="Ebrima"/>
        </w:rPr>
        <w:t xml:space="preserve"> (garant a supervizor)</w:t>
      </w:r>
      <w:r w:rsidR="00DE70E6">
        <w:rPr>
          <w:rFonts w:ascii="Ebrima" w:hAnsi="Ebrima"/>
        </w:rPr>
        <w:t>;</w:t>
      </w:r>
    </w:p>
    <w:p w14:paraId="2469C640" w14:textId="197F8E7E" w:rsidR="004F7E5D" w:rsidRDefault="004F7E5D" w:rsidP="00396EC4">
      <w:pPr>
        <w:pStyle w:val="Odstavecseseznamem"/>
        <w:numPr>
          <w:ilvl w:val="0"/>
          <w:numId w:val="17"/>
        </w:numPr>
        <w:spacing w:after="120"/>
        <w:rPr>
          <w:rFonts w:ascii="Ebrima" w:hAnsi="Ebrima"/>
        </w:rPr>
      </w:pPr>
      <w:r>
        <w:rPr>
          <w:rFonts w:ascii="Ebrima" w:hAnsi="Ebrima"/>
        </w:rPr>
        <w:t xml:space="preserve">Mgr. </w:t>
      </w:r>
      <w:proofErr w:type="spellStart"/>
      <w:r w:rsidR="006E388A">
        <w:rPr>
          <w:rFonts w:ascii="Ebrima" w:hAnsi="Ebrima"/>
        </w:rPr>
        <w:t>xxxx</w:t>
      </w:r>
      <w:proofErr w:type="spellEnd"/>
      <w:r>
        <w:rPr>
          <w:rFonts w:ascii="Ebrima" w:hAnsi="Ebrima"/>
        </w:rPr>
        <w:t>, advokátka (právnička);</w:t>
      </w:r>
    </w:p>
    <w:p w14:paraId="7A621B4E" w14:textId="471FEC48" w:rsidR="00396EC4" w:rsidRDefault="00495609" w:rsidP="00DE70E6">
      <w:pPr>
        <w:pStyle w:val="Odstavecseseznamem"/>
        <w:numPr>
          <w:ilvl w:val="0"/>
          <w:numId w:val="17"/>
        </w:numPr>
        <w:spacing w:after="120"/>
        <w:rPr>
          <w:rFonts w:ascii="Ebrima" w:hAnsi="Ebrima"/>
        </w:rPr>
      </w:pPr>
      <w:r>
        <w:rPr>
          <w:rFonts w:ascii="Ebrima" w:hAnsi="Ebrima"/>
        </w:rPr>
        <w:t xml:space="preserve">Mgr. </w:t>
      </w:r>
      <w:proofErr w:type="spellStart"/>
      <w:r w:rsidR="006E388A">
        <w:rPr>
          <w:rFonts w:ascii="Ebrima" w:hAnsi="Ebrima"/>
        </w:rPr>
        <w:t>xxxx</w:t>
      </w:r>
      <w:proofErr w:type="spellEnd"/>
      <w:r>
        <w:rPr>
          <w:rFonts w:ascii="Ebrima" w:hAnsi="Ebrima"/>
        </w:rPr>
        <w:t>, advokátní koncipient</w:t>
      </w:r>
      <w:r w:rsidR="00D167C9">
        <w:rPr>
          <w:rFonts w:ascii="Ebrima" w:hAnsi="Ebrima"/>
        </w:rPr>
        <w:t xml:space="preserve"> (právník)</w:t>
      </w:r>
      <w:r w:rsidR="00DE70E6">
        <w:rPr>
          <w:rFonts w:ascii="Ebrima" w:hAnsi="Ebrima"/>
        </w:rPr>
        <w:t>;</w:t>
      </w:r>
    </w:p>
    <w:p w14:paraId="70DC401C" w14:textId="77777777" w:rsidR="00DE70E6" w:rsidRPr="00DE70E6" w:rsidRDefault="00DE70E6" w:rsidP="00DE70E6">
      <w:pPr>
        <w:pStyle w:val="Odstavecseseznamem"/>
        <w:spacing w:after="120"/>
        <w:ind w:left="360"/>
        <w:rPr>
          <w:rFonts w:ascii="Ebrima" w:hAnsi="Ebrima"/>
        </w:rPr>
      </w:pPr>
    </w:p>
    <w:p w14:paraId="29C3393C" w14:textId="349E527E" w:rsidR="00D167C9" w:rsidRPr="00396EC4" w:rsidRDefault="00D167C9" w:rsidP="00E309DA">
      <w:pPr>
        <w:pStyle w:val="Odstavecseseznamem"/>
        <w:spacing w:after="120"/>
        <w:ind w:left="432"/>
        <w:rPr>
          <w:rFonts w:ascii="Ebrima" w:hAnsi="Ebrima"/>
        </w:rPr>
      </w:pPr>
      <w:r w:rsidRPr="00396EC4">
        <w:rPr>
          <w:rFonts w:ascii="Ebrima" w:hAnsi="Ebrima"/>
        </w:rPr>
        <w:t>Členové realizačního týmu</w:t>
      </w:r>
      <w:r w:rsidR="005B0498">
        <w:rPr>
          <w:rFonts w:ascii="Ebrima" w:hAnsi="Ebrima"/>
        </w:rPr>
        <w:t xml:space="preserve"> jako primární poskytovatelé právních služeb podle této smlouvy</w:t>
      </w:r>
      <w:r w:rsidRPr="00396EC4">
        <w:rPr>
          <w:rFonts w:ascii="Ebrima" w:hAnsi="Ebrima"/>
        </w:rPr>
        <w:t xml:space="preserve"> jsou oprávněni delegovat jednotlivé dílčí úkoly </w:t>
      </w:r>
      <w:r w:rsidR="00486F35">
        <w:rPr>
          <w:rFonts w:ascii="Ebrima" w:hAnsi="Ebrima"/>
        </w:rPr>
        <w:t xml:space="preserve">při poskytování právních služeb </w:t>
      </w:r>
      <w:r w:rsidRPr="00396EC4">
        <w:rPr>
          <w:rFonts w:ascii="Ebrima" w:hAnsi="Ebrima"/>
        </w:rPr>
        <w:t>na ostatní zaměstnance advokátní kanceláře a spolupracující advokáty.</w:t>
      </w:r>
    </w:p>
    <w:p w14:paraId="5F72B28A" w14:textId="739F6461" w:rsidR="0094442E" w:rsidRPr="00396EC4" w:rsidRDefault="0094442E" w:rsidP="004F7E5D">
      <w:pPr>
        <w:pStyle w:val="Nadpis1"/>
        <w:spacing w:after="120"/>
      </w:pPr>
      <w:r w:rsidRPr="00396EC4">
        <w:t>Místo plnění</w:t>
      </w:r>
    </w:p>
    <w:p w14:paraId="7BDFF060" w14:textId="69302AF8" w:rsidR="00CC19F7" w:rsidRPr="00CC19F7" w:rsidRDefault="0094442E" w:rsidP="00CC19F7">
      <w:pPr>
        <w:pStyle w:val="Nadpis2"/>
      </w:pPr>
      <w:r>
        <w:t>Právní služby poskytuje advokátní kancelář klientovi na místě s klientem dohodnutém, zpravidla ve svých pobočkách v Praze, Brně a Táboře.</w:t>
      </w:r>
      <w:r w:rsidR="00DE70E6">
        <w:t xml:space="preserve"> Advokátní kancelář se zavazuje minimálně ke dvěma osobním účastem členů realizačního týmu, případně jejich zástupců s obdobnou kvalifikací, v sídle klienta při projednání struktury ES a/nebo návrhu zakladatelského právního jednání. Tato osobní účast může být se souhlasem klienta nahrazena videokonferencí.</w:t>
      </w:r>
    </w:p>
    <w:p w14:paraId="293734C7" w14:textId="1FCC3D34" w:rsidR="00CC19F7" w:rsidRDefault="00CC19F7" w:rsidP="004F7E5D">
      <w:pPr>
        <w:pStyle w:val="Nadpis1"/>
        <w:spacing w:after="120"/>
      </w:pPr>
      <w:r>
        <w:lastRenderedPageBreak/>
        <w:t>Termín plnění</w:t>
      </w:r>
    </w:p>
    <w:p w14:paraId="767D8802" w14:textId="12B24D2A" w:rsidR="00CC19F7" w:rsidRDefault="00F7204D" w:rsidP="00CC19F7">
      <w:pPr>
        <w:pStyle w:val="Nadpis2"/>
      </w:pPr>
      <w:r>
        <w:t>Advokátní kancelář se zavazuje postupovat tak, aby do 31.10.2025:</w:t>
      </w:r>
    </w:p>
    <w:p w14:paraId="09103CA6" w14:textId="1193F425" w:rsidR="00F7204D" w:rsidRPr="00F7204D" w:rsidRDefault="005B0498" w:rsidP="00F7204D">
      <w:pPr>
        <w:pStyle w:val="Odstavecseseznamem"/>
        <w:numPr>
          <w:ilvl w:val="0"/>
          <w:numId w:val="38"/>
        </w:numPr>
        <w:rPr>
          <w:rFonts w:ascii="Ebrima" w:hAnsi="Ebrima"/>
        </w:rPr>
      </w:pPr>
      <w:r>
        <w:rPr>
          <w:rFonts w:ascii="Ebrima" w:hAnsi="Ebrima"/>
        </w:rPr>
        <w:t>v</w:t>
      </w:r>
      <w:r w:rsidR="00F7204D" w:rsidRPr="00F7204D">
        <w:rPr>
          <w:rFonts w:ascii="Ebrima" w:hAnsi="Ebrima"/>
        </w:rPr>
        <w:t>znikl</w:t>
      </w:r>
      <w:r>
        <w:rPr>
          <w:rFonts w:ascii="Ebrima" w:hAnsi="Ebrima"/>
        </w:rPr>
        <w:t>o ES jako</w:t>
      </w:r>
      <w:r w:rsidR="00F7204D" w:rsidRPr="00F7204D">
        <w:rPr>
          <w:rFonts w:ascii="Ebrima" w:hAnsi="Ebrima"/>
        </w:rPr>
        <w:t xml:space="preserve"> právnická osoba, které bude </w:t>
      </w:r>
      <w:r>
        <w:rPr>
          <w:rFonts w:ascii="Ebrima" w:hAnsi="Ebrima"/>
        </w:rPr>
        <w:t xml:space="preserve">mít formu předepsanou zákonem pro </w:t>
      </w:r>
      <w:r w:rsidR="00F7204D" w:rsidRPr="00F7204D">
        <w:rPr>
          <w:rFonts w:ascii="Ebrima" w:hAnsi="Ebrima"/>
        </w:rPr>
        <w:t>energetick</w:t>
      </w:r>
      <w:r>
        <w:rPr>
          <w:rFonts w:ascii="Ebrima" w:hAnsi="Ebrima"/>
        </w:rPr>
        <w:t>é</w:t>
      </w:r>
      <w:r w:rsidR="00F7204D" w:rsidRPr="00F7204D">
        <w:rPr>
          <w:rFonts w:ascii="Ebrima" w:hAnsi="Ebrima"/>
        </w:rPr>
        <w:t xml:space="preserve"> společenství/ společenství pro obnovitelné zdroje</w:t>
      </w:r>
      <w:r>
        <w:rPr>
          <w:rFonts w:ascii="Ebrima" w:hAnsi="Ebrima"/>
        </w:rPr>
        <w:t>;</w:t>
      </w:r>
    </w:p>
    <w:p w14:paraId="76D154A6" w14:textId="4D8BDAB7" w:rsidR="00F7204D" w:rsidRDefault="005B0498" w:rsidP="00F7204D">
      <w:pPr>
        <w:pStyle w:val="Odstavecseseznamem"/>
        <w:numPr>
          <w:ilvl w:val="0"/>
          <w:numId w:val="38"/>
        </w:numPr>
        <w:rPr>
          <w:rFonts w:ascii="Ebrima" w:hAnsi="Ebrima"/>
        </w:rPr>
      </w:pPr>
      <w:r>
        <w:rPr>
          <w:rFonts w:ascii="Ebrima" w:hAnsi="Ebrima"/>
        </w:rPr>
        <w:t xml:space="preserve">ES </w:t>
      </w:r>
      <w:r w:rsidR="00F7204D" w:rsidRPr="00F7204D">
        <w:rPr>
          <w:rFonts w:ascii="Ebrima" w:hAnsi="Ebrima"/>
        </w:rPr>
        <w:t>byl</w:t>
      </w:r>
      <w:r>
        <w:rPr>
          <w:rFonts w:ascii="Ebrima" w:hAnsi="Ebrima"/>
        </w:rPr>
        <w:t>o</w:t>
      </w:r>
      <w:r w:rsidR="00F7204D" w:rsidRPr="00F7204D">
        <w:rPr>
          <w:rFonts w:ascii="Ebrima" w:hAnsi="Ebrima"/>
        </w:rPr>
        <w:t xml:space="preserve"> registrovan</w:t>
      </w:r>
      <w:r>
        <w:rPr>
          <w:rFonts w:ascii="Ebrima" w:hAnsi="Ebrima"/>
        </w:rPr>
        <w:t>é</w:t>
      </w:r>
      <w:r w:rsidR="00F7204D" w:rsidRPr="00F7204D">
        <w:rPr>
          <w:rFonts w:ascii="Ebrima" w:hAnsi="Ebrima"/>
        </w:rPr>
        <w:t xml:space="preserve"> u Energetického regulačního úřadu</w:t>
      </w:r>
      <w:r w:rsidR="00F7204D">
        <w:rPr>
          <w:rFonts w:ascii="Ebrima" w:hAnsi="Ebrima"/>
        </w:rPr>
        <w:t xml:space="preserve"> jako energetické společenství/společenství pro obnovitelné zdroje</w:t>
      </w:r>
      <w:r>
        <w:rPr>
          <w:rFonts w:ascii="Ebrima" w:hAnsi="Ebrima"/>
        </w:rPr>
        <w:t>;</w:t>
      </w:r>
    </w:p>
    <w:p w14:paraId="5A7C0629" w14:textId="2FB16877" w:rsidR="00F7204D" w:rsidRDefault="00F7204D" w:rsidP="00F7204D">
      <w:pPr>
        <w:pStyle w:val="Odstavecseseznamem"/>
        <w:numPr>
          <w:ilvl w:val="0"/>
          <w:numId w:val="38"/>
        </w:numPr>
        <w:rPr>
          <w:rFonts w:ascii="Ebrima" w:hAnsi="Ebrima"/>
        </w:rPr>
      </w:pPr>
      <w:r>
        <w:rPr>
          <w:rFonts w:ascii="Ebrima" w:hAnsi="Ebrima"/>
        </w:rPr>
        <w:t>byly u Elektroenergetického datového centra registrovány výrobny elektřiny</w:t>
      </w:r>
      <w:r w:rsidR="005B0498">
        <w:rPr>
          <w:rFonts w:ascii="Ebrima" w:hAnsi="Ebrima"/>
        </w:rPr>
        <w:t xml:space="preserve"> </w:t>
      </w:r>
      <w:r>
        <w:rPr>
          <w:rFonts w:ascii="Ebrima" w:hAnsi="Ebrima"/>
        </w:rPr>
        <w:t xml:space="preserve">a skupiny sdílení v rámci tohoto </w:t>
      </w:r>
      <w:r w:rsidR="005B0498">
        <w:rPr>
          <w:rFonts w:ascii="Ebrima" w:hAnsi="Ebrima"/>
        </w:rPr>
        <w:t>ES;</w:t>
      </w:r>
    </w:p>
    <w:p w14:paraId="13447277" w14:textId="440173B3" w:rsidR="00F7204D" w:rsidRDefault="00F7204D" w:rsidP="00F7204D">
      <w:pPr>
        <w:pStyle w:val="Odstavecseseznamem"/>
        <w:numPr>
          <w:ilvl w:val="0"/>
          <w:numId w:val="38"/>
        </w:numPr>
        <w:rPr>
          <w:rFonts w:ascii="Ebrima" w:hAnsi="Ebrima"/>
        </w:rPr>
      </w:pPr>
      <w:r>
        <w:rPr>
          <w:rFonts w:ascii="Ebrima" w:hAnsi="Ebrima"/>
        </w:rPr>
        <w:t xml:space="preserve">členové </w:t>
      </w:r>
      <w:r w:rsidR="005B0498">
        <w:rPr>
          <w:rFonts w:ascii="Ebrima" w:hAnsi="Ebrima"/>
        </w:rPr>
        <w:t xml:space="preserve">ES </w:t>
      </w:r>
      <w:r>
        <w:rPr>
          <w:rFonts w:ascii="Ebrima" w:hAnsi="Ebrima"/>
        </w:rPr>
        <w:t>měli od advokátní kanceláře k dispozici návrh smlouvy nebo jiného právního jednání, které upraví vztahy mezi osobami zapojenými do sdílení elektřiny v rámci energetického společenství/společenství pro obnovitelné zdroje</w:t>
      </w:r>
      <w:r w:rsidR="005B0498">
        <w:rPr>
          <w:rFonts w:ascii="Ebrima" w:hAnsi="Ebrima"/>
        </w:rPr>
        <w:t>.</w:t>
      </w:r>
    </w:p>
    <w:p w14:paraId="1DF0B6EE" w14:textId="77777777" w:rsidR="005B0498" w:rsidRDefault="005B0498" w:rsidP="005B0498">
      <w:pPr>
        <w:pStyle w:val="Odstavecseseznamem"/>
        <w:rPr>
          <w:rFonts w:ascii="Ebrima" w:hAnsi="Ebrima"/>
        </w:rPr>
      </w:pPr>
    </w:p>
    <w:p w14:paraId="235D5341" w14:textId="55BA14B9" w:rsidR="00F7204D" w:rsidRPr="00F7204D" w:rsidRDefault="00F7204D" w:rsidP="00F7204D">
      <w:pPr>
        <w:pStyle w:val="Nadpis2"/>
      </w:pPr>
      <w:r>
        <w:t>Advokátní kancelář ne</w:t>
      </w:r>
      <w:r w:rsidR="006F588D">
        <w:t>ní odpovědná</w:t>
      </w:r>
      <w:r>
        <w:t xml:space="preserve"> za nedodržení termínu podle čl. 3.1 způsobené nedodržením zákonných</w:t>
      </w:r>
      <w:r w:rsidR="00924923">
        <w:t xml:space="preserve">, </w:t>
      </w:r>
      <w:r>
        <w:t>sjednaných</w:t>
      </w:r>
      <w:r w:rsidR="00924923">
        <w:t xml:space="preserve"> nebo advokátní kanceláří vyžádaných</w:t>
      </w:r>
      <w:r>
        <w:t xml:space="preserve"> lhůt nebo jinou liknavostí orgánů veřejné moci, Elektroenergetického datového centra</w:t>
      </w:r>
      <w:r w:rsidR="00924923">
        <w:t>, provozovatele distribuční soustavy, klienta</w:t>
      </w:r>
      <w:r w:rsidR="00DE70E6">
        <w:t xml:space="preserve"> (zejména porušením povinností podle bodu 6.1)</w:t>
      </w:r>
      <w:r w:rsidR="00924923">
        <w:t xml:space="preserve"> nebo jiných třetích osob</w:t>
      </w:r>
      <w:r>
        <w:t xml:space="preserve">, jejichž součinnost bude </w:t>
      </w:r>
      <w:r w:rsidR="0053269E">
        <w:t xml:space="preserve">třeba </w:t>
      </w:r>
      <w:r w:rsidR="00924923">
        <w:t xml:space="preserve">pro splnění </w:t>
      </w:r>
      <w:r w:rsidR="00B02401">
        <w:t>úkolů</w:t>
      </w:r>
      <w:r w:rsidR="00924923">
        <w:t xml:space="preserve"> podle bodu 3.1. V takovém případě advokátní kancelář postupuje tak, aby </w:t>
      </w:r>
      <w:r w:rsidR="00B02401">
        <w:t>úkolů</w:t>
      </w:r>
      <w:r w:rsidR="00924923">
        <w:t xml:space="preserve"> podle bodu 3.1 bylo dosaženo </w:t>
      </w:r>
      <w:r w:rsidR="0053269E">
        <w:t>bez zbytečného odkladu</w:t>
      </w:r>
      <w:r w:rsidR="00924923">
        <w:t xml:space="preserve"> po odpadnutí překážek.</w:t>
      </w:r>
    </w:p>
    <w:p w14:paraId="7695A950" w14:textId="5915825E" w:rsidR="0094442E" w:rsidRPr="00E309DA" w:rsidRDefault="0094442E" w:rsidP="004F7E5D">
      <w:pPr>
        <w:pStyle w:val="Nadpis1"/>
        <w:spacing w:after="120"/>
      </w:pPr>
      <w:r w:rsidRPr="00396EC4">
        <w:t xml:space="preserve">Odměna advokáta a hotové výdaje advokáta </w:t>
      </w:r>
    </w:p>
    <w:p w14:paraId="60B1E4AC" w14:textId="5497B64A" w:rsidR="00E309DA" w:rsidRDefault="00E309DA" w:rsidP="00E309DA">
      <w:pPr>
        <w:pStyle w:val="Nadpis2"/>
      </w:pPr>
      <w:r w:rsidRPr="00E309DA">
        <w:t xml:space="preserve">Smluvní strany se dohodly, že smluvní odměna advokátní kanceláře za právní služby specifikované v čl. I., odst. 1.6 této smlouvy se sjednává </w:t>
      </w:r>
      <w:r w:rsidRPr="0053269E">
        <w:rPr>
          <w:b/>
          <w:bCs/>
        </w:rPr>
        <w:t>ve výši 3.</w:t>
      </w:r>
      <w:r w:rsidR="00D85367">
        <w:rPr>
          <w:b/>
          <w:bCs/>
        </w:rPr>
        <w:t>0</w:t>
      </w:r>
      <w:r w:rsidRPr="0053269E">
        <w:rPr>
          <w:b/>
          <w:bCs/>
        </w:rPr>
        <w:t xml:space="preserve">00 Kč za hodinu právních služeb. </w:t>
      </w:r>
      <w:r w:rsidRPr="00DE70E6">
        <w:t>U jednotlivého úkonu právní služby je účtováno každých započatých třicet minut.</w:t>
      </w:r>
    </w:p>
    <w:p w14:paraId="668D6423" w14:textId="58376887" w:rsidR="0094442E" w:rsidRPr="00E309DA" w:rsidRDefault="0094442E" w:rsidP="00E309DA">
      <w:pPr>
        <w:pStyle w:val="Nadpis2"/>
      </w:pPr>
      <w:r w:rsidRPr="00E309DA">
        <w:t xml:space="preserve">Smluvní strany se dohodly, že náhrada hotových výdajů advokátní kanceláře (hovorné, poštovné, cestovné apod.) včetně soudních a správních poplatků bude klientovi účtována v souladu s platným advokátním tarifem (vyhláška č. 177/1996 Sb., o odměnách advokátů a náhradách advokátů za poskytování právních služeb). Advokátní kancelář je oprávněna využívat automobilu za účelem obstarání právních záležitostí klienta, pokud se právní služba neposkytuje v sídle nebo pobočce advokátní kanceláře ve smyslu čl. II této smlouvy. Tyto cestovní výdaje pak budou účtovány ve výši </w:t>
      </w:r>
      <w:r w:rsidR="00F9501A" w:rsidRPr="00E309DA">
        <w:t>10</w:t>
      </w:r>
      <w:r w:rsidRPr="00E309DA">
        <w:t xml:space="preserve"> Kč za 1 kilometr. </w:t>
      </w:r>
    </w:p>
    <w:p w14:paraId="59477924" w14:textId="45CB4D8E" w:rsidR="0094442E" w:rsidRPr="00E309DA" w:rsidRDefault="0094442E" w:rsidP="00E309DA">
      <w:pPr>
        <w:pStyle w:val="Nadpis2"/>
      </w:pPr>
      <w:r w:rsidRPr="00E309DA">
        <w:t xml:space="preserve">Smluvní strany se dále dohodly, že advokátní kancelář bude klientovi účtovat náhradu za promeškaný čas ve výši jedné </w:t>
      </w:r>
      <w:r w:rsidR="00F9501A" w:rsidRPr="00E309DA">
        <w:t>poloviny</w:t>
      </w:r>
      <w:r w:rsidRPr="00E309DA">
        <w:t xml:space="preserve"> smluvní odměny za právní služby sjednané podle odstavce 3.1. Promeškaným časem se rozumí čas strávený cestou do místa poskytování právní služby a zpět, pokud se právní služba neposkytuje v  pobočce advokátní kanceláře ve smyslu čl. II této smlouvy, a dále čas promeškaný v důsledku zpoždění zahájení jednání s klientem, protistranou, či jinou osobou anebo jednání před soudem, či správním orgánem, pokud ke zpoždění nedošlo vinou advokátní kanceláře. </w:t>
      </w:r>
    </w:p>
    <w:p w14:paraId="25FF3F88" w14:textId="77777777" w:rsidR="0094442E" w:rsidRPr="00E309DA" w:rsidRDefault="0094442E" w:rsidP="00E309DA">
      <w:pPr>
        <w:pStyle w:val="Nadpis2"/>
      </w:pPr>
      <w:r w:rsidRPr="00E309DA">
        <w:t xml:space="preserve">Smluvní strany souhlasí, že advokátní kancelář je oprávněna klientovi vyúčtovat dle výše uvedených pravidel rovněž náklady spojené s ukončením poskytování právních služeb. Tím se rozumí náhrada hotových výdajů spojených s pořizováním kopií písemných, obrazových a zvukových materiálů vzniklých v souvislosti s poskytováním právních služeb, a to za účelem archivace v souladu s advokátními předpisy, a dále náhrada promeškaného času, ve výši smluvní odměny za právní služby sjednané podle odstavce 3.1, stráveného při pořizování těchto kopií, jakož i třídění a předávání originálních materiálů klientovi. </w:t>
      </w:r>
    </w:p>
    <w:p w14:paraId="4C351BFF" w14:textId="77777777" w:rsidR="0094442E" w:rsidRPr="00E309DA" w:rsidRDefault="0094442E" w:rsidP="00E309DA">
      <w:pPr>
        <w:pStyle w:val="Nadpis2"/>
      </w:pPr>
      <w:r w:rsidRPr="00E309DA">
        <w:t xml:space="preserve">Smluvní strany se dále dohodly, že ke sjednané smluvní odměně, náhradě hotových výdajů, s výjimkou soudních a správních poplatků, a náhradě za promeškaný čas bude připočtena daň z přidané hodnoty podle předpisů platných a účinných v době fakturace.   </w:t>
      </w:r>
    </w:p>
    <w:p w14:paraId="0706E4FC" w14:textId="77777777" w:rsidR="00DE70E6" w:rsidRDefault="0094442E" w:rsidP="0053269E">
      <w:pPr>
        <w:pStyle w:val="Nadpis2"/>
      </w:pPr>
      <w:r w:rsidRPr="00E309DA">
        <w:t>Odměna za právní služby, náhrada hotových výdajů a náhrada za promeškaný čas advokátní kanceláře, budou advokátní kanceláří klientovi účtovány na základě elektronického daňového dokladu (faktury). Klient se zavazuje zaplatit fakturovanou částku v termínu splatnosti na faktuře uvedeném. Tento termín nebude kratší než 14 dnů ode dne odeslání elektronického dokladu na adresu e-mailu klienta uvedenou v úvodu smlouvy. Uhrazením faktury se rozumí den připsání fakturované částky na účet advokátní kanceláře uvedený ve faktuře. Pokud bude klient déle než 14 dní v prodlení s úhradou faktury nebo její části, je advokátní kancelář oprávněna tuto smlouvu písemně vypovědět, a to s účinností ke dni doručení této výpovědi klientovi.</w:t>
      </w:r>
    </w:p>
    <w:p w14:paraId="429E669E" w14:textId="6A8B8F57" w:rsidR="0094442E" w:rsidRPr="00E309DA" w:rsidRDefault="0053269E" w:rsidP="0053269E">
      <w:pPr>
        <w:pStyle w:val="Nadpis2"/>
      </w:pPr>
      <w:r w:rsidRPr="00E309DA">
        <w:t xml:space="preserve">Celková </w:t>
      </w:r>
      <w:r w:rsidRPr="0053269E">
        <w:rPr>
          <w:b/>
          <w:bCs/>
        </w:rPr>
        <w:t>cena za právní služby v čl. I., odst. 1.1 této smlouvy poskytované na základě této smlouvy nepřesáhne 450.000 Kč bez DPH.</w:t>
      </w:r>
    </w:p>
    <w:p w14:paraId="3F641C10" w14:textId="17A8D337" w:rsidR="0094442E" w:rsidRDefault="0094442E" w:rsidP="004F7E5D">
      <w:pPr>
        <w:pStyle w:val="Nadpis1"/>
        <w:spacing w:after="120"/>
      </w:pPr>
      <w:r w:rsidRPr="00396EC4">
        <w:t>Povinnosti advokátní kanceláře a pojištění odpovědnosti</w:t>
      </w:r>
    </w:p>
    <w:p w14:paraId="5CB64135" w14:textId="6629B586" w:rsidR="00E309DA" w:rsidRDefault="00E309DA" w:rsidP="00E309DA">
      <w:pPr>
        <w:pStyle w:val="Nadpis2"/>
      </w:pPr>
      <w:r>
        <w:t>Advokátní kancelář poskytuje právní služby podle znalostí a schopností svých advokátů, advokátních koncipientů a dalších zaměstnanců, v souladu se zákony a ostatními obecně závaznými právními předpisy, stavovskými předpisy České advokátní komory a etickými pravidly o výkonu advokacie.</w:t>
      </w:r>
    </w:p>
    <w:p w14:paraId="7E956222" w14:textId="0BDDF2BF" w:rsidR="0094442E" w:rsidRDefault="0094442E" w:rsidP="00E309DA">
      <w:pPr>
        <w:pStyle w:val="Nadpis2"/>
      </w:pPr>
      <w:r>
        <w:t>Advokátní kancelář je povinna poskytovat klientovi právní služby řádně a včas tak, aby klientovi nevznikla žádná škoda ani jiná újma.</w:t>
      </w:r>
    </w:p>
    <w:p w14:paraId="43E2A7C4" w14:textId="77777777" w:rsidR="0094442E" w:rsidRDefault="0094442E" w:rsidP="00E309DA">
      <w:pPr>
        <w:pStyle w:val="Nadpis2"/>
      </w:pPr>
      <w:r>
        <w:t xml:space="preserve">Advokátní kancelář je povinna dodržovat </w:t>
      </w:r>
      <w:r>
        <w:rPr>
          <w:b/>
        </w:rPr>
        <w:t>mlčenlivost</w:t>
      </w:r>
      <w:r>
        <w:t xml:space="preserve"> ohledně všech informací získaných v souvislosti s poskytováním právní pomoci klientovi. Tato povinnost mlčenlivosti se vztahuje také na všechny zaměstnance advokátní kanceláře. Advokátní kancelář je povinna dodržovat mlčenlivost ohledně všech informací, které jí byly sděleny klientem i před uzavřením této smlouvy. Smluvní strany si dohodly, že klient může zprostit advokátní kancelář mlčenlivosti jednostranným písemným úkonem, a to například za účelem medializace výsledků soudního či správního sporu klienta.</w:t>
      </w:r>
    </w:p>
    <w:p w14:paraId="76FEE3FA" w14:textId="77777777" w:rsidR="0094442E" w:rsidRDefault="0094442E" w:rsidP="00E309DA">
      <w:pPr>
        <w:pStyle w:val="Nadpis2"/>
      </w:pPr>
      <w:r>
        <w:t xml:space="preserve">Smluvní strany se dohodly, že informace o jakýchkoliv doručených dokumentech od protistrany, soudů či správních orgánů oznámí bezodkladně, nejpozději do 5 pracovních dnů, druhé smluvní straně tím, že takové dokumenty zašle druhé smluvní straně naskenované na e-mailovou adresu uvedenou v záhlaví, případně jiným způsobem, na kterém se strany dohodly. </w:t>
      </w:r>
    </w:p>
    <w:p w14:paraId="2B7CF511" w14:textId="77777777" w:rsidR="0094442E" w:rsidRDefault="0094442E" w:rsidP="00E309DA">
      <w:pPr>
        <w:pStyle w:val="Nadpis2"/>
      </w:pPr>
      <w:r>
        <w:t xml:space="preserve">V případě, že advokátní kancelář způsobí zaviněným porušením svých povinností klientovi škodu, je povinna ji uplatnit jako pojistnou událost ze svého pojištění odpovědnosti za škodu. Advokátní kancelář je pojištěna do výše pojistného plnění </w:t>
      </w:r>
      <w:r>
        <w:rPr>
          <w:b/>
        </w:rPr>
        <w:t>150 000 000 Kč</w:t>
      </w:r>
      <w:r>
        <w:t xml:space="preserve"> (slovy: sto padesát milionů korun českých). </w:t>
      </w:r>
    </w:p>
    <w:p w14:paraId="73D261C4" w14:textId="77777777" w:rsidR="0094442E" w:rsidRDefault="0094442E" w:rsidP="00E309DA">
      <w:pPr>
        <w:pStyle w:val="Nadpis2"/>
      </w:pPr>
      <w:r>
        <w:t xml:space="preserve">Zastupuje-li advokátní kancelář klienta na základě plné moci ve správních, soudních či jiných řízeních, doručují se veškeré písemnosti zpravidla pouze advokátní kanceláři. O doručených písemnostech advokátní kancelář klienta bezodkladně informuje dle odst. 4.5 této smlouvy. Doručuje-li se však pouze veřejnou vyhláškou vyvěšenou na úřední desce, nezajišťuje advokátní kancelář pravidelné sledování těchto desek, není-li s klientem výslovně dohodnuto jinak.  </w:t>
      </w:r>
    </w:p>
    <w:p w14:paraId="64D06EAB" w14:textId="2C5A6AB3" w:rsidR="0094442E" w:rsidRPr="00E309DA" w:rsidRDefault="0094442E" w:rsidP="00E309DA">
      <w:pPr>
        <w:pStyle w:val="Nadpis2"/>
      </w:pPr>
      <w:r>
        <w:t xml:space="preserve">V případě </w:t>
      </w:r>
      <w:r>
        <w:rPr>
          <w:b/>
        </w:rPr>
        <w:t>ukončení poskytování právních služeb</w:t>
      </w:r>
      <w:r>
        <w:t xml:space="preserve"> je advokátní kancelář povinna připravit veškeré doklady a agendu klienta k předání do 15 dnů od skončení právního zastupování. Klient není oprávněn požadovat přípravu předání dokumentace před tímto termínem.</w:t>
      </w:r>
    </w:p>
    <w:p w14:paraId="2B32707C" w14:textId="77777777" w:rsidR="0094442E" w:rsidRPr="00396EC4" w:rsidRDefault="0094442E" w:rsidP="004F7E5D">
      <w:pPr>
        <w:pStyle w:val="Nadpis1"/>
        <w:spacing w:after="120"/>
      </w:pPr>
      <w:r w:rsidRPr="00396EC4">
        <w:t>Povinnosti klienta</w:t>
      </w:r>
    </w:p>
    <w:p w14:paraId="34964452" w14:textId="77777777" w:rsidR="00E309DA" w:rsidRDefault="0094442E" w:rsidP="00E309DA">
      <w:pPr>
        <w:pStyle w:val="Nadpis2"/>
      </w:pPr>
      <w:r>
        <w:t>Klient se zavazuje poskytovat advokátní kanceláři vždy úplné a pravdivé informace a poskytovat jí součinnost, kterou si pro provedení právních služeb advokátní kancelář vyžádá. Klient se rovněž zavazuje předat advokátní kanceláři řádně a včas všechny listiny, doklady, písemnosti a jiné podklady potřebné pro řádné plnění povinností advokátní kanceláře podle této smlouvy a udělit písemnou plnou moc jejímu advokátovi, případně advokátní kanceláři. Klient se zavazuje bezodkladně uvědomit advokátní kancelář o jakýchkoliv skutečnostech, o kterých se dozví a které s obsahem předmětu poskytování právní pomoci souvisí. Klient vyhotoví na vyžádání advokátní kanceláře jednu kopii listin, dokladů, písemností a jiných podkladů, pokud je bude předávat advokátní kanceláři v jiné než elektronické podobě.</w:t>
      </w:r>
    </w:p>
    <w:p w14:paraId="233DDD75" w14:textId="6827B100" w:rsidR="00E309DA" w:rsidRDefault="00E309DA" w:rsidP="00E309DA">
      <w:pPr>
        <w:pStyle w:val="Nadpis2"/>
      </w:pPr>
      <w:r>
        <w:t>Klient tímto uděluje souhlas k uvádění jeho názvu a stručného popisu právních služeb jemu poskytovaných advokátní kanceláří v referencích a jiných marketingových dokumentech, které zamýšlí advokátní kancelář prezentovat svým potencionálním klientům jako informace o advokátní kanceláři.</w:t>
      </w:r>
    </w:p>
    <w:p w14:paraId="67B3941D" w14:textId="34F926FB" w:rsidR="0094442E" w:rsidRPr="00E309DA" w:rsidRDefault="0094442E" w:rsidP="0094442E">
      <w:pPr>
        <w:pStyle w:val="Nadpis2"/>
      </w:pPr>
      <w:r>
        <w:t xml:space="preserve">  </w:t>
      </w:r>
      <w:r w:rsidR="00E309DA">
        <w:t>Klient dále souhlasí, že jej advokátní kancelář může kdykoliv pro dobu trvání této smlouvy kontaktovat za účelem šíření obchodních sdělení v podobě odborných právních informací a zpráv, marketingových materiálů, nabídek spolupráce, pozvánek na odborné semináře a konference, a na kulturní a sportovní akce pořádané advokátní kanceláří prostřednictvím elektronických prostředků podle zákona č. 480/2004 Sb., o některých službách informační společnosti, v platném a účinném znění.</w:t>
      </w:r>
    </w:p>
    <w:p w14:paraId="6F1CD817" w14:textId="4701CFE5" w:rsidR="0094442E" w:rsidRPr="00E309DA" w:rsidRDefault="0094442E" w:rsidP="004F7E5D">
      <w:pPr>
        <w:pStyle w:val="Nadpis1"/>
        <w:spacing w:after="120"/>
      </w:pPr>
      <w:r w:rsidRPr="00396EC4">
        <w:t>Závěrečná ustanovení</w:t>
      </w:r>
    </w:p>
    <w:p w14:paraId="58C036A2" w14:textId="425CBEAE" w:rsidR="00E309DA" w:rsidRDefault="00E309DA" w:rsidP="00E309DA">
      <w:pPr>
        <w:pStyle w:val="Nadpis2"/>
      </w:pPr>
      <w:r w:rsidRPr="00E309DA">
        <w:t>Smluvní strany souhlasí, že tato smlouva se uzavírá na dobu neurčitou. Advokátní kancelář je oprávněna tuto smlouvu vypovědět jen ze zákonných důvodů, klient je oprávněn tuto smlouvu písemně vypovědět kdykoliv i bez uvedení důvodů. Účinnost výpovědi nastává dnem jejího doručení druhé smluvní straně. K zániku závazku zřízeného touto smlouvou může dojít rovněž na základě písemné dohody smluvních stran.</w:t>
      </w:r>
    </w:p>
    <w:p w14:paraId="409AD4FB" w14:textId="55592A7F" w:rsidR="0094442E" w:rsidRDefault="0094442E" w:rsidP="00E309DA">
      <w:pPr>
        <w:pStyle w:val="Nadpis2"/>
      </w:pPr>
      <w:r>
        <w:t>Klient prohlašuje, že mu ve věcech, které jsou předmětem poskytování právních služeb ve smyslu čl. I této smlouvy, neposkytuje právní služby jiný advokát. Klient se zavazuje, že po dobu trvání této smlouvy nepožádá, ani nepřijme nabídku od jiného advokáta, aby jej v těchto věcech zastupoval. Klient je však oprávněn konzultovat správnost postupu advokátní kanceláře s jiným advokátem.</w:t>
      </w:r>
    </w:p>
    <w:p w14:paraId="0EE966F2" w14:textId="77777777" w:rsidR="0094442E" w:rsidRDefault="0094442E" w:rsidP="00E309DA">
      <w:pPr>
        <w:pStyle w:val="Nadpis2"/>
      </w:pPr>
      <w:r>
        <w:t xml:space="preserve">Jakékoliv změny adresy sídla a e-mailu je klient povinen bezodkladně a písemně advokátní kanceláři sdělit. Pokud tak neučiní, nese sám odpovědnost za obtíže spojené s doručováním, eventuálně za nemožnost doručení. </w:t>
      </w:r>
    </w:p>
    <w:p w14:paraId="56804830" w14:textId="77777777" w:rsidR="007E0F89" w:rsidRDefault="0094442E" w:rsidP="007E0F89">
      <w:pPr>
        <w:pStyle w:val="Nadpis2"/>
      </w:pPr>
      <w:r>
        <w:t>Smlouvu lze měnit pouze na základě písemné dohody obou smluvních stran, a to formou po sobě číslovaných dodatků. To se týká i změny tohoto ustanovení.</w:t>
      </w:r>
    </w:p>
    <w:p w14:paraId="2B1F0983" w14:textId="3CA256D8" w:rsidR="0094442E" w:rsidRDefault="007E0F89" w:rsidP="007E0F89">
      <w:pPr>
        <w:pStyle w:val="Nadpis2"/>
      </w:pPr>
      <w:r>
        <w:t>Smluvní strany prohlašují, že součástí této smlouvy je příloha č. 1 – Zadání a požadavky klienta na právní služby ze dne 12.12.2024</w:t>
      </w:r>
      <w:r w:rsidR="00411052">
        <w:t xml:space="preserve"> a příloha č. 2 – Informace o zpracování osobních údajů.</w:t>
      </w:r>
    </w:p>
    <w:p w14:paraId="60BCB7E3" w14:textId="77777777" w:rsidR="0094442E" w:rsidRDefault="0094442E" w:rsidP="00E309DA">
      <w:pPr>
        <w:pStyle w:val="Nadpis2"/>
      </w:pPr>
      <w:r>
        <w:t>Smluvní strany si sjednaly, že práva a povinnosti touto smlouvou neupravené, jakož i práva a povinnosti z porušení této smlouvy vzniklé, se řídí ustanoveními zákona č. 85/1996 Sb., o advokacii, a zákona č. 89/2012 Sb., občanský zákoník.</w:t>
      </w:r>
    </w:p>
    <w:p w14:paraId="231B7F38" w14:textId="77777777" w:rsidR="00BE7EAB" w:rsidRDefault="0094442E" w:rsidP="00BE7EAB">
      <w:pPr>
        <w:pStyle w:val="Nadpis2"/>
      </w:pPr>
      <w:r>
        <w:t>Smluvní strany prohlašují, že tato smlouva odpovídá jejich pravé, vážné a svobodné vůli, a že nebyla uzavřena za jakéhokoliv nátlaku či tísně ani pod hrozbu násilí nebo lstí.</w:t>
      </w:r>
    </w:p>
    <w:p w14:paraId="665F9A85" w14:textId="77777777" w:rsidR="00BE7EAB" w:rsidRDefault="00BE7EAB" w:rsidP="00BE7EAB">
      <w:pPr>
        <w:pStyle w:val="Nadpis2"/>
      </w:pPr>
      <w:r w:rsidRPr="00BE7EAB">
        <w:t xml:space="preserve">Smlouva nabývá účinnosti zveřejněním v registru smluv.   </w:t>
      </w:r>
    </w:p>
    <w:p w14:paraId="349C8444" w14:textId="13FC633F" w:rsidR="00BE7EAB" w:rsidRDefault="00BE7EAB" w:rsidP="00BE7EAB">
      <w:pPr>
        <w:pStyle w:val="Nadpis2"/>
      </w:pPr>
      <w:r>
        <w:t>Advokátní kancelář</w:t>
      </w:r>
      <w:r w:rsidRPr="00BE7EAB">
        <w:t xml:space="preserve"> souhlasí se zveřejněním této smlouvy včetně všech případných dodatků a dalších zákonem požadovaných skutečností. </w:t>
      </w:r>
      <w:r w:rsidR="00A605A7">
        <w:t xml:space="preserve">Smluvní strany </w:t>
      </w:r>
      <w:r w:rsidRPr="00BE7EAB">
        <w:t>prohlašuj</w:t>
      </w:r>
      <w:r w:rsidR="00A605A7">
        <w:t>í</w:t>
      </w:r>
      <w:r w:rsidRPr="00BE7EAB">
        <w:t xml:space="preserve">, že tato </w:t>
      </w:r>
      <w:r w:rsidR="00A605A7">
        <w:t>s</w:t>
      </w:r>
      <w:r w:rsidRPr="00BE7EAB">
        <w:t xml:space="preserve">mlouva, ani žádná z jejích příloh, neobsahuje údaje, které tvoří předmět obchodního tajemství podle § 504 Občanského zákoníku. Zveřejnění této smlouvy v Registru smluv dle zákona č. 340/2015 Sb., o zvláštních podmínkách účinnosti některých smluv, uveřejňování těchto smluv a o registru smluv (zákon o registru smluv) ve znění pozdějších předpisů zajistí </w:t>
      </w:r>
      <w:r w:rsidR="002B7344">
        <w:t>Klient</w:t>
      </w:r>
      <w:r w:rsidRPr="00BE7EAB">
        <w:t>.</w:t>
      </w:r>
    </w:p>
    <w:p w14:paraId="4974FD9F" w14:textId="3392F533" w:rsidR="00BE7EAB" w:rsidRPr="00BE7EAB" w:rsidRDefault="00BE7EAB" w:rsidP="00BE7EAB">
      <w:pPr>
        <w:pStyle w:val="Nadpis2"/>
      </w:pPr>
      <w:r w:rsidRPr="00BE7EAB">
        <w:t xml:space="preserve">Zadání zakázky a uzavření smlouvy o </w:t>
      </w:r>
      <w:r w:rsidR="002B7344">
        <w:t>poskytování právních služeb</w:t>
      </w:r>
      <w:r w:rsidRPr="00BE7EAB">
        <w:t xml:space="preserve"> bylo schváleno usnesením rady města Jindřichův Hradec č. </w:t>
      </w:r>
      <w:r w:rsidR="00137B23">
        <w:t>80/4R/2025</w:t>
      </w:r>
      <w:r w:rsidRPr="00BE7EAB">
        <w:t xml:space="preserve"> dne </w:t>
      </w:r>
      <w:r w:rsidR="00137B23">
        <w:t>5. 2. 2025.</w:t>
      </w:r>
    </w:p>
    <w:tbl>
      <w:tblPr>
        <w:tblpPr w:leftFromText="180" w:rightFromText="180" w:vertAnchor="text" w:horzAnchor="page" w:tblpX="1592" w:tblpY="334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8"/>
        <w:gridCol w:w="4252"/>
      </w:tblGrid>
      <w:tr w:rsidR="0094442E" w14:paraId="2CF9C270" w14:textId="77777777" w:rsidTr="00964617">
        <w:trPr>
          <w:trHeight w:val="336"/>
        </w:trPr>
        <w:tc>
          <w:tcPr>
            <w:tcW w:w="4738" w:type="dxa"/>
            <w:hideMark/>
          </w:tcPr>
          <w:p w14:paraId="40CFB1B5" w14:textId="77F5A3E0" w:rsidR="0094442E" w:rsidRPr="00396EC4" w:rsidRDefault="0094442E" w:rsidP="00964617">
            <w:pPr>
              <w:rPr>
                <w:rFonts w:ascii="Ebrima" w:hAnsi="Ebrima"/>
                <w:sz w:val="22"/>
                <w:szCs w:val="22"/>
                <w:lang w:val="cs-CZ"/>
              </w:rPr>
            </w:pPr>
            <w:r w:rsidRPr="00396EC4">
              <w:rPr>
                <w:rFonts w:ascii="Ebrima" w:hAnsi="Ebrima"/>
                <w:sz w:val="22"/>
                <w:szCs w:val="22"/>
                <w:lang w:val="cs-CZ"/>
              </w:rPr>
              <w:t xml:space="preserve">V Praze dne </w:t>
            </w:r>
            <w:r w:rsidR="003072BA">
              <w:rPr>
                <w:rFonts w:ascii="Ebrima" w:hAnsi="Ebrima"/>
                <w:sz w:val="22"/>
                <w:szCs w:val="22"/>
                <w:lang w:val="cs-CZ"/>
              </w:rPr>
              <w:t>14. 2. 2025</w:t>
            </w:r>
          </w:p>
        </w:tc>
        <w:tc>
          <w:tcPr>
            <w:tcW w:w="4252" w:type="dxa"/>
            <w:hideMark/>
          </w:tcPr>
          <w:p w14:paraId="7AE136A1" w14:textId="748E0EC7" w:rsidR="0094442E" w:rsidRPr="00396EC4" w:rsidRDefault="0094442E" w:rsidP="00964617">
            <w:pPr>
              <w:rPr>
                <w:rFonts w:ascii="Ebrima" w:hAnsi="Ebrima"/>
                <w:sz w:val="22"/>
                <w:szCs w:val="22"/>
                <w:lang w:val="cs-CZ"/>
              </w:rPr>
            </w:pPr>
            <w:r w:rsidRPr="00396EC4">
              <w:rPr>
                <w:rFonts w:ascii="Ebrima" w:hAnsi="Ebrima"/>
                <w:sz w:val="22"/>
                <w:szCs w:val="22"/>
                <w:lang w:val="cs-CZ"/>
              </w:rPr>
              <w:t>V </w:t>
            </w:r>
            <w:r w:rsidR="00396EC4" w:rsidRPr="00396EC4">
              <w:rPr>
                <w:rFonts w:ascii="Ebrima" w:hAnsi="Ebrima"/>
                <w:sz w:val="22"/>
                <w:szCs w:val="22"/>
                <w:lang w:val="cs-CZ"/>
              </w:rPr>
              <w:t>Jindřichově Hradci dne</w:t>
            </w:r>
            <w:r w:rsidRPr="00396EC4">
              <w:rPr>
                <w:rFonts w:ascii="Ebrima" w:hAnsi="Ebrima"/>
                <w:sz w:val="22"/>
                <w:szCs w:val="22"/>
                <w:lang w:val="cs-CZ"/>
              </w:rPr>
              <w:t xml:space="preserve"> </w:t>
            </w:r>
            <w:r w:rsidR="003072BA">
              <w:rPr>
                <w:rFonts w:ascii="Ebrima" w:hAnsi="Ebrima"/>
                <w:sz w:val="22"/>
                <w:szCs w:val="22"/>
                <w:lang w:val="cs-CZ"/>
              </w:rPr>
              <w:t>10. 2. 2025</w:t>
            </w:r>
          </w:p>
        </w:tc>
      </w:tr>
      <w:tr w:rsidR="0094442E" w14:paraId="25F23E9E" w14:textId="77777777" w:rsidTr="00964617">
        <w:trPr>
          <w:trHeight w:val="1188"/>
        </w:trPr>
        <w:tc>
          <w:tcPr>
            <w:tcW w:w="4738" w:type="dxa"/>
          </w:tcPr>
          <w:p w14:paraId="04A51796" w14:textId="77777777" w:rsidR="0094442E" w:rsidRPr="00396EC4" w:rsidRDefault="0094442E" w:rsidP="00964617">
            <w:pPr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4C868140" w14:textId="77777777" w:rsidR="0094442E" w:rsidRDefault="0094442E" w:rsidP="005B0498">
            <w:pPr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6579BD19" w14:textId="77777777" w:rsidR="0018176C" w:rsidRDefault="0018176C" w:rsidP="005B0498">
            <w:pPr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7B4F7994" w14:textId="77777777" w:rsidR="0018176C" w:rsidRDefault="0018176C" w:rsidP="005B0498">
            <w:pPr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7312050B" w14:textId="77777777" w:rsidR="0018176C" w:rsidRDefault="0018176C" w:rsidP="005B0498">
            <w:pPr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7D6BD6A6" w14:textId="77777777" w:rsidR="0018176C" w:rsidRPr="00396EC4" w:rsidRDefault="0018176C" w:rsidP="005B0498">
            <w:pPr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5F195116" w14:textId="77777777" w:rsidR="0094442E" w:rsidRPr="00396EC4" w:rsidRDefault="0094442E" w:rsidP="00964617">
            <w:pPr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694894DA" w14:textId="77777777" w:rsidR="0094442E" w:rsidRPr="00396EC4" w:rsidRDefault="0094442E" w:rsidP="00964617">
            <w:pPr>
              <w:rPr>
                <w:rFonts w:ascii="Ebrima" w:hAnsi="Ebrima"/>
                <w:sz w:val="22"/>
                <w:szCs w:val="22"/>
                <w:lang w:val="cs-CZ"/>
              </w:rPr>
            </w:pPr>
            <w:r w:rsidRPr="00396EC4">
              <w:rPr>
                <w:rFonts w:ascii="Ebrima" w:hAnsi="Ebrima"/>
                <w:sz w:val="22"/>
                <w:szCs w:val="22"/>
                <w:lang w:val="cs-CZ"/>
              </w:rPr>
              <w:t>________________________________</w:t>
            </w:r>
          </w:p>
        </w:tc>
        <w:tc>
          <w:tcPr>
            <w:tcW w:w="4252" w:type="dxa"/>
          </w:tcPr>
          <w:p w14:paraId="20836390" w14:textId="77777777" w:rsidR="0094442E" w:rsidRDefault="0094442E" w:rsidP="00964617">
            <w:pPr>
              <w:jc w:val="center"/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6B8F4228" w14:textId="77777777" w:rsidR="0094442E" w:rsidRDefault="0094442E" w:rsidP="00964617">
            <w:pPr>
              <w:jc w:val="center"/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71E9F73B" w14:textId="77777777" w:rsidR="0094442E" w:rsidRDefault="0094442E" w:rsidP="00964617">
            <w:pPr>
              <w:jc w:val="center"/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56646337" w14:textId="77777777" w:rsidR="0018176C" w:rsidRDefault="0018176C" w:rsidP="00964617">
            <w:pPr>
              <w:jc w:val="center"/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60E38E93" w14:textId="77777777" w:rsidR="0018176C" w:rsidRDefault="0018176C" w:rsidP="00964617">
            <w:pPr>
              <w:jc w:val="center"/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29632ECA" w14:textId="77777777" w:rsidR="0018176C" w:rsidRDefault="0018176C" w:rsidP="00964617">
            <w:pPr>
              <w:jc w:val="center"/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6A375CFD" w14:textId="77777777" w:rsidR="0018176C" w:rsidRDefault="0018176C" w:rsidP="00964617">
            <w:pPr>
              <w:jc w:val="center"/>
              <w:rPr>
                <w:rFonts w:ascii="Ebrima" w:hAnsi="Ebrima"/>
                <w:sz w:val="22"/>
                <w:szCs w:val="22"/>
                <w:lang w:val="cs-CZ"/>
              </w:rPr>
            </w:pPr>
          </w:p>
          <w:p w14:paraId="37BE98A2" w14:textId="77777777" w:rsidR="0094442E" w:rsidRDefault="0094442E" w:rsidP="00396EC4">
            <w:pPr>
              <w:rPr>
                <w:rFonts w:ascii="Ebrima" w:hAnsi="Ebrima"/>
                <w:sz w:val="22"/>
                <w:szCs w:val="22"/>
                <w:lang w:val="cs-CZ"/>
              </w:rPr>
            </w:pPr>
            <w:r>
              <w:rPr>
                <w:rFonts w:ascii="Ebrima" w:hAnsi="Ebrima"/>
                <w:sz w:val="22"/>
                <w:szCs w:val="22"/>
                <w:lang w:val="cs-CZ"/>
              </w:rPr>
              <w:t>_____________________________</w:t>
            </w:r>
          </w:p>
        </w:tc>
      </w:tr>
      <w:tr w:rsidR="0094442E" w14:paraId="184D4BC8" w14:textId="77777777" w:rsidTr="00964617">
        <w:trPr>
          <w:trHeight w:val="480"/>
        </w:trPr>
        <w:tc>
          <w:tcPr>
            <w:tcW w:w="4738" w:type="dxa"/>
            <w:hideMark/>
          </w:tcPr>
          <w:p w14:paraId="5958FCFA" w14:textId="77777777" w:rsidR="0094442E" w:rsidRPr="00396EC4" w:rsidRDefault="0094442E" w:rsidP="00964617">
            <w:pPr>
              <w:rPr>
                <w:rFonts w:ascii="Ebrima" w:hAnsi="Ebrima"/>
                <w:sz w:val="22"/>
                <w:szCs w:val="22"/>
                <w:lang w:val="cs-CZ"/>
              </w:rPr>
            </w:pPr>
            <w:r w:rsidRPr="00396EC4">
              <w:rPr>
                <w:rFonts w:ascii="Ebrima" w:hAnsi="Ebrima"/>
                <w:b/>
                <w:sz w:val="22"/>
                <w:szCs w:val="22"/>
                <w:lang w:val="cs-CZ"/>
              </w:rPr>
              <w:t>Doucha Šikola advokáti s.r.o.</w:t>
            </w:r>
          </w:p>
          <w:p w14:paraId="64C70380" w14:textId="77777777" w:rsidR="0094442E" w:rsidRPr="00396EC4" w:rsidRDefault="0094442E" w:rsidP="00964617">
            <w:pPr>
              <w:rPr>
                <w:rFonts w:ascii="Ebrima" w:hAnsi="Ebrima"/>
                <w:sz w:val="22"/>
                <w:szCs w:val="22"/>
                <w:lang w:val="cs-CZ"/>
              </w:rPr>
            </w:pPr>
            <w:r w:rsidRPr="00396EC4">
              <w:rPr>
                <w:rFonts w:ascii="Ebrima" w:hAnsi="Ebrima"/>
                <w:sz w:val="22"/>
                <w:szCs w:val="22"/>
                <w:lang w:val="cs-CZ"/>
              </w:rPr>
              <w:t>Mgr. Pavel Doucha, jednatel</w:t>
            </w:r>
          </w:p>
          <w:p w14:paraId="5359387E" w14:textId="10CDA72F" w:rsidR="00B969A6" w:rsidRPr="00396EC4" w:rsidRDefault="00B969A6" w:rsidP="00964617">
            <w:pPr>
              <w:rPr>
                <w:rFonts w:ascii="Ebrima" w:hAnsi="Ebrima"/>
                <w:sz w:val="22"/>
                <w:szCs w:val="22"/>
                <w:lang w:val="cs-CZ"/>
              </w:rPr>
            </w:pPr>
          </w:p>
        </w:tc>
        <w:tc>
          <w:tcPr>
            <w:tcW w:w="4252" w:type="dxa"/>
            <w:hideMark/>
          </w:tcPr>
          <w:p w14:paraId="20D929CB" w14:textId="13A1ACF5" w:rsidR="0094442E" w:rsidRPr="00B02401" w:rsidRDefault="00396EC4" w:rsidP="00396EC4">
            <w:pPr>
              <w:rPr>
                <w:rFonts w:ascii="Ebrima" w:hAnsi="Ebrima"/>
                <w:b/>
                <w:bCs/>
                <w:iCs/>
                <w:sz w:val="22"/>
                <w:szCs w:val="22"/>
                <w:lang w:val="cs-CZ"/>
              </w:rPr>
            </w:pPr>
            <w:r w:rsidRPr="00B02401">
              <w:rPr>
                <w:rFonts w:ascii="Ebrima" w:hAnsi="Ebrima"/>
                <w:b/>
                <w:bCs/>
                <w:iCs/>
                <w:sz w:val="22"/>
                <w:szCs w:val="22"/>
                <w:lang w:val="cs-CZ"/>
              </w:rPr>
              <w:t>Město Jindřichův Hradec</w:t>
            </w:r>
          </w:p>
          <w:p w14:paraId="4625196D" w14:textId="0C3B1602" w:rsidR="0094442E" w:rsidRDefault="00396EC4" w:rsidP="00396EC4">
            <w:pPr>
              <w:rPr>
                <w:rFonts w:ascii="Ebrima" w:hAnsi="Ebrima"/>
                <w:sz w:val="22"/>
                <w:szCs w:val="22"/>
                <w:lang w:val="cs-CZ"/>
              </w:rPr>
            </w:pPr>
            <w:r>
              <w:rPr>
                <w:rFonts w:ascii="Ebrima" w:hAnsi="Ebrima"/>
                <w:iCs/>
                <w:sz w:val="22"/>
                <w:szCs w:val="22"/>
                <w:lang w:val="cs-CZ"/>
              </w:rPr>
              <w:t>Mgr. Ing. Michal Korzár, MBA</w:t>
            </w:r>
          </w:p>
        </w:tc>
      </w:tr>
    </w:tbl>
    <w:p w14:paraId="686101AF" w14:textId="77777777" w:rsidR="0094442E" w:rsidRDefault="0094442E" w:rsidP="0094442E">
      <w:pPr>
        <w:rPr>
          <w:rFonts w:ascii="Ebrima" w:hAnsi="Ebrima"/>
          <w:sz w:val="22"/>
          <w:szCs w:val="22"/>
          <w:lang w:val="cs-CZ"/>
        </w:rPr>
      </w:pPr>
    </w:p>
    <w:p w14:paraId="6C8A8218" w14:textId="77777777" w:rsidR="0094442E" w:rsidRDefault="0094442E" w:rsidP="0094442E">
      <w:pPr>
        <w:ind w:left="-709"/>
        <w:rPr>
          <w:sz w:val="20"/>
          <w:szCs w:val="20"/>
        </w:rPr>
      </w:pPr>
    </w:p>
    <w:p w14:paraId="18ADC5A9" w14:textId="77777777" w:rsidR="0094442E" w:rsidRDefault="0094442E" w:rsidP="0094442E">
      <w:pPr>
        <w:ind w:left="-709"/>
        <w:rPr>
          <w:sz w:val="20"/>
          <w:szCs w:val="20"/>
        </w:rPr>
      </w:pPr>
    </w:p>
    <w:p w14:paraId="5D84B072" w14:textId="77777777" w:rsidR="0094442E" w:rsidRDefault="0094442E" w:rsidP="0094442E">
      <w:pPr>
        <w:ind w:left="-709"/>
        <w:rPr>
          <w:sz w:val="20"/>
          <w:szCs w:val="20"/>
        </w:rPr>
      </w:pPr>
    </w:p>
    <w:p w14:paraId="4671ED44" w14:textId="0936982F" w:rsidR="0094442E" w:rsidRPr="004F7E5D" w:rsidRDefault="004F7E5D" w:rsidP="0094442E">
      <w:pPr>
        <w:ind w:left="-709"/>
        <w:rPr>
          <w:rFonts w:ascii="Ebrima" w:hAnsi="Ebrima"/>
          <w:sz w:val="22"/>
          <w:szCs w:val="22"/>
          <w:u w:val="single"/>
        </w:rPr>
      </w:pPr>
      <w:proofErr w:type="spellStart"/>
      <w:r w:rsidRPr="004F7E5D">
        <w:rPr>
          <w:rFonts w:ascii="Ebrima" w:hAnsi="Ebrima"/>
          <w:sz w:val="22"/>
          <w:szCs w:val="22"/>
          <w:u w:val="single"/>
        </w:rPr>
        <w:t>Příloha</w:t>
      </w:r>
      <w:proofErr w:type="spellEnd"/>
      <w:r w:rsidRPr="004F7E5D">
        <w:rPr>
          <w:rFonts w:ascii="Ebrima" w:hAnsi="Ebrima"/>
          <w:sz w:val="22"/>
          <w:szCs w:val="22"/>
          <w:u w:val="single"/>
        </w:rPr>
        <w:t>:</w:t>
      </w:r>
    </w:p>
    <w:p w14:paraId="5329BECA" w14:textId="70682C91" w:rsidR="004F7E5D" w:rsidRDefault="004F7E5D" w:rsidP="004F7E5D">
      <w:pPr>
        <w:pStyle w:val="Odstavecseseznamem"/>
        <w:numPr>
          <w:ilvl w:val="0"/>
          <w:numId w:val="39"/>
        </w:numPr>
        <w:rPr>
          <w:rFonts w:ascii="Ebrima" w:hAnsi="Ebrima"/>
        </w:rPr>
      </w:pPr>
      <w:r w:rsidRPr="004F7E5D">
        <w:rPr>
          <w:rFonts w:ascii="Ebrima" w:hAnsi="Ebrima"/>
        </w:rPr>
        <w:t>Zadání a požadavky klienta na právní služby ze dne 12.12.2024</w:t>
      </w:r>
    </w:p>
    <w:p w14:paraId="723B9E68" w14:textId="3FA7F36D" w:rsidR="00411052" w:rsidRPr="004F7E5D" w:rsidRDefault="00411052" w:rsidP="004F7E5D">
      <w:pPr>
        <w:pStyle w:val="Odstavecseseznamem"/>
        <w:numPr>
          <w:ilvl w:val="0"/>
          <w:numId w:val="39"/>
        </w:numPr>
        <w:rPr>
          <w:rFonts w:ascii="Ebrima" w:hAnsi="Ebrima"/>
        </w:rPr>
      </w:pPr>
      <w:r>
        <w:rPr>
          <w:rFonts w:ascii="Ebrima" w:hAnsi="Ebrima"/>
        </w:rPr>
        <w:t>Informace o zpracování osobních údajů</w:t>
      </w:r>
    </w:p>
    <w:p w14:paraId="1BA81A1B" w14:textId="77777777" w:rsidR="0094442E" w:rsidRDefault="0094442E" w:rsidP="0094442E">
      <w:pPr>
        <w:ind w:left="-709"/>
        <w:rPr>
          <w:sz w:val="20"/>
          <w:szCs w:val="20"/>
        </w:rPr>
      </w:pPr>
    </w:p>
    <w:p w14:paraId="1AFE2D77" w14:textId="77777777" w:rsidR="0094442E" w:rsidRDefault="0094442E" w:rsidP="0094442E">
      <w:pPr>
        <w:ind w:left="-709"/>
        <w:rPr>
          <w:sz w:val="20"/>
          <w:szCs w:val="20"/>
        </w:rPr>
      </w:pPr>
    </w:p>
    <w:p w14:paraId="55DFD19E" w14:textId="77777777" w:rsidR="0094442E" w:rsidRDefault="0094442E" w:rsidP="005B0498">
      <w:pPr>
        <w:rPr>
          <w:sz w:val="20"/>
          <w:szCs w:val="20"/>
        </w:rPr>
      </w:pPr>
    </w:p>
    <w:p w14:paraId="342F49BD" w14:textId="77777777" w:rsidR="00F9501A" w:rsidRDefault="00F9501A" w:rsidP="00396EC4">
      <w:pPr>
        <w:rPr>
          <w:sz w:val="20"/>
          <w:szCs w:val="20"/>
        </w:rPr>
      </w:pPr>
    </w:p>
    <w:p w14:paraId="3233FC3C" w14:textId="77777777" w:rsidR="00411052" w:rsidRDefault="00411052" w:rsidP="00396EC4">
      <w:pPr>
        <w:rPr>
          <w:sz w:val="20"/>
          <w:szCs w:val="20"/>
        </w:rPr>
      </w:pPr>
    </w:p>
    <w:p w14:paraId="7DF28BDE" w14:textId="77777777" w:rsidR="00411052" w:rsidRDefault="00411052" w:rsidP="00396EC4">
      <w:pPr>
        <w:rPr>
          <w:sz w:val="20"/>
          <w:szCs w:val="20"/>
        </w:rPr>
      </w:pPr>
    </w:p>
    <w:p w14:paraId="03924364" w14:textId="77777777" w:rsidR="00411052" w:rsidRDefault="00411052" w:rsidP="00396EC4">
      <w:pPr>
        <w:rPr>
          <w:sz w:val="20"/>
          <w:szCs w:val="20"/>
        </w:rPr>
      </w:pPr>
    </w:p>
    <w:p w14:paraId="58EBE2B4" w14:textId="77777777" w:rsidR="00411052" w:rsidRDefault="00411052" w:rsidP="00396EC4">
      <w:pPr>
        <w:rPr>
          <w:sz w:val="20"/>
          <w:szCs w:val="20"/>
        </w:rPr>
      </w:pPr>
    </w:p>
    <w:p w14:paraId="5233448B" w14:textId="77777777" w:rsidR="0094442E" w:rsidRPr="004E2F60" w:rsidRDefault="0094442E" w:rsidP="0094442E">
      <w:pPr>
        <w:rPr>
          <w:sz w:val="20"/>
          <w:szCs w:val="20"/>
          <w:lang w:val="cs-CZ"/>
        </w:rPr>
      </w:pPr>
    </w:p>
    <w:p w14:paraId="69C97E0F" w14:textId="13D962A3" w:rsidR="0094442E" w:rsidRPr="004E2F60" w:rsidRDefault="0094442E" w:rsidP="0094442E">
      <w:pPr>
        <w:tabs>
          <w:tab w:val="left" w:pos="2595"/>
        </w:tabs>
        <w:rPr>
          <w:sz w:val="20"/>
          <w:szCs w:val="20"/>
          <w:lang w:val="cs-CZ"/>
        </w:rPr>
      </w:pPr>
    </w:p>
    <w:sectPr w:rsidR="0094442E" w:rsidRPr="004E2F60" w:rsidSect="00820A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51" w:right="1127" w:bottom="1440" w:left="1800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B4BD" w14:textId="77777777" w:rsidR="00C011E7" w:rsidRDefault="00C011E7" w:rsidP="00D22BE3">
      <w:r>
        <w:separator/>
      </w:r>
    </w:p>
  </w:endnote>
  <w:endnote w:type="continuationSeparator" w:id="0">
    <w:p w14:paraId="159A0ABE" w14:textId="77777777" w:rsidR="00C011E7" w:rsidRDefault="00C011E7" w:rsidP="00D2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C6C2" w14:textId="77777777" w:rsidR="00F722CF" w:rsidRDefault="00F72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C6C3" w14:textId="77777777" w:rsidR="00F722CF" w:rsidRDefault="00F722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C6C5" w14:textId="77777777" w:rsidR="00924BE4" w:rsidRDefault="00820A68" w:rsidP="006443B2">
    <w:pPr>
      <w:pStyle w:val="Zpat"/>
      <w:ind w:left="-1800"/>
    </w:pPr>
    <w:r>
      <w:rPr>
        <w:noProof/>
      </w:rPr>
      <w:drawing>
        <wp:inline distT="0" distB="0" distL="0" distR="0" wp14:anchorId="702DC6CA" wp14:editId="702DC6CB">
          <wp:extent cx="7559675" cy="1143261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-hlavic-papir-A4-n10(06-2023)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14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22CF">
      <w:rPr>
        <w:noProof/>
      </w:rPr>
      <w:drawing>
        <wp:anchor distT="0" distB="0" distL="114300" distR="114300" simplePos="0" relativeHeight="251658240" behindDoc="0" locked="0" layoutInCell="1" allowOverlap="1" wp14:anchorId="702DC6CC" wp14:editId="702DC6CD">
          <wp:simplePos x="0" y="0"/>
          <wp:positionH relativeFrom="column">
            <wp:align>center</wp:align>
          </wp:positionH>
          <wp:positionV relativeFrom="paragraph">
            <wp:posOffset>9573895</wp:posOffset>
          </wp:positionV>
          <wp:extent cx="7564755" cy="1163955"/>
          <wp:effectExtent l="0" t="0" r="0" b="0"/>
          <wp:wrapNone/>
          <wp:docPr id="12" name="obrázek 12" descr="DS-hlavic-papir-A4-n7B-300-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S-hlavic-papir-A4-n7B-300-Footer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4AC7" w14:textId="77777777" w:rsidR="00C011E7" w:rsidRDefault="00C011E7" w:rsidP="00D22BE3">
      <w:r>
        <w:separator/>
      </w:r>
    </w:p>
  </w:footnote>
  <w:footnote w:type="continuationSeparator" w:id="0">
    <w:p w14:paraId="00CFE3C8" w14:textId="77777777" w:rsidR="00C011E7" w:rsidRDefault="00C011E7" w:rsidP="00D2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C6C0" w14:textId="77777777" w:rsidR="00F722CF" w:rsidRDefault="00F722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C6C1" w14:textId="77777777" w:rsidR="00924BE4" w:rsidRDefault="00F722CF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0" wp14:anchorId="702DC6C6" wp14:editId="702DC6C7">
          <wp:simplePos x="0" y="0"/>
          <wp:positionH relativeFrom="column">
            <wp:posOffset>-1320165</wp:posOffset>
          </wp:positionH>
          <wp:positionV relativeFrom="paragraph">
            <wp:posOffset>4445</wp:posOffset>
          </wp:positionV>
          <wp:extent cx="7339330" cy="1668145"/>
          <wp:effectExtent l="0" t="0" r="0" b="0"/>
          <wp:wrapNone/>
          <wp:docPr id="6" name="obrázek 6" descr="DS-hlavic-papir-A4-n6-300-Header-2-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S-hlavic-papir-A4-n6-300-Header-2-0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2"/>
                  <a:stretch>
                    <a:fillRect/>
                  </a:stretch>
                </pic:blipFill>
                <pic:spPr bwMode="auto">
                  <a:xfrm>
                    <a:off x="0" y="0"/>
                    <a:ext cx="7339330" cy="166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C6C4" w14:textId="77777777" w:rsidR="00924BE4" w:rsidRDefault="00F722CF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02DC6C8" wp14:editId="702DC6C9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7559675" cy="262382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62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02"/>
    <w:multiLevelType w:val="hybridMultilevel"/>
    <w:tmpl w:val="E8CC6236"/>
    <w:lvl w:ilvl="0" w:tplc="315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F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D43F28"/>
    <w:multiLevelType w:val="multilevel"/>
    <w:tmpl w:val="3BE2D7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D01951"/>
    <w:multiLevelType w:val="hybridMultilevel"/>
    <w:tmpl w:val="BDF61870"/>
    <w:lvl w:ilvl="0" w:tplc="A75AC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A05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940A89"/>
    <w:multiLevelType w:val="multilevel"/>
    <w:tmpl w:val="BF8E56C2"/>
    <w:styleLink w:val="Aktulnseznam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171638"/>
    <w:multiLevelType w:val="multilevel"/>
    <w:tmpl w:val="2EDE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539B7"/>
    <w:multiLevelType w:val="multilevel"/>
    <w:tmpl w:val="3BE2D7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373FC5"/>
    <w:multiLevelType w:val="hybridMultilevel"/>
    <w:tmpl w:val="883CF036"/>
    <w:lvl w:ilvl="0" w:tplc="CAB4E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90351"/>
    <w:multiLevelType w:val="hybridMultilevel"/>
    <w:tmpl w:val="020CE852"/>
    <w:lvl w:ilvl="0" w:tplc="6AC6888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B84CEC"/>
    <w:multiLevelType w:val="hybridMultilevel"/>
    <w:tmpl w:val="E2AECE28"/>
    <w:lvl w:ilvl="0" w:tplc="9FB6974C">
      <w:start w:val="4"/>
      <w:numFmt w:val="bullet"/>
      <w:lvlText w:val="-"/>
      <w:lvlJc w:val="left"/>
      <w:pPr>
        <w:ind w:left="786" w:hanging="360"/>
      </w:pPr>
      <w:rPr>
        <w:rFonts w:ascii="Ebrima" w:eastAsia="Calibri" w:hAnsi="Ebrima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3C6B1E"/>
    <w:multiLevelType w:val="multilevel"/>
    <w:tmpl w:val="BF8E5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687D1C"/>
    <w:multiLevelType w:val="multilevel"/>
    <w:tmpl w:val="26223AD6"/>
    <w:numStyleLink w:val="Aktulnseznam3"/>
  </w:abstractNum>
  <w:abstractNum w:abstractNumId="13" w15:restartNumberingAfterBreak="0">
    <w:nsid w:val="29CE11A6"/>
    <w:multiLevelType w:val="multilevel"/>
    <w:tmpl w:val="3BE2D780"/>
    <w:styleLink w:val="Aktulnseznam5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97302B"/>
    <w:multiLevelType w:val="multilevel"/>
    <w:tmpl w:val="26223AD6"/>
    <w:numStyleLink w:val="Aktulnseznam3"/>
  </w:abstractNum>
  <w:abstractNum w:abstractNumId="15" w15:restartNumberingAfterBreak="0">
    <w:nsid w:val="3A230D9E"/>
    <w:multiLevelType w:val="multilevel"/>
    <w:tmpl w:val="4A68EA2C"/>
    <w:styleLink w:val="Aktulnseznam1"/>
    <w:lvl w:ilvl="0">
      <w:start w:val="2"/>
      <w:numFmt w:val="bullet"/>
      <w:lvlText w:val="-"/>
      <w:lvlJc w:val="left"/>
      <w:pPr>
        <w:ind w:left="720" w:hanging="360"/>
      </w:pPr>
      <w:rPr>
        <w:rFonts w:ascii="Ebrima" w:eastAsia="Times New Roman" w:hAnsi="Ebrima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F66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301479"/>
    <w:multiLevelType w:val="hybridMultilevel"/>
    <w:tmpl w:val="E67A8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0D1"/>
    <w:multiLevelType w:val="multilevel"/>
    <w:tmpl w:val="137280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6A5480"/>
    <w:multiLevelType w:val="multilevel"/>
    <w:tmpl w:val="0405001F"/>
    <w:numStyleLink w:val="Aktulnseznam2"/>
  </w:abstractNum>
  <w:abstractNum w:abstractNumId="20" w15:restartNumberingAfterBreak="0">
    <w:nsid w:val="449304AA"/>
    <w:multiLevelType w:val="multilevel"/>
    <w:tmpl w:val="26223AD6"/>
    <w:numStyleLink w:val="Aktulnseznam3"/>
  </w:abstractNum>
  <w:abstractNum w:abstractNumId="21" w15:restartNumberingAfterBreak="0">
    <w:nsid w:val="462246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4912FA"/>
    <w:multiLevelType w:val="multilevel"/>
    <w:tmpl w:val="26223AD6"/>
    <w:styleLink w:val="Aktulnseznam3"/>
    <w:lvl w:ilvl="0">
      <w:start w:val="1"/>
      <w:numFmt w:val="upperRoman"/>
      <w:pStyle w:val="Nadpis1"/>
      <w:lvlText w:val="%1."/>
      <w:lvlJc w:val="left"/>
      <w:pPr>
        <w:ind w:left="1080" w:hanging="720"/>
      </w:pPr>
      <w:rPr>
        <w:i w:val="0"/>
        <w:iCs w:val="0"/>
      </w:rPr>
    </w:lvl>
    <w:lvl w:ilvl="1">
      <w:start w:val="1"/>
      <w:numFmt w:val="decimal"/>
      <w:pStyle w:val="Nadpis2"/>
      <w:isLgl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 w15:restartNumberingAfterBreak="0">
    <w:nsid w:val="49EB0604"/>
    <w:multiLevelType w:val="multilevel"/>
    <w:tmpl w:val="26223AD6"/>
    <w:numStyleLink w:val="Aktulnseznam3"/>
  </w:abstractNum>
  <w:abstractNum w:abstractNumId="24" w15:restartNumberingAfterBreak="0">
    <w:nsid w:val="525A05DC"/>
    <w:multiLevelType w:val="multilevel"/>
    <w:tmpl w:val="105881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4C12F7"/>
    <w:multiLevelType w:val="hybridMultilevel"/>
    <w:tmpl w:val="067E6130"/>
    <w:lvl w:ilvl="0" w:tplc="FE2A2B86">
      <w:start w:val="1"/>
      <w:numFmt w:val="bullet"/>
      <w:lvlText w:val="-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B10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FF772F"/>
    <w:multiLevelType w:val="hybridMultilevel"/>
    <w:tmpl w:val="06B83428"/>
    <w:lvl w:ilvl="0" w:tplc="9F5E533C">
      <w:start w:val="2"/>
      <w:numFmt w:val="bullet"/>
      <w:lvlText w:val="-"/>
      <w:lvlJc w:val="left"/>
      <w:pPr>
        <w:ind w:left="720" w:hanging="360"/>
      </w:pPr>
      <w:rPr>
        <w:rFonts w:ascii="Ebrima" w:eastAsia="Times New Roman" w:hAnsi="Ebrim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C3CD0"/>
    <w:multiLevelType w:val="multilevel"/>
    <w:tmpl w:val="0405001F"/>
    <w:styleLink w:val="Aktulnseznam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0B17F2"/>
    <w:multiLevelType w:val="hybridMultilevel"/>
    <w:tmpl w:val="9CE8032A"/>
    <w:lvl w:ilvl="0" w:tplc="A75AC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318C4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DC0AE1"/>
    <w:multiLevelType w:val="hybridMultilevel"/>
    <w:tmpl w:val="20222FCE"/>
    <w:lvl w:ilvl="0" w:tplc="A75AC5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305478A"/>
    <w:multiLevelType w:val="multilevel"/>
    <w:tmpl w:val="26223AD6"/>
    <w:numStyleLink w:val="Aktulnseznam3"/>
  </w:abstractNum>
  <w:abstractNum w:abstractNumId="33" w15:restartNumberingAfterBreak="0">
    <w:nsid w:val="7A043CD3"/>
    <w:multiLevelType w:val="multilevel"/>
    <w:tmpl w:val="39468AD0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 w16cid:durableId="269751472">
    <w:abstractNumId w:val="24"/>
  </w:num>
  <w:num w:numId="2" w16cid:durableId="803161843">
    <w:abstractNumId w:val="3"/>
  </w:num>
  <w:num w:numId="3" w16cid:durableId="761343136">
    <w:abstractNumId w:val="0"/>
  </w:num>
  <w:num w:numId="4" w16cid:durableId="668950594">
    <w:abstractNumId w:val="29"/>
  </w:num>
  <w:num w:numId="5" w16cid:durableId="303780110">
    <w:abstractNumId w:val="31"/>
  </w:num>
  <w:num w:numId="6" w16cid:durableId="990056974">
    <w:abstractNumId w:val="8"/>
  </w:num>
  <w:num w:numId="7" w16cid:durableId="253756517">
    <w:abstractNumId w:val="10"/>
  </w:num>
  <w:num w:numId="8" w16cid:durableId="728848797">
    <w:abstractNumId w:val="6"/>
  </w:num>
  <w:num w:numId="9" w16cid:durableId="1126508130">
    <w:abstractNumId w:val="9"/>
  </w:num>
  <w:num w:numId="10" w16cid:durableId="1762605320">
    <w:abstractNumId w:val="4"/>
  </w:num>
  <w:num w:numId="11" w16cid:durableId="686906939">
    <w:abstractNumId w:val="20"/>
    <w:lvlOverride w:ilvl="1">
      <w:lvl w:ilvl="1">
        <w:start w:val="1"/>
        <w:numFmt w:val="decimal"/>
        <w:isLgl/>
        <w:lvlText w:val="%1.%2"/>
        <w:lvlJc w:val="left"/>
        <w:pPr>
          <w:ind w:left="405" w:hanging="405"/>
        </w:pPr>
      </w:lvl>
    </w:lvlOverride>
  </w:num>
  <w:num w:numId="12" w16cid:durableId="339897512">
    <w:abstractNumId w:val="21"/>
  </w:num>
  <w:num w:numId="13" w16cid:durableId="1245913546">
    <w:abstractNumId w:val="1"/>
  </w:num>
  <w:num w:numId="14" w16cid:durableId="1808473839">
    <w:abstractNumId w:val="26"/>
  </w:num>
  <w:num w:numId="15" w16cid:durableId="2106879981">
    <w:abstractNumId w:val="11"/>
  </w:num>
  <w:num w:numId="16" w16cid:durableId="914556127">
    <w:abstractNumId w:val="33"/>
  </w:num>
  <w:num w:numId="17" w16cid:durableId="193471473">
    <w:abstractNumId w:val="18"/>
  </w:num>
  <w:num w:numId="18" w16cid:durableId="1040596586">
    <w:abstractNumId w:val="27"/>
  </w:num>
  <w:num w:numId="19" w16cid:durableId="215895764">
    <w:abstractNumId w:val="15"/>
  </w:num>
  <w:num w:numId="20" w16cid:durableId="663701835">
    <w:abstractNumId w:val="28"/>
  </w:num>
  <w:num w:numId="21" w16cid:durableId="455176562">
    <w:abstractNumId w:val="2"/>
  </w:num>
  <w:num w:numId="22" w16cid:durableId="598105269">
    <w:abstractNumId w:val="22"/>
  </w:num>
  <w:num w:numId="23" w16cid:durableId="1227885316">
    <w:abstractNumId w:val="5"/>
  </w:num>
  <w:num w:numId="24" w16cid:durableId="1562322840">
    <w:abstractNumId w:val="7"/>
  </w:num>
  <w:num w:numId="25" w16cid:durableId="582568423">
    <w:abstractNumId w:val="32"/>
  </w:num>
  <w:num w:numId="26" w16cid:durableId="1838307141">
    <w:abstractNumId w:val="12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i w:val="0"/>
          <w:iCs w:val="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05" w:hanging="405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27" w16cid:durableId="20758592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2205787">
    <w:abstractNumId w:val="14"/>
    <w:lvlOverride w:ilvl="1">
      <w:lvl w:ilvl="1">
        <w:start w:val="1"/>
        <w:numFmt w:val="decimal"/>
        <w:isLgl/>
        <w:lvlText w:val="%1.%2"/>
        <w:lvlJc w:val="left"/>
        <w:pPr>
          <w:ind w:left="405" w:hanging="405"/>
        </w:pPr>
      </w:lvl>
    </w:lvlOverride>
  </w:num>
  <w:num w:numId="29" w16cid:durableId="1256287831">
    <w:abstractNumId w:val="13"/>
  </w:num>
  <w:num w:numId="30" w16cid:durableId="1276795033">
    <w:abstractNumId w:val="12"/>
    <w:lvlOverride w:ilvl="0">
      <w:startOverride w:val="1"/>
      <w:lvl w:ilvl="0">
        <w:start w:val="1"/>
        <w:numFmt w:val="upperRoman"/>
        <w:lvlText w:val="%1."/>
        <w:lvlJc w:val="left"/>
        <w:pPr>
          <w:ind w:left="1080" w:hanging="720"/>
        </w:pPr>
        <w:rPr>
          <w:i w:val="0"/>
          <w:iCs w:val="0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405" w:hanging="405"/>
        </w:pPr>
      </w:lvl>
    </w:lvlOverride>
    <w:lvlOverride w:ilvl="2">
      <w:startOverride w:val="1"/>
      <w:lvl w:ilvl="2">
        <w:start w:val="1"/>
        <w:numFmt w:val="decimal"/>
        <w:isLgl/>
        <w:lvlText w:val="%1.%2.%3"/>
        <w:lvlJc w:val="left"/>
        <w:pPr>
          <w:ind w:left="1080" w:hanging="720"/>
        </w:pPr>
      </w:lvl>
    </w:lvlOverride>
    <w:lvlOverride w:ilvl="3">
      <w:startOverride w:val="1"/>
      <w:lvl w:ilvl="3">
        <w:start w:val="1"/>
        <w:numFmt w:val="decimal"/>
        <w:isLgl/>
        <w:lvlText w:val="%1.%2.%3.%4"/>
        <w:lvlJc w:val="left"/>
        <w:pPr>
          <w:ind w:left="1080" w:hanging="720"/>
        </w:pPr>
      </w:lvl>
    </w:lvlOverride>
    <w:lvlOverride w:ilvl="4">
      <w:startOverride w:val="1"/>
      <w:lvl w:ilvl="4">
        <w:start w:val="1"/>
        <w:numFmt w:val="decimal"/>
        <w:isLgl/>
        <w:lvlText w:val="%1.%2.%3.%4.%5"/>
        <w:lvlJc w:val="left"/>
        <w:pPr>
          <w:ind w:left="1440" w:hanging="1080"/>
        </w:pPr>
      </w:lvl>
    </w:lvlOverride>
    <w:lvlOverride w:ilvl="5">
      <w:startOverride w:val="1"/>
      <w:lvl w:ilvl="5">
        <w:start w:val="1"/>
        <w:numFmt w:val="decimal"/>
        <w:isLgl/>
        <w:lvlText w:val="%1.%2.%3.%4.%5.%6"/>
        <w:lvlJc w:val="left"/>
        <w:pPr>
          <w:ind w:left="1440" w:hanging="1080"/>
        </w:pPr>
      </w:lvl>
    </w:lvlOverride>
    <w:lvlOverride w:ilvl="6">
      <w:startOverride w:val="1"/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startOverride w:val="1"/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startOverride w:val="1"/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31" w16cid:durableId="884175593">
    <w:abstractNumId w:val="12"/>
    <w:lvlOverride w:ilvl="0">
      <w:startOverride w:val="1"/>
      <w:lvl w:ilvl="0">
        <w:start w:val="1"/>
        <w:numFmt w:val="upperRoman"/>
        <w:lvlText w:val="%1."/>
        <w:lvlJc w:val="left"/>
        <w:pPr>
          <w:ind w:left="1080" w:hanging="720"/>
        </w:pPr>
        <w:rPr>
          <w:i w:val="0"/>
          <w:iCs w:val="0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405" w:hanging="405"/>
        </w:pPr>
      </w:lvl>
    </w:lvlOverride>
    <w:lvlOverride w:ilvl="2">
      <w:startOverride w:val="1"/>
      <w:lvl w:ilvl="2">
        <w:start w:val="1"/>
        <w:numFmt w:val="decimal"/>
        <w:isLgl/>
        <w:lvlText w:val="%1.%2.%3"/>
        <w:lvlJc w:val="left"/>
        <w:pPr>
          <w:ind w:left="1080" w:hanging="720"/>
        </w:pPr>
      </w:lvl>
    </w:lvlOverride>
    <w:lvlOverride w:ilvl="3">
      <w:startOverride w:val="1"/>
      <w:lvl w:ilvl="3">
        <w:start w:val="1"/>
        <w:numFmt w:val="decimal"/>
        <w:isLgl/>
        <w:lvlText w:val="%1.%2.%3.%4"/>
        <w:lvlJc w:val="left"/>
        <w:pPr>
          <w:ind w:left="1080" w:hanging="720"/>
        </w:pPr>
      </w:lvl>
    </w:lvlOverride>
    <w:lvlOverride w:ilvl="4">
      <w:startOverride w:val="1"/>
      <w:lvl w:ilvl="4">
        <w:start w:val="1"/>
        <w:numFmt w:val="decimal"/>
        <w:isLgl/>
        <w:lvlText w:val="%1.%2.%3.%4.%5"/>
        <w:lvlJc w:val="left"/>
        <w:pPr>
          <w:ind w:left="1440" w:hanging="1080"/>
        </w:pPr>
      </w:lvl>
    </w:lvlOverride>
    <w:lvlOverride w:ilvl="5">
      <w:startOverride w:val="1"/>
      <w:lvl w:ilvl="5">
        <w:start w:val="1"/>
        <w:numFmt w:val="decimal"/>
        <w:isLgl/>
        <w:lvlText w:val="%1.%2.%3.%4.%5.%6"/>
        <w:lvlJc w:val="left"/>
        <w:pPr>
          <w:ind w:left="1440" w:hanging="1080"/>
        </w:pPr>
      </w:lvl>
    </w:lvlOverride>
    <w:lvlOverride w:ilvl="6">
      <w:startOverride w:val="1"/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startOverride w:val="1"/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startOverride w:val="1"/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32" w16cid:durableId="741950474">
    <w:abstractNumId w:val="12"/>
    <w:lvlOverride w:ilvl="0">
      <w:startOverride w:val="1"/>
      <w:lvl w:ilvl="0">
        <w:start w:val="1"/>
        <w:numFmt w:val="upperRoman"/>
        <w:lvlText w:val="%1."/>
        <w:lvlJc w:val="left"/>
        <w:pPr>
          <w:ind w:left="1080" w:hanging="720"/>
        </w:pPr>
        <w:rPr>
          <w:i w:val="0"/>
          <w:iCs w:val="0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405" w:hanging="405"/>
        </w:pPr>
      </w:lvl>
    </w:lvlOverride>
    <w:lvlOverride w:ilvl="2">
      <w:startOverride w:val="1"/>
      <w:lvl w:ilvl="2">
        <w:start w:val="1"/>
        <w:numFmt w:val="decimal"/>
        <w:isLgl/>
        <w:lvlText w:val="%1.%2.%3"/>
        <w:lvlJc w:val="left"/>
        <w:pPr>
          <w:ind w:left="1080" w:hanging="720"/>
        </w:pPr>
      </w:lvl>
    </w:lvlOverride>
    <w:lvlOverride w:ilvl="3">
      <w:startOverride w:val="1"/>
      <w:lvl w:ilvl="3">
        <w:start w:val="1"/>
        <w:numFmt w:val="decimal"/>
        <w:isLgl/>
        <w:lvlText w:val="%1.%2.%3.%4"/>
        <w:lvlJc w:val="left"/>
        <w:pPr>
          <w:ind w:left="1080" w:hanging="720"/>
        </w:pPr>
      </w:lvl>
    </w:lvlOverride>
    <w:lvlOverride w:ilvl="4">
      <w:startOverride w:val="1"/>
      <w:lvl w:ilvl="4">
        <w:start w:val="1"/>
        <w:numFmt w:val="decimal"/>
        <w:isLgl/>
        <w:lvlText w:val="%1.%2.%3.%4.%5"/>
        <w:lvlJc w:val="left"/>
        <w:pPr>
          <w:ind w:left="1440" w:hanging="1080"/>
        </w:pPr>
      </w:lvl>
    </w:lvlOverride>
    <w:lvlOverride w:ilvl="5">
      <w:startOverride w:val="1"/>
      <w:lvl w:ilvl="5">
        <w:start w:val="1"/>
        <w:numFmt w:val="decimal"/>
        <w:isLgl/>
        <w:lvlText w:val="%1.%2.%3.%4.%5.%6"/>
        <w:lvlJc w:val="left"/>
        <w:pPr>
          <w:ind w:left="1440" w:hanging="1080"/>
        </w:pPr>
      </w:lvl>
    </w:lvlOverride>
    <w:lvlOverride w:ilvl="6">
      <w:startOverride w:val="1"/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startOverride w:val="1"/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startOverride w:val="1"/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33" w16cid:durableId="189611770">
    <w:abstractNumId w:val="19"/>
  </w:num>
  <w:num w:numId="34" w16cid:durableId="266083732">
    <w:abstractNumId w:val="30"/>
  </w:num>
  <w:num w:numId="35" w16cid:durableId="1409376096">
    <w:abstractNumId w:val="16"/>
  </w:num>
  <w:num w:numId="36" w16cid:durableId="419721719">
    <w:abstractNumId w:val="12"/>
    <w:lvlOverride w:ilvl="0">
      <w:startOverride w:val="1"/>
      <w:lvl w:ilvl="0">
        <w:start w:val="1"/>
        <w:numFmt w:val="upperRoman"/>
        <w:lvlText w:val="%1."/>
        <w:lvlJc w:val="left"/>
        <w:pPr>
          <w:ind w:left="1080" w:hanging="720"/>
        </w:pPr>
        <w:rPr>
          <w:i w:val="0"/>
          <w:iCs w:val="0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405" w:hanging="405"/>
        </w:pPr>
      </w:lvl>
    </w:lvlOverride>
    <w:lvlOverride w:ilvl="2">
      <w:startOverride w:val="1"/>
      <w:lvl w:ilvl="2">
        <w:start w:val="1"/>
        <w:numFmt w:val="decimal"/>
        <w:isLgl/>
        <w:lvlText w:val="%1.%2.%3"/>
        <w:lvlJc w:val="left"/>
        <w:pPr>
          <w:ind w:left="1080" w:hanging="720"/>
        </w:pPr>
      </w:lvl>
    </w:lvlOverride>
    <w:lvlOverride w:ilvl="3">
      <w:startOverride w:val="1"/>
      <w:lvl w:ilvl="3">
        <w:start w:val="1"/>
        <w:numFmt w:val="decimal"/>
        <w:isLgl/>
        <w:lvlText w:val="%1.%2.%3.%4"/>
        <w:lvlJc w:val="left"/>
        <w:pPr>
          <w:ind w:left="1080" w:hanging="720"/>
        </w:pPr>
      </w:lvl>
    </w:lvlOverride>
    <w:lvlOverride w:ilvl="4">
      <w:startOverride w:val="1"/>
      <w:lvl w:ilvl="4">
        <w:start w:val="1"/>
        <w:numFmt w:val="decimal"/>
        <w:isLgl/>
        <w:lvlText w:val="%1.%2.%3.%4.%5"/>
        <w:lvlJc w:val="left"/>
        <w:pPr>
          <w:ind w:left="1440" w:hanging="1080"/>
        </w:pPr>
      </w:lvl>
    </w:lvlOverride>
    <w:lvlOverride w:ilvl="5">
      <w:startOverride w:val="1"/>
      <w:lvl w:ilvl="5">
        <w:start w:val="1"/>
        <w:numFmt w:val="decimal"/>
        <w:isLgl/>
        <w:lvlText w:val="%1.%2.%3.%4.%5.%6"/>
        <w:lvlJc w:val="left"/>
        <w:pPr>
          <w:ind w:left="1440" w:hanging="1080"/>
        </w:pPr>
      </w:lvl>
    </w:lvlOverride>
    <w:lvlOverride w:ilvl="6">
      <w:startOverride w:val="1"/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startOverride w:val="1"/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startOverride w:val="1"/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37" w16cid:durableId="1503858086">
    <w:abstractNumId w:val="23"/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405" w:hanging="405"/>
        </w:pPr>
      </w:lvl>
    </w:lvlOverride>
  </w:num>
  <w:num w:numId="38" w16cid:durableId="1437866011">
    <w:abstractNumId w:val="25"/>
  </w:num>
  <w:num w:numId="39" w16cid:durableId="19787567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CC"/>
    <w:rsid w:val="0000078A"/>
    <w:rsid w:val="0000467D"/>
    <w:rsid w:val="00016C3B"/>
    <w:rsid w:val="00034314"/>
    <w:rsid w:val="00137B23"/>
    <w:rsid w:val="00165CF5"/>
    <w:rsid w:val="001670E2"/>
    <w:rsid w:val="0017707F"/>
    <w:rsid w:val="0018176C"/>
    <w:rsid w:val="001C3F08"/>
    <w:rsid w:val="001E2F5F"/>
    <w:rsid w:val="002A6288"/>
    <w:rsid w:val="002B7344"/>
    <w:rsid w:val="002E021B"/>
    <w:rsid w:val="002E7FF4"/>
    <w:rsid w:val="003072BA"/>
    <w:rsid w:val="00313726"/>
    <w:rsid w:val="00320809"/>
    <w:rsid w:val="003542E2"/>
    <w:rsid w:val="00396EC4"/>
    <w:rsid w:val="003C659D"/>
    <w:rsid w:val="003D4EA3"/>
    <w:rsid w:val="003E10CC"/>
    <w:rsid w:val="00411052"/>
    <w:rsid w:val="004215AF"/>
    <w:rsid w:val="00486F35"/>
    <w:rsid w:val="00495609"/>
    <w:rsid w:val="004E18A2"/>
    <w:rsid w:val="004E2F60"/>
    <w:rsid w:val="004F7E5D"/>
    <w:rsid w:val="0053269E"/>
    <w:rsid w:val="00536818"/>
    <w:rsid w:val="005A48BF"/>
    <w:rsid w:val="005A5138"/>
    <w:rsid w:val="005B0498"/>
    <w:rsid w:val="005F3BC5"/>
    <w:rsid w:val="0062132E"/>
    <w:rsid w:val="006443B2"/>
    <w:rsid w:val="006470E9"/>
    <w:rsid w:val="0065120A"/>
    <w:rsid w:val="00680075"/>
    <w:rsid w:val="006C1536"/>
    <w:rsid w:val="006E1CF3"/>
    <w:rsid w:val="006E388A"/>
    <w:rsid w:val="006E3E92"/>
    <w:rsid w:val="006F588D"/>
    <w:rsid w:val="007270F9"/>
    <w:rsid w:val="00776EF5"/>
    <w:rsid w:val="00785DD5"/>
    <w:rsid w:val="00795F3A"/>
    <w:rsid w:val="007A0C34"/>
    <w:rsid w:val="007B54CF"/>
    <w:rsid w:val="007E0F89"/>
    <w:rsid w:val="00820254"/>
    <w:rsid w:val="00820A68"/>
    <w:rsid w:val="008D5A83"/>
    <w:rsid w:val="00924923"/>
    <w:rsid w:val="00924BE4"/>
    <w:rsid w:val="0094182C"/>
    <w:rsid w:val="0094442E"/>
    <w:rsid w:val="00987CF3"/>
    <w:rsid w:val="009A4AED"/>
    <w:rsid w:val="009D6DC2"/>
    <w:rsid w:val="009E18AB"/>
    <w:rsid w:val="009E5E2F"/>
    <w:rsid w:val="00A2215A"/>
    <w:rsid w:val="00A32081"/>
    <w:rsid w:val="00A5002E"/>
    <w:rsid w:val="00A605A7"/>
    <w:rsid w:val="00A618FE"/>
    <w:rsid w:val="00A84AC8"/>
    <w:rsid w:val="00AB3543"/>
    <w:rsid w:val="00B02401"/>
    <w:rsid w:val="00B3598E"/>
    <w:rsid w:val="00B969A6"/>
    <w:rsid w:val="00BA797A"/>
    <w:rsid w:val="00BD0D6C"/>
    <w:rsid w:val="00BE3C02"/>
    <w:rsid w:val="00BE7EAB"/>
    <w:rsid w:val="00BF3D4F"/>
    <w:rsid w:val="00C011E7"/>
    <w:rsid w:val="00C021CC"/>
    <w:rsid w:val="00C3513C"/>
    <w:rsid w:val="00C468DB"/>
    <w:rsid w:val="00C736D1"/>
    <w:rsid w:val="00C8238A"/>
    <w:rsid w:val="00CB7815"/>
    <w:rsid w:val="00CC0F87"/>
    <w:rsid w:val="00CC19F7"/>
    <w:rsid w:val="00D031D3"/>
    <w:rsid w:val="00D167C9"/>
    <w:rsid w:val="00D22BE3"/>
    <w:rsid w:val="00D407C4"/>
    <w:rsid w:val="00D83988"/>
    <w:rsid w:val="00D85367"/>
    <w:rsid w:val="00D91B38"/>
    <w:rsid w:val="00DD2C55"/>
    <w:rsid w:val="00DE1A38"/>
    <w:rsid w:val="00DE70E6"/>
    <w:rsid w:val="00E01FFD"/>
    <w:rsid w:val="00E309DA"/>
    <w:rsid w:val="00E51ACF"/>
    <w:rsid w:val="00EB22FA"/>
    <w:rsid w:val="00EC0217"/>
    <w:rsid w:val="00EF383F"/>
    <w:rsid w:val="00F01779"/>
    <w:rsid w:val="00F40FAD"/>
    <w:rsid w:val="00F5799B"/>
    <w:rsid w:val="00F7204D"/>
    <w:rsid w:val="00F722CF"/>
    <w:rsid w:val="00F9501A"/>
    <w:rsid w:val="00FA08CB"/>
    <w:rsid w:val="00FA57E7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DC6BB"/>
  <w14:defaultImageDpi w14:val="300"/>
  <w15:chartTrackingRefBased/>
  <w15:docId w15:val="{CA7C4980-0793-AF40-8FC2-C4DA2581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309DA"/>
    <w:pPr>
      <w:keepNext/>
      <w:numPr>
        <w:numId w:val="37"/>
      </w:numPr>
      <w:spacing w:before="240" w:after="60"/>
      <w:jc w:val="center"/>
      <w:outlineLvl w:val="0"/>
    </w:pPr>
    <w:rPr>
      <w:rFonts w:ascii="Ebrima" w:eastAsia="MS Gothic" w:hAnsi="Ebrima"/>
      <w:b/>
      <w:bCs/>
      <w:kern w:val="32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09DA"/>
    <w:pPr>
      <w:numPr>
        <w:ilvl w:val="1"/>
        <w:numId w:val="37"/>
      </w:numPr>
      <w:spacing w:after="120"/>
      <w:jc w:val="both"/>
      <w:outlineLvl w:val="1"/>
    </w:pPr>
    <w:rPr>
      <w:rFonts w:ascii="Ebrima" w:hAnsi="Ebrima"/>
      <w:sz w:val="22"/>
      <w:szCs w:val="22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09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2BE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2BE3"/>
  </w:style>
  <w:style w:type="paragraph" w:styleId="Zpat">
    <w:name w:val="footer"/>
    <w:basedOn w:val="Normln"/>
    <w:link w:val="ZpatChar"/>
    <w:uiPriority w:val="99"/>
    <w:unhideWhenUsed/>
    <w:rsid w:val="00D22BE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2BE3"/>
  </w:style>
  <w:style w:type="paragraph" w:styleId="Textbubliny">
    <w:name w:val="Balloon Text"/>
    <w:basedOn w:val="Normln"/>
    <w:link w:val="TextbublinyChar"/>
    <w:uiPriority w:val="99"/>
    <w:semiHidden/>
    <w:unhideWhenUsed/>
    <w:rsid w:val="00D22BE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2BE3"/>
    <w:rPr>
      <w:rFonts w:ascii="Lucida Grande" w:hAnsi="Lucida Grand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016C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cs-CZ"/>
    </w:rPr>
  </w:style>
  <w:style w:type="character" w:customStyle="1" w:styleId="Nadpis1Char">
    <w:name w:val="Nadpis 1 Char"/>
    <w:link w:val="Nadpis1"/>
    <w:uiPriority w:val="9"/>
    <w:rsid w:val="00E309DA"/>
    <w:rPr>
      <w:rFonts w:ascii="Ebrima" w:eastAsia="MS Gothic" w:hAnsi="Ebrima"/>
      <w:b/>
      <w:bCs/>
      <w:kern w:val="32"/>
      <w:sz w:val="24"/>
      <w:szCs w:val="24"/>
      <w:lang w:eastAsia="en-US"/>
    </w:rPr>
  </w:style>
  <w:style w:type="paragraph" w:customStyle="1" w:styleId="Stednmka21">
    <w:name w:val="Střední mřížka 21"/>
    <w:uiPriority w:val="1"/>
    <w:qFormat/>
    <w:rsid w:val="00924BE4"/>
    <w:rPr>
      <w:sz w:val="24"/>
      <w:szCs w:val="24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24BE4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924BE4"/>
    <w:rPr>
      <w:rFonts w:ascii="Calibri" w:eastAsia="MS Gothic" w:hAnsi="Calibri" w:cs="Times New Roman"/>
      <w:b/>
      <w:bCs/>
      <w:kern w:val="28"/>
      <w:sz w:val="32"/>
      <w:szCs w:val="32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BE4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PodnadpisChar">
    <w:name w:val="Podnadpis Char"/>
    <w:link w:val="Podnadpis"/>
    <w:uiPriority w:val="11"/>
    <w:rsid w:val="00924BE4"/>
    <w:rPr>
      <w:rFonts w:ascii="Calibri" w:eastAsia="MS Gothic" w:hAnsi="Calibri" w:cs="Times New Roman"/>
      <w:sz w:val="24"/>
      <w:szCs w:val="24"/>
      <w:lang w:val="en-US"/>
    </w:rPr>
  </w:style>
  <w:style w:type="character" w:styleId="Siln">
    <w:name w:val="Strong"/>
    <w:uiPriority w:val="22"/>
    <w:qFormat/>
    <w:rsid w:val="00924BE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E309DA"/>
    <w:rPr>
      <w:rFonts w:ascii="Ebrima" w:hAnsi="Ebrima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4442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4442E"/>
    <w:pPr>
      <w:tabs>
        <w:tab w:val="left" w:pos="426"/>
      </w:tabs>
      <w:ind w:left="720"/>
      <w:contextualSpacing/>
      <w:jc w:val="both"/>
    </w:pPr>
    <w:rPr>
      <w:rFonts w:ascii="Arial" w:eastAsia="Calibri" w:hAnsi="Arial" w:cs="Arial"/>
      <w:sz w:val="22"/>
      <w:szCs w:val="22"/>
      <w:lang w:val="cs-CZ"/>
    </w:rPr>
  </w:style>
  <w:style w:type="paragraph" w:styleId="Normlnweb">
    <w:name w:val="Normal (Web)"/>
    <w:basedOn w:val="Normln"/>
    <w:uiPriority w:val="99"/>
    <w:unhideWhenUsed/>
    <w:rsid w:val="00495609"/>
    <w:pPr>
      <w:spacing w:before="100" w:beforeAutospacing="1" w:after="100" w:afterAutospacing="1"/>
    </w:pPr>
    <w:rPr>
      <w:rFonts w:ascii="Times New Roman" w:eastAsia="Times New Roman" w:hAnsi="Times New Roman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95609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396EC4"/>
    <w:pPr>
      <w:numPr>
        <w:numId w:val="19"/>
      </w:numPr>
    </w:pPr>
  </w:style>
  <w:style w:type="numbering" w:customStyle="1" w:styleId="Aktulnseznam2">
    <w:name w:val="Aktuální seznam2"/>
    <w:uiPriority w:val="99"/>
    <w:rsid w:val="00396EC4"/>
    <w:pPr>
      <w:numPr>
        <w:numId w:val="20"/>
      </w:numPr>
    </w:pPr>
  </w:style>
  <w:style w:type="numbering" w:customStyle="1" w:styleId="Aktulnseznam3">
    <w:name w:val="Aktuální seznam3"/>
    <w:uiPriority w:val="99"/>
    <w:rsid w:val="00396EC4"/>
    <w:pPr>
      <w:numPr>
        <w:numId w:val="22"/>
      </w:numPr>
    </w:pPr>
  </w:style>
  <w:style w:type="numbering" w:customStyle="1" w:styleId="Aktulnseznam4">
    <w:name w:val="Aktuální seznam4"/>
    <w:uiPriority w:val="99"/>
    <w:rsid w:val="00396EC4"/>
    <w:pPr>
      <w:numPr>
        <w:numId w:val="23"/>
      </w:numPr>
    </w:pPr>
  </w:style>
  <w:style w:type="numbering" w:customStyle="1" w:styleId="Aktulnseznam5">
    <w:name w:val="Aktuální seznam5"/>
    <w:uiPriority w:val="99"/>
    <w:rsid w:val="00E309DA"/>
    <w:pPr>
      <w:numPr>
        <w:numId w:val="29"/>
      </w:numPr>
    </w:pPr>
  </w:style>
  <w:style w:type="numbering" w:styleId="111111">
    <w:name w:val="Outline List 2"/>
    <w:basedOn w:val="Bezseznamu"/>
    <w:uiPriority w:val="99"/>
    <w:semiHidden/>
    <w:unhideWhenUsed/>
    <w:rsid w:val="00E309DA"/>
    <w:pPr>
      <w:numPr>
        <w:numId w:val="3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E309D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styleId="Revize">
    <w:name w:val="Revision"/>
    <w:hidden/>
    <w:uiPriority w:val="71"/>
    <w:rsid w:val="00B0240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4648F2-5ABE-49E4-9A72-8AD54B900078}"/>
</file>

<file path=customXml/itemProps2.xml><?xml version="1.0" encoding="utf-8"?>
<ds:datastoreItem xmlns:ds="http://schemas.openxmlformats.org/officeDocument/2006/customXml" ds:itemID="{CB35DA48-3DDF-CC4A-A492-794377F32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E8674-9FF2-46BC-A0A8-441954A6EB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E920E-C185-494E-85CE-F85E4A7A6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2104</Words>
  <Characters>12418</Characters>
  <Application>Microsoft Office Word</Application>
  <DocSecurity>4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14494</CharactersWithSpaces>
  <SharedDoc>false</SharedDoc>
  <HLinks>
    <vt:vector size="18" baseType="variant">
      <vt:variant>
        <vt:i4>98</vt:i4>
      </vt:variant>
      <vt:variant>
        <vt:i4>-1</vt:i4>
      </vt:variant>
      <vt:variant>
        <vt:i4>2054</vt:i4>
      </vt:variant>
      <vt:variant>
        <vt:i4>1</vt:i4>
      </vt:variant>
      <vt:variant>
        <vt:lpwstr>DS-hlavic-papir-A4-n6-300-Header-2-05</vt:lpwstr>
      </vt:variant>
      <vt:variant>
        <vt:lpwstr/>
      </vt:variant>
      <vt:variant>
        <vt:i4>4980832</vt:i4>
      </vt:variant>
      <vt:variant>
        <vt:i4>-1</vt:i4>
      </vt:variant>
      <vt:variant>
        <vt:i4>2060</vt:i4>
      </vt:variant>
      <vt:variant>
        <vt:i4>1</vt:i4>
      </vt:variant>
      <vt:variant>
        <vt:lpwstr>DS-hlavic-papir-A4-n7B-300-Footer</vt:lpwstr>
      </vt:variant>
      <vt:variant>
        <vt:lpwstr/>
      </vt:variant>
      <vt:variant>
        <vt:i4>2621510</vt:i4>
      </vt:variant>
      <vt:variant>
        <vt:i4>-1</vt:i4>
      </vt:variant>
      <vt:variant>
        <vt:i4>2064</vt:i4>
      </vt:variant>
      <vt:variant>
        <vt:i4>1</vt:i4>
      </vt:variant>
      <vt:variant>
        <vt:lpwstr>DS-hlavic-papir-A4-n9-300-Footer-03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Tajmlová, Nikola</cp:lastModifiedBy>
  <cp:revision>2</cp:revision>
  <dcterms:created xsi:type="dcterms:W3CDTF">2025-02-18T12:16:00Z</dcterms:created>
  <dcterms:modified xsi:type="dcterms:W3CDTF">2025-02-18T12:16:00Z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