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62EB2F6A" w14:textId="77777777" w:rsidR="006F03E3" w:rsidRDefault="006F03E3" w:rsidP="00D859C2">
      <w:pPr>
        <w:rPr>
          <w:b/>
        </w:rPr>
      </w:pPr>
      <w:r w:rsidRPr="006F03E3">
        <w:rPr>
          <w:b/>
        </w:rPr>
        <w:t>Olympus Czech Group, s.r.o., člen koncernu</w:t>
      </w:r>
    </w:p>
    <w:p w14:paraId="3DADA2B1" w14:textId="4BB3CC30" w:rsidR="00D859C2" w:rsidRDefault="00D859C2" w:rsidP="00D859C2">
      <w:r>
        <w:t xml:space="preserve">IČ: </w:t>
      </w:r>
      <w:r w:rsidR="006F03E3" w:rsidRPr="006F03E3">
        <w:t>27068641</w:t>
      </w:r>
    </w:p>
    <w:p w14:paraId="494735B8" w14:textId="10CD70BE" w:rsidR="00D859C2" w:rsidRPr="00512AB9" w:rsidRDefault="00D859C2" w:rsidP="00D859C2">
      <w:r>
        <w:t xml:space="preserve">DIČ: </w:t>
      </w:r>
      <w:r w:rsidR="006F03E3" w:rsidRPr="006F03E3">
        <w:t>CZ27068641</w:t>
      </w:r>
    </w:p>
    <w:p w14:paraId="4BE4B061" w14:textId="55C0963F" w:rsidR="00D859C2" w:rsidRPr="00512AB9" w:rsidRDefault="00D859C2" w:rsidP="00D859C2">
      <w:r>
        <w:t>se sídlem</w:t>
      </w:r>
      <w:r w:rsidRPr="00512AB9">
        <w:t xml:space="preserve">:  </w:t>
      </w:r>
      <w:r w:rsidR="006F03E3" w:rsidRPr="006F03E3">
        <w:t>Evropská 176/16, 160 41 Praha 6 - Vokovice</w:t>
      </w:r>
    </w:p>
    <w:p w14:paraId="1F4F5F98" w14:textId="2856B0C7" w:rsidR="00D859C2" w:rsidRPr="00512AB9" w:rsidRDefault="00D859C2" w:rsidP="00D859C2">
      <w:r>
        <w:t>zastoupena</w:t>
      </w:r>
      <w:r w:rsidRPr="00512AB9">
        <w:t xml:space="preserve">: </w:t>
      </w:r>
      <w:r w:rsidR="006F03E3" w:rsidRPr="006F03E3">
        <w:t>Ing. Tomášem Jedličkou a Radkem Šubotníkem - prokuristy</w:t>
      </w:r>
    </w:p>
    <w:p w14:paraId="43130257" w14:textId="3C1EC558" w:rsidR="00D859C2" w:rsidRPr="00512AB9" w:rsidRDefault="00D859C2" w:rsidP="00D859C2">
      <w:r w:rsidRPr="00512AB9">
        <w:t xml:space="preserve">bankovní spojení: </w:t>
      </w:r>
      <w:r w:rsidR="006F03E3" w:rsidRPr="006F03E3">
        <w:t>Deutsche Bank AG Filiale Prag, organizační složka, Jungmannova 745/24, 111 21 Praha 1</w:t>
      </w:r>
    </w:p>
    <w:p w14:paraId="4B4D9F51" w14:textId="4AE4D001" w:rsidR="00D859C2" w:rsidRPr="00512AB9" w:rsidRDefault="00D859C2" w:rsidP="00D859C2">
      <w:r w:rsidRPr="00512AB9">
        <w:t xml:space="preserve">číslo účtu: </w:t>
      </w:r>
      <w:r w:rsidR="006F03E3" w:rsidRPr="006F03E3">
        <w:t>3179800019 / 7910</w:t>
      </w:r>
    </w:p>
    <w:p w14:paraId="7BE5CCD9" w14:textId="1252D785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6F03E3">
        <w:t>městským</w:t>
      </w:r>
      <w:r>
        <w:t xml:space="preserve"> </w:t>
      </w:r>
      <w:r w:rsidRPr="00652864">
        <w:t>soudem v</w:t>
      </w:r>
      <w:r w:rsidR="006F03E3">
        <w:t> Praze,</w:t>
      </w:r>
      <w:r w:rsidRPr="00652864">
        <w:t xml:space="preserve"> oddíl </w:t>
      </w:r>
      <w:r w:rsidR="006F03E3">
        <w:t>C</w:t>
      </w:r>
      <w:r w:rsidRPr="00652864">
        <w:t xml:space="preserve">, vložka </w:t>
      </w:r>
      <w:r w:rsidR="006F03E3" w:rsidRPr="006F03E3">
        <w:t>93921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4769DC7A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A12153">
        <w:rPr>
          <w:rFonts w:eastAsia="Arial"/>
        </w:rPr>
        <w:t>Kombinovaná chirurgická jednotka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45D7AB98" w:rsidR="00BA5EEC" w:rsidRDefault="00BA5EEC" w:rsidP="00BA5EEC">
      <w:pPr>
        <w:pStyle w:val="Odstavecsmlouvy"/>
        <w:numPr>
          <w:ilvl w:val="1"/>
          <w:numId w:val="3"/>
        </w:numPr>
      </w:pPr>
      <w:r w:rsidRPr="00D231CC">
        <w:t>Prodávající je povinen do 2 týdnů od převzetí Zboží Kupujícím provést zaškolení</w:t>
      </w:r>
      <w:r>
        <w:t>, tj.</w:t>
      </w:r>
      <w:r w:rsidRPr="00D231CC">
        <w:t xml:space="preserve"> instruktáž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 xml:space="preserve">o zdravotnických prostředcích a 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r w:rsidR="001E2240" w:rsidRPr="00D859C2">
        <w:rPr>
          <w:b/>
        </w:rPr>
        <w:t>ZoZP</w:t>
      </w:r>
      <w:r w:rsidR="001E2240">
        <w:t>“),</w:t>
      </w:r>
      <w:r w:rsidR="00994805">
        <w:t xml:space="preserve">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Pr="00D231CC">
        <w:t>, a to včetně případného opakování po dobu životnosti Zboží.</w:t>
      </w:r>
    </w:p>
    <w:p w14:paraId="58605A75" w14:textId="77777777" w:rsidR="001E2240" w:rsidRDefault="001E2240" w:rsidP="00A12153">
      <w:pPr>
        <w:pStyle w:val="Odstavecsmlouvy"/>
        <w:numPr>
          <w:ilvl w:val="0"/>
          <w:numId w:val="0"/>
        </w:numPr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4ADC8340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6F03E3">
        <w:t>1</w:t>
      </w:r>
      <w:r w:rsidR="002F4F30" w:rsidRPr="00D859C2">
        <w:t xml:space="preserve"> ks </w:t>
      </w:r>
      <w:r w:rsidR="006F03E3">
        <w:t xml:space="preserve">Elektrochirurgické jednotky, </w:t>
      </w:r>
      <w:r w:rsidR="008645D8" w:rsidRPr="00D859C2">
        <w:rPr>
          <w:b/>
        </w:rPr>
        <w:t xml:space="preserve">typ: </w:t>
      </w:r>
      <w:r w:rsidR="006F03E3">
        <w:rPr>
          <w:b/>
        </w:rPr>
        <w:t>ESG-410 Artus,</w:t>
      </w:r>
      <w:r w:rsidR="004453FF" w:rsidRPr="00D859C2">
        <w:rPr>
          <w:b/>
        </w:rPr>
        <w:t xml:space="preserve"> výrobce </w:t>
      </w:r>
      <w:r w:rsidR="000D1308" w:rsidRPr="000D1308">
        <w:rPr>
          <w:b/>
        </w:rPr>
        <w:t>Olympus Winter &amp; Ibe GmbH</w:t>
      </w:r>
      <w:r w:rsidR="000D1308">
        <w:rPr>
          <w:b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 xml:space="preserve">, a </w:t>
      </w:r>
      <w:r w:rsidRPr="00A12153">
        <w:t>pokud se jedná o zdravotnický prostředek</w:t>
      </w:r>
      <w:r w:rsidR="00994805" w:rsidRPr="00A12153">
        <w:t>,</w:t>
      </w:r>
      <w:r w:rsidRPr="00A12153">
        <w:t xml:space="preserve"> dle </w:t>
      </w:r>
      <w:r w:rsidR="00994805" w:rsidRPr="00A12153">
        <w:t xml:space="preserve">ZoZP, </w:t>
      </w:r>
      <w:r w:rsidRPr="00A12153">
        <w:t>nařízení Evropského</w:t>
      </w:r>
      <w:r w:rsidRPr="00D231CC">
        <w:t xml:space="preserve">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7CB210CA" w:rsidR="003F7B02" w:rsidRPr="003C76B1" w:rsidRDefault="003A1056" w:rsidP="38690F1A">
      <w:pPr>
        <w:pStyle w:val="Odstavecsmlouvy"/>
      </w:pPr>
      <w:r w:rsidRPr="003C76B1">
        <w:t xml:space="preserve">Prodávající se zavazuje dodat </w:t>
      </w:r>
      <w:r w:rsidR="003F7B02" w:rsidRPr="003C76B1">
        <w:t xml:space="preserve">Zboží </w:t>
      </w:r>
      <w:r w:rsidR="009A3D16" w:rsidRPr="003C76B1">
        <w:t xml:space="preserve">a veškeré doklady, které se ke Zboží vztahují, </w:t>
      </w:r>
      <w:r w:rsidRPr="003C76B1">
        <w:t>Kupujícímu</w:t>
      </w:r>
      <w:r w:rsidR="003F7B02" w:rsidRPr="003C76B1">
        <w:t xml:space="preserve"> nejpozději </w:t>
      </w:r>
      <w:r w:rsidR="00A12153" w:rsidRPr="003C76B1">
        <w:rPr>
          <w:rFonts w:eastAsia="Arial"/>
          <w:b/>
          <w:bCs/>
        </w:rPr>
        <w:t>16 týdnů</w:t>
      </w:r>
      <w:r w:rsidRPr="003C76B1">
        <w:t xml:space="preserve"> </w:t>
      </w:r>
      <w:r w:rsidR="003F7B02" w:rsidRPr="003C76B1">
        <w:t xml:space="preserve">ode dne </w:t>
      </w:r>
      <w:r w:rsidR="00D071E8" w:rsidRPr="003C76B1">
        <w:t xml:space="preserve">nabytí účinnosti </w:t>
      </w:r>
      <w:r w:rsidR="003F7B02" w:rsidRPr="003C76B1">
        <w:t xml:space="preserve">této </w:t>
      </w:r>
      <w:r w:rsidR="00250E90" w:rsidRPr="003C76B1">
        <w:t>smlouvy a Kupující se zavazuje dodané Zboží převzít.</w:t>
      </w:r>
      <w:r w:rsidR="19907203" w:rsidRPr="003C76B1">
        <w:t xml:space="preserve"> </w:t>
      </w:r>
    </w:p>
    <w:p w14:paraId="75136A6B" w14:textId="77777777" w:rsidR="003F7B02" w:rsidRPr="003C76B1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4A075E9E" w:rsidR="00BE2371" w:rsidRPr="003C76B1" w:rsidRDefault="003F7B02" w:rsidP="00D859C2">
      <w:pPr>
        <w:pStyle w:val="Odstavecsmlouvy"/>
        <w:rPr>
          <w:b/>
        </w:rPr>
      </w:pPr>
      <w:r w:rsidRPr="003C76B1">
        <w:t xml:space="preserve">Místem dodání Zboží </w:t>
      </w:r>
      <w:r w:rsidR="00A12153" w:rsidRPr="003C76B1">
        <w:t>jsou</w:t>
      </w:r>
      <w:r w:rsidR="00D50BBE" w:rsidRPr="003C76B1">
        <w:t xml:space="preserve"> </w:t>
      </w:r>
      <w:r w:rsidR="00A12153" w:rsidRPr="003C76B1">
        <w:rPr>
          <w:rFonts w:eastAsia="Arial"/>
          <w:b/>
          <w:bCs/>
        </w:rPr>
        <w:t>Centrální operační sály I a centrální sterilizace</w:t>
      </w:r>
      <w:r w:rsidR="00A12153" w:rsidRPr="003C76B1">
        <w:rPr>
          <w:b/>
        </w:rPr>
        <w:t xml:space="preserve">, </w:t>
      </w:r>
      <w:r w:rsidR="003C76B1" w:rsidRPr="003C76B1">
        <w:rPr>
          <w:b/>
        </w:rPr>
        <w:t xml:space="preserve">Fakultní nemocnice Brno, </w:t>
      </w:r>
      <w:r w:rsidR="00A12153" w:rsidRPr="003C76B1">
        <w:rPr>
          <w:b/>
        </w:rPr>
        <w:t>Jihlavská 20, 625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4D35229D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</w:t>
      </w:r>
      <w:r w:rsidRPr="00A12153">
        <w:t xml:space="preserve">termínem </w:t>
      </w:r>
      <w:r w:rsidR="00735D41" w:rsidRPr="00A12153">
        <w:t xml:space="preserve">dodání </w:t>
      </w:r>
      <w:r w:rsidRPr="00A12153">
        <w:t xml:space="preserve">na </w:t>
      </w:r>
      <w:r w:rsidR="00B41494" w:rsidRPr="00A12153">
        <w:t>o</w:t>
      </w:r>
      <w:r w:rsidR="002F4EDA" w:rsidRPr="00A12153">
        <w:t>bchodní oddělení</w:t>
      </w:r>
      <w:r w:rsidRPr="00A12153">
        <w:t xml:space="preserve"> </w:t>
      </w:r>
      <w:r w:rsidR="00560C16" w:rsidRPr="00A12153">
        <w:t>FN Brno</w:t>
      </w:r>
      <w:r w:rsidR="00B41494" w:rsidRPr="00A12153">
        <w:t xml:space="preserve"> paní</w:t>
      </w:r>
      <w:r w:rsidR="36698B26" w:rsidRPr="00A12153">
        <w:t xml:space="preserve"> </w:t>
      </w:r>
      <w:r w:rsidR="003F7DD8">
        <w:rPr>
          <w:rFonts w:eastAsia="Arial"/>
          <w:b/>
          <w:bCs/>
        </w:rPr>
        <w:t>XXXXXXXXXX</w:t>
      </w:r>
      <w:r w:rsidR="00DE3A3F" w:rsidRPr="00A12153">
        <w:t xml:space="preserve">, tel.: </w:t>
      </w:r>
      <w:r w:rsidR="003F7DD8">
        <w:rPr>
          <w:b/>
        </w:rPr>
        <w:t>XXXXXXX</w:t>
      </w:r>
      <w:r w:rsidR="00DE3A3F">
        <w:t xml:space="preserve"> a písemně na e-mail: </w:t>
      </w:r>
      <w:r w:rsidR="003F7DD8">
        <w:rPr>
          <w:rFonts w:eastAsia="Arial"/>
          <w:b/>
          <w:bCs/>
        </w:rPr>
        <w:t>XXXXXXXXX</w:t>
      </w:r>
      <w:r w:rsidR="00A12153" w:rsidRPr="00A12153">
        <w:rPr>
          <w:rFonts w:eastAsia="Arial"/>
          <w:b/>
          <w:bCs/>
        </w:rPr>
        <w:t>@fnbrno.cz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</w:t>
      </w:r>
      <w:r>
        <w:lastRenderedPageBreak/>
        <w:t>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</w:t>
      </w:r>
      <w:r>
        <w:lastRenderedPageBreak/>
        <w:t>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0DCC7832" w14:textId="77777777" w:rsidR="002E157B" w:rsidRDefault="002E157B" w:rsidP="002E157B">
      <w:pPr>
        <w:pStyle w:val="Nadpis1"/>
        <w:numPr>
          <w:ilvl w:val="0"/>
          <w:numId w:val="0"/>
        </w:numPr>
        <w:ind w:left="1416"/>
        <w:jc w:val="both"/>
      </w:pPr>
    </w:p>
    <w:p w14:paraId="0EA39752" w14:textId="74A3B535" w:rsidR="002E157B" w:rsidRPr="002E157B" w:rsidRDefault="002E157B" w:rsidP="002E157B">
      <w:pPr>
        <w:ind w:left="1416" w:firstLine="708"/>
      </w:pPr>
      <w:r>
        <w:rPr>
          <w:b/>
        </w:rPr>
        <w:t xml:space="preserve">                                                                                                                                        </w:t>
      </w:r>
    </w:p>
    <w:p w14:paraId="265E6C5A" w14:textId="005BDDDA" w:rsidR="00A82085" w:rsidRPr="00A82085" w:rsidRDefault="00A82085" w:rsidP="00A82085">
      <w:pPr>
        <w:ind w:left="1416" w:firstLine="708"/>
      </w:pPr>
      <w:r>
        <w:t xml:space="preserve">Kupní cena bez DPH </w:t>
      </w:r>
      <w:r>
        <w:tab/>
      </w:r>
      <w:r>
        <w:tab/>
      </w:r>
      <w:r w:rsidR="00987B8D">
        <w:tab/>
      </w:r>
      <w:r w:rsidR="007009C2" w:rsidRPr="007009C2">
        <w:t>440</w:t>
      </w:r>
      <w:r w:rsidR="007009C2">
        <w:t> </w:t>
      </w:r>
      <w:r w:rsidR="007009C2" w:rsidRPr="007009C2">
        <w:t>964</w:t>
      </w:r>
      <w:r w:rsidR="007009C2">
        <w:t xml:space="preserve"> Kč</w:t>
      </w:r>
    </w:p>
    <w:p w14:paraId="0F6F89D9" w14:textId="33C860CD" w:rsidR="00A82085" w:rsidRPr="00A82085" w:rsidRDefault="00A82085" w:rsidP="00A82085">
      <w:pPr>
        <w:ind w:left="1416" w:firstLine="708"/>
      </w:pPr>
      <w:r>
        <w:t xml:space="preserve">DPH 21 % </w:t>
      </w:r>
      <w:r>
        <w:tab/>
      </w:r>
      <w:r>
        <w:tab/>
      </w:r>
      <w:r>
        <w:tab/>
      </w:r>
      <w:r w:rsidR="00987B8D">
        <w:tab/>
      </w:r>
      <w:r w:rsidR="007009C2" w:rsidRPr="007009C2">
        <w:t>92 602,44 Kč</w:t>
      </w:r>
    </w:p>
    <w:p w14:paraId="4507F271" w14:textId="3ED28FA9" w:rsidR="00A82085" w:rsidRDefault="00A82085" w:rsidP="00A82085">
      <w:pPr>
        <w:ind w:left="1416" w:firstLine="708"/>
      </w:pPr>
      <w:r w:rsidRPr="00A82085">
        <w:t xml:space="preserve">Kupní cena vč. DPH </w:t>
      </w:r>
      <w:r>
        <w:tab/>
      </w:r>
      <w:r>
        <w:tab/>
      </w:r>
      <w:r w:rsidR="00987B8D">
        <w:tab/>
      </w:r>
      <w:r w:rsidR="007009C2" w:rsidRPr="007009C2">
        <w:t>533 566,44</w:t>
      </w:r>
      <w:r w:rsidR="007009C2">
        <w:t xml:space="preserve"> Kč</w:t>
      </w:r>
    </w:p>
    <w:p w14:paraId="760AEF2D" w14:textId="6572FE41" w:rsidR="00A82085" w:rsidRPr="00A82085" w:rsidRDefault="00A82085" w:rsidP="00A82085">
      <w:r>
        <w:tab/>
      </w:r>
      <w:r>
        <w:tab/>
      </w:r>
    </w:p>
    <w:p w14:paraId="5CECC41F" w14:textId="46E4E6C0" w:rsidR="00A82085" w:rsidRPr="00A82085" w:rsidRDefault="00A82085" w:rsidP="00A82085">
      <w:pPr>
        <w:ind w:left="1416" w:firstLine="708"/>
      </w:pPr>
      <w:r w:rsidRPr="00A82085">
        <w:t xml:space="preserve">Kupní cena bez DPH </w:t>
      </w:r>
      <w:r>
        <w:tab/>
      </w:r>
      <w:r>
        <w:tab/>
      </w:r>
      <w:r w:rsidR="00987B8D">
        <w:tab/>
      </w:r>
      <w:r w:rsidR="007009C2" w:rsidRPr="007009C2">
        <w:t>4 941,00 Kč</w:t>
      </w:r>
    </w:p>
    <w:p w14:paraId="022CC8C2" w14:textId="15782BAA" w:rsidR="00A82085" w:rsidRPr="00A82085" w:rsidRDefault="00A82085" w:rsidP="00A82085">
      <w:pPr>
        <w:ind w:left="1416" w:firstLine="708"/>
      </w:pPr>
      <w:r w:rsidRPr="00A82085">
        <w:t xml:space="preserve">DPH 12 % </w:t>
      </w:r>
      <w:r>
        <w:tab/>
      </w:r>
      <w:r>
        <w:tab/>
      </w:r>
      <w:r>
        <w:tab/>
      </w:r>
      <w:r w:rsidR="00987B8D">
        <w:tab/>
      </w:r>
      <w:r w:rsidR="007009C2" w:rsidRPr="007009C2">
        <w:t>592,92 Kč</w:t>
      </w:r>
    </w:p>
    <w:p w14:paraId="36F509F4" w14:textId="731F055F" w:rsidR="00A82085" w:rsidRDefault="00A82085" w:rsidP="00E358E1">
      <w:pPr>
        <w:ind w:left="1416" w:firstLine="708"/>
      </w:pPr>
      <w:r w:rsidRPr="00A82085">
        <w:t xml:space="preserve">Kupní cena vč. DPH </w:t>
      </w:r>
      <w:r>
        <w:tab/>
      </w:r>
      <w:r>
        <w:tab/>
      </w:r>
      <w:r w:rsidR="00987B8D">
        <w:tab/>
      </w:r>
      <w:r w:rsidR="007009C2" w:rsidRPr="007009C2">
        <w:t>5 533,92</w:t>
      </w:r>
      <w:r w:rsidR="007009C2">
        <w:t xml:space="preserve"> Kč</w:t>
      </w:r>
    </w:p>
    <w:p w14:paraId="1F957530" w14:textId="77777777" w:rsidR="00E358E1" w:rsidRPr="00A82085" w:rsidRDefault="00E358E1" w:rsidP="00E358E1">
      <w:pPr>
        <w:ind w:left="1416" w:firstLine="708"/>
      </w:pPr>
    </w:p>
    <w:p w14:paraId="1C8693F3" w14:textId="29D586A0" w:rsidR="00A82085" w:rsidRPr="00A82085" w:rsidRDefault="00A82085" w:rsidP="00A82085">
      <w:pPr>
        <w:ind w:left="1416" w:firstLine="708"/>
      </w:pPr>
      <w:r w:rsidRPr="00A82085">
        <w:t xml:space="preserve">Kupní cena celkem bez DPH </w:t>
      </w:r>
      <w:r w:rsidR="00987B8D">
        <w:tab/>
      </w:r>
      <w:r w:rsidR="007009C2" w:rsidRPr="007009C2">
        <w:t>445 905,00 Kč</w:t>
      </w:r>
    </w:p>
    <w:p w14:paraId="5C8DACB3" w14:textId="2561A24C" w:rsidR="00A82085" w:rsidRPr="00A82085" w:rsidRDefault="00A82085" w:rsidP="00A82085">
      <w:pPr>
        <w:ind w:left="1416" w:firstLine="708"/>
      </w:pPr>
      <w:r w:rsidRPr="00A82085">
        <w:t xml:space="preserve">DPH celkem </w:t>
      </w:r>
      <w:r>
        <w:tab/>
      </w:r>
      <w:r>
        <w:tab/>
      </w:r>
      <w:r>
        <w:tab/>
      </w:r>
      <w:r w:rsidR="00987B8D">
        <w:tab/>
      </w:r>
      <w:r w:rsidR="007009C2" w:rsidRPr="007009C2">
        <w:t>93 195,36</w:t>
      </w:r>
      <w:r w:rsidR="007009C2">
        <w:t xml:space="preserve"> Kč</w:t>
      </w:r>
    </w:p>
    <w:p w14:paraId="42273AE3" w14:textId="1E9D8C82" w:rsidR="00A82085" w:rsidRPr="00A82085" w:rsidRDefault="00A82085" w:rsidP="00A82085">
      <w:pPr>
        <w:ind w:left="1416" w:firstLine="708"/>
      </w:pPr>
      <w:r w:rsidRPr="00A82085">
        <w:t xml:space="preserve">Kupní cena celkem vč. DPH </w:t>
      </w:r>
      <w:r w:rsidR="00987B8D">
        <w:tab/>
      </w:r>
      <w:r w:rsidR="00987B8D">
        <w:tab/>
      </w:r>
      <w:r w:rsidR="007009C2" w:rsidRPr="007009C2">
        <w:t>539 100,36 Kč</w:t>
      </w:r>
    </w:p>
    <w:p w14:paraId="684FB96D" w14:textId="77777777" w:rsidR="00A82085" w:rsidRPr="00D859C2" w:rsidRDefault="00A82085" w:rsidP="002E157B">
      <w:pPr>
        <w:pStyle w:val="Zkladntext3"/>
        <w:spacing w:line="240" w:lineRule="auto"/>
        <w:ind w:left="1417" w:firstLine="707"/>
        <w:rPr>
          <w:sz w:val="22"/>
          <w:szCs w:val="22"/>
        </w:rPr>
      </w:pPr>
    </w:p>
    <w:tbl>
      <w:tblPr>
        <w:tblW w:w="8798" w:type="dxa"/>
        <w:tblInd w:w="709" w:type="dxa"/>
        <w:tblLook w:val="04A0" w:firstRow="1" w:lastRow="0" w:firstColumn="1" w:lastColumn="0" w:noHBand="0" w:noVBand="1"/>
      </w:tblPr>
      <w:tblGrid>
        <w:gridCol w:w="4852"/>
        <w:gridCol w:w="3946"/>
      </w:tblGrid>
      <w:tr w:rsidR="00D859C2" w:rsidRPr="005B49AA" w14:paraId="6B619276" w14:textId="77777777" w:rsidTr="005A1125">
        <w:trPr>
          <w:trHeight w:val="408"/>
        </w:trPr>
        <w:tc>
          <w:tcPr>
            <w:tcW w:w="4852" w:type="dxa"/>
            <w:shd w:val="clear" w:color="auto" w:fill="auto"/>
          </w:tcPr>
          <w:p w14:paraId="77C2CFA8" w14:textId="7B7DB928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</w:tcPr>
          <w:p w14:paraId="07A54C02" w14:textId="15D084A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</w:p>
        </w:tc>
      </w:tr>
    </w:tbl>
    <w:p w14:paraId="183039AC" w14:textId="77777777" w:rsidR="00D859C2" w:rsidRDefault="00D859C2" w:rsidP="003E4543"/>
    <w:p w14:paraId="5A41E830" w14:textId="08BB99E7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, podléhá), vstupní validace či kalibrace (pouze u Zboží, u nějž je při provozu </w:t>
      </w:r>
      <w:r w:rsidRPr="00D859C2">
        <w:rPr>
          <w:bCs/>
        </w:rPr>
        <w:lastRenderedPageBreak/>
        <w:t>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 xml:space="preserve">, ověření přenosu dat do archivu MARIE PACS a odzkoušení bezproblémového provozu, recyklační poplatek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lastRenderedPageBreak/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</w:t>
      </w:r>
      <w:r w:rsidR="0009512B" w:rsidRPr="00D859C2">
        <w:lastRenderedPageBreak/>
        <w:t xml:space="preserve">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lastRenderedPageBreak/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</w:t>
      </w:r>
      <w:r>
        <w:lastRenderedPageBreak/>
        <w:t>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0C5309BA" w:rsidR="00327588" w:rsidRPr="00D859C2" w:rsidRDefault="00903293" w:rsidP="00094B12">
      <w:pPr>
        <w:pStyle w:val="Odstavecsmlouvy"/>
      </w:pPr>
      <w:r w:rsidRPr="001D71E3">
        <w:rPr>
          <w:snapToGrid w:val="0"/>
        </w:rPr>
        <w:lastRenderedPageBreak/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A12153"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A12153">
        <w:rPr>
          <w:snapToGrid w:val="0"/>
        </w:rPr>
        <w:t xml:space="preserve">jedno </w:t>
      </w:r>
      <w:r>
        <w:rPr>
          <w:snapToGrid w:val="0"/>
        </w:rPr>
        <w:t xml:space="preserve">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07"/>
        <w:gridCol w:w="1001"/>
        <w:gridCol w:w="3797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2360304E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6F03E3">
              <w:rPr>
                <w:sz w:val="22"/>
                <w:szCs w:val="22"/>
              </w:rPr>
              <w:t> Praze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724A4825" w14:textId="77777777" w:rsidR="006F03E3" w:rsidRDefault="006F03E3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6F03E3">
              <w:rPr>
                <w:b/>
                <w:sz w:val="22"/>
                <w:szCs w:val="22"/>
              </w:rPr>
              <w:t>Olympus Czech Group, s.r.o., člen koncernu</w:t>
            </w:r>
          </w:p>
          <w:p w14:paraId="17D23793" w14:textId="1AA1FAE6" w:rsidR="00094B12" w:rsidRPr="00D722DC" w:rsidRDefault="006F03E3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Tomáš Jedlička a Radek Šubotník - prokuristé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1000"/>
        <w:gridCol w:w="2380"/>
        <w:gridCol w:w="1660"/>
      </w:tblGrid>
      <w:tr w:rsidR="000D1308" w:rsidRPr="000D1308" w14:paraId="29C7D04D" w14:textId="77777777" w:rsidTr="000D1308">
        <w:trPr>
          <w:trHeight w:val="300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8FCAC30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0D1308">
              <w:rPr>
                <w:rFonts w:ascii="Calibri" w:hAnsi="Calibri" w:cs="Calibri"/>
                <w:b/>
                <w:bCs/>
                <w:color w:val="000000"/>
              </w:rPr>
              <w:t>Výběrové řízení:</w:t>
            </w:r>
          </w:p>
        </w:tc>
        <w:tc>
          <w:tcPr>
            <w:tcW w:w="50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706690A4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0D1308">
              <w:rPr>
                <w:rFonts w:ascii="Calibri" w:hAnsi="Calibri" w:cs="Calibri"/>
              </w:rPr>
              <w:t xml:space="preserve">VZMR </w:t>
            </w:r>
            <w:r w:rsidRPr="000D1308">
              <w:rPr>
                <w:rFonts w:ascii="Calibri" w:hAnsi="Calibri" w:cs="Calibri"/>
                <w:color w:val="FF0000"/>
              </w:rPr>
              <w:t xml:space="preserve"> </w:t>
            </w:r>
          </w:p>
        </w:tc>
      </w:tr>
      <w:tr w:rsidR="000D1308" w:rsidRPr="000D1308" w14:paraId="03A5E3D5" w14:textId="77777777" w:rsidTr="000D1308">
        <w:trPr>
          <w:trHeight w:val="3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18EE306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0D1308">
              <w:rPr>
                <w:rFonts w:ascii="Calibri" w:hAnsi="Calibri" w:cs="Calibri"/>
                <w:b/>
                <w:bCs/>
                <w:color w:val="000000"/>
              </w:rPr>
              <w:t>Číslo: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11A86135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</w:rPr>
            </w:pPr>
            <w:r w:rsidRPr="000D1308">
              <w:rPr>
                <w:rFonts w:ascii="Calibri" w:hAnsi="Calibri" w:cs="Calibri"/>
              </w:rPr>
              <w:t>188/ 2024</w:t>
            </w:r>
          </w:p>
        </w:tc>
      </w:tr>
      <w:tr w:rsidR="000D1308" w:rsidRPr="000D1308" w14:paraId="2E3E81EE" w14:textId="77777777" w:rsidTr="000D1308">
        <w:trPr>
          <w:trHeight w:val="3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E2210FD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0D1308">
              <w:rPr>
                <w:rFonts w:ascii="Calibri" w:hAnsi="Calibri" w:cs="Calibri"/>
                <w:b/>
                <w:bCs/>
                <w:color w:val="000000"/>
              </w:rPr>
              <w:t>Název: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4BF26CA3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0D1308">
              <w:rPr>
                <w:rFonts w:ascii="Calibri" w:hAnsi="Calibri" w:cs="Calibri"/>
                <w:color w:val="FF0000"/>
              </w:rPr>
              <w:t xml:space="preserve"> </w:t>
            </w:r>
            <w:r w:rsidRPr="000D1308">
              <w:rPr>
                <w:rFonts w:ascii="Calibri" w:hAnsi="Calibri" w:cs="Calibri"/>
              </w:rPr>
              <w:t>Kombinovaná chirurgická jednotka</w:t>
            </w:r>
          </w:p>
        </w:tc>
      </w:tr>
      <w:tr w:rsidR="000D1308" w:rsidRPr="000D1308" w14:paraId="0EDA07D6" w14:textId="77777777" w:rsidTr="000D1308">
        <w:trPr>
          <w:trHeight w:val="31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F0B63B3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0D1308">
              <w:rPr>
                <w:rFonts w:ascii="Calibri" w:hAnsi="Calibri" w:cs="Calibri"/>
                <w:b/>
                <w:bCs/>
                <w:color w:val="000000"/>
              </w:rPr>
              <w:t>Klinika: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bottom"/>
            <w:hideMark/>
          </w:tcPr>
          <w:p w14:paraId="62FC9481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0D1308">
              <w:rPr>
                <w:rFonts w:ascii="Calibri" w:hAnsi="Calibri" w:cs="Calibri"/>
              </w:rPr>
              <w:t>COS I CHK</w:t>
            </w:r>
            <w:r w:rsidRPr="000D1308">
              <w:rPr>
                <w:rFonts w:ascii="Calibri" w:hAnsi="Calibri" w:cs="Calibri"/>
                <w:color w:val="FF0000"/>
              </w:rPr>
              <w:t xml:space="preserve"> -  </w:t>
            </w:r>
            <w:r w:rsidRPr="000D1308">
              <w:rPr>
                <w:rFonts w:ascii="Calibri" w:hAnsi="Calibri" w:cs="Calibri"/>
              </w:rPr>
              <w:t>NBP</w:t>
            </w:r>
          </w:p>
        </w:tc>
      </w:tr>
      <w:tr w:rsidR="000D1308" w:rsidRPr="000D1308" w14:paraId="16614902" w14:textId="77777777" w:rsidTr="000D1308">
        <w:trPr>
          <w:trHeight w:val="31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5097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FA55E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F24D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1DDB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308" w:rsidRPr="000D1308" w14:paraId="788015C9" w14:textId="77777777" w:rsidTr="000D1308">
        <w:trPr>
          <w:trHeight w:val="300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3A922B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0D1308">
              <w:rPr>
                <w:rFonts w:ascii="Calibri" w:hAnsi="Calibri" w:cs="Calibri"/>
                <w:b/>
                <w:bCs/>
                <w:color w:val="000000"/>
              </w:rPr>
              <w:t>Dodavatel:</w:t>
            </w:r>
          </w:p>
        </w:tc>
        <w:tc>
          <w:tcPr>
            <w:tcW w:w="50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EFB81"/>
            <w:noWrap/>
            <w:vAlign w:val="bottom"/>
            <w:hideMark/>
          </w:tcPr>
          <w:p w14:paraId="3B063731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Olympus Czech Group, s.r.o., člen koncernu,</w:t>
            </w:r>
          </w:p>
        </w:tc>
      </w:tr>
      <w:tr w:rsidR="000D1308" w:rsidRPr="000D1308" w14:paraId="60D18CD4" w14:textId="77777777" w:rsidTr="000D1308">
        <w:trPr>
          <w:trHeight w:val="3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4D0A8B1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0D1308">
              <w:rPr>
                <w:rFonts w:ascii="Calibri" w:hAnsi="Calibri" w:cs="Calibri"/>
                <w:b/>
                <w:bCs/>
                <w:color w:val="000000"/>
              </w:rPr>
              <w:t>Výrobce: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EFB81"/>
            <w:noWrap/>
            <w:vAlign w:val="bottom"/>
            <w:hideMark/>
          </w:tcPr>
          <w:p w14:paraId="33E48510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Olympus Winter &amp; Ibe GmbH</w:t>
            </w:r>
          </w:p>
        </w:tc>
      </w:tr>
      <w:tr w:rsidR="000D1308" w:rsidRPr="000D1308" w14:paraId="58B88C85" w14:textId="77777777" w:rsidTr="000D1308">
        <w:trPr>
          <w:trHeight w:val="3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148EEF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0D1308">
              <w:rPr>
                <w:rFonts w:ascii="Calibri" w:hAnsi="Calibri" w:cs="Calibri"/>
                <w:b/>
                <w:bCs/>
                <w:color w:val="000000"/>
              </w:rPr>
              <w:t>Výrobní model: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EFB81"/>
            <w:noWrap/>
            <w:vAlign w:val="bottom"/>
            <w:hideMark/>
          </w:tcPr>
          <w:p w14:paraId="49BC5292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ESG 410</w:t>
            </w:r>
          </w:p>
        </w:tc>
      </w:tr>
      <w:tr w:rsidR="000D1308" w:rsidRPr="000D1308" w14:paraId="4C70DDC3" w14:textId="77777777" w:rsidTr="000D1308">
        <w:trPr>
          <w:trHeight w:val="31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B038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2F62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90AE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2108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308" w:rsidRPr="000D1308" w14:paraId="73D36904" w14:textId="77777777" w:rsidTr="000D1308">
        <w:trPr>
          <w:trHeight w:val="1335"/>
        </w:trPr>
        <w:tc>
          <w:tcPr>
            <w:tcW w:w="9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0F861FA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  <w:r w:rsidRPr="000D1308">
              <w:rPr>
                <w:rFonts w:ascii="Calibri" w:hAnsi="Calibri" w:cs="Calibri"/>
                <w:b/>
                <w:bCs/>
                <w:color w:val="000000"/>
              </w:rPr>
              <w:t>Zadavatel upozorňuje, že v případě číselně vyjádřených technických parametrů je možné se od nich odchýlit o +/- 10 %, pokud nejsou blíže specifikovány, např. min., max., interval hodnot.</w:t>
            </w:r>
          </w:p>
        </w:tc>
      </w:tr>
      <w:tr w:rsidR="000D1308" w:rsidRPr="000D1308" w14:paraId="5E12B96A" w14:textId="77777777" w:rsidTr="000D1308">
        <w:trPr>
          <w:trHeight w:val="31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BD4F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B471B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B49E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FB1F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308" w:rsidRPr="000D1308" w14:paraId="5DC4408E" w14:textId="77777777" w:rsidTr="000D1308">
        <w:trPr>
          <w:trHeight w:val="915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0F5FF9BE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1308">
              <w:rPr>
                <w:rFonts w:ascii="Calibri" w:hAnsi="Calibri" w:cs="Calibri"/>
                <w:b/>
                <w:bCs/>
                <w:color w:val="000000"/>
              </w:rPr>
              <w:t>Technická specifikace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FFCA684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1308">
              <w:rPr>
                <w:rFonts w:ascii="Calibri" w:hAnsi="Calibri" w:cs="Calibri"/>
                <w:b/>
                <w:bCs/>
                <w:color w:val="000000"/>
              </w:rPr>
              <w:t>Vyhovuje (ano / ne)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A8D1482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1308">
              <w:rPr>
                <w:rFonts w:ascii="Calibri" w:hAnsi="Calibri" w:cs="Calibri"/>
                <w:b/>
                <w:bCs/>
                <w:color w:val="000000"/>
              </w:rPr>
              <w:t>Poznámka dodavatele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21589120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1308">
              <w:rPr>
                <w:rFonts w:ascii="Calibri" w:hAnsi="Calibri" w:cs="Calibri"/>
                <w:b/>
                <w:bCs/>
                <w:color w:val="000000"/>
              </w:rPr>
              <w:t>Možnost ověření v nabídce</w:t>
            </w:r>
          </w:p>
        </w:tc>
      </w:tr>
      <w:tr w:rsidR="000D1308" w:rsidRPr="000D1308" w14:paraId="05153A8A" w14:textId="77777777" w:rsidTr="000D1308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CED6FD0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0D1308">
              <w:rPr>
                <w:rFonts w:ascii="Calibri" w:hAnsi="Calibri" w:cs="Calibri"/>
              </w:rPr>
              <w:t xml:space="preserve">Pořet kusů: 1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4BE74B70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0345EF78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2D0071A9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</w:tr>
      <w:tr w:rsidR="000D1308" w:rsidRPr="000D1308" w14:paraId="0E0A4076" w14:textId="77777777" w:rsidTr="000D1308">
        <w:trPr>
          <w:trHeight w:val="9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A7377F5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0D1308">
              <w:rPr>
                <w:rFonts w:ascii="Calibri" w:hAnsi="Calibri" w:cs="Calibri"/>
              </w:rPr>
              <w:t>Jednotka pro synergické generování ultrazvukové a bipolární energie do jednoho nástroje pro řez a koagulaci velkých cév do 7 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5ACDB1D7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202C7C05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659E8968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vizte technický list</w:t>
            </w:r>
          </w:p>
        </w:tc>
      </w:tr>
      <w:tr w:rsidR="000D1308" w:rsidRPr="000D1308" w14:paraId="2DA2BB7F" w14:textId="77777777" w:rsidTr="000D1308">
        <w:trPr>
          <w:trHeight w:val="15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A57B500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0D1308">
              <w:rPr>
                <w:rFonts w:ascii="Calibri" w:hAnsi="Calibri" w:cs="Calibri"/>
              </w:rPr>
              <w:t>Modul pro řez a koagulaci cév do 5 mm pomocí ultrazvukové energie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51C79B70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71A2FABD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 xml:space="preserve">Modul třeba chápat jako vstup na generátoru . Nejedná se o samostatný generátor -modul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147A29D0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vizte technický list</w:t>
            </w:r>
          </w:p>
        </w:tc>
      </w:tr>
      <w:tr w:rsidR="000D1308" w:rsidRPr="000D1308" w14:paraId="3044FF01" w14:textId="77777777" w:rsidTr="000D1308">
        <w:trPr>
          <w:trHeight w:val="15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6FFD40C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0D1308">
              <w:rPr>
                <w:rFonts w:ascii="Calibri" w:hAnsi="Calibri" w:cs="Calibri"/>
              </w:rPr>
              <w:t xml:space="preserve">Modul pro bipolární i monopolární řezání a koagulaci velkých cév do 7 mm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2F76B331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77C528AD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 xml:space="preserve">Modul třeba chápat jako vstup na generátoru . Nejedná se o samostatný generátor -modul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61B678CB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vizte technický list</w:t>
            </w:r>
          </w:p>
        </w:tc>
      </w:tr>
      <w:tr w:rsidR="000D1308" w:rsidRPr="000D1308" w14:paraId="73F990F5" w14:textId="77777777" w:rsidTr="000D1308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1F79B7C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0D1308">
              <w:rPr>
                <w:rFonts w:ascii="Calibri" w:hAnsi="Calibri" w:cs="Calibri"/>
              </w:rPr>
              <w:t>Bipolární a monopolární vstupy s automatickou identifikací typu připojeného nástroje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7314C0E1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7E3879F6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57ABC6E1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vizte technický list</w:t>
            </w:r>
          </w:p>
        </w:tc>
      </w:tr>
      <w:tr w:rsidR="000D1308" w:rsidRPr="000D1308" w14:paraId="62E503B8" w14:textId="77777777" w:rsidTr="000D1308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83B046F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0D1308">
              <w:rPr>
                <w:rFonts w:ascii="Calibri" w:hAnsi="Calibri" w:cs="Calibri"/>
              </w:rPr>
              <w:t>Vstupy pro zapojení min. 2 bipolárních a 2 monopolárních aktivních elektrod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1B25F2DD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19E2C847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2C2A03EA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vizte technický list</w:t>
            </w:r>
          </w:p>
        </w:tc>
      </w:tr>
      <w:tr w:rsidR="000D1308" w:rsidRPr="000D1308" w14:paraId="05376F6F" w14:textId="77777777" w:rsidTr="000D1308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6CC9046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0D1308">
              <w:rPr>
                <w:rFonts w:ascii="Calibri" w:hAnsi="Calibri" w:cs="Calibri"/>
              </w:rPr>
              <w:t>Vstupy pro zapojení min. 2 bipolárních nástrojů pro koagulaci velkých cév do 7 mm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70C78C84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3266A1E9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265E2829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vizte technický list</w:t>
            </w:r>
          </w:p>
        </w:tc>
      </w:tr>
      <w:tr w:rsidR="000D1308" w:rsidRPr="000D1308" w14:paraId="54427926" w14:textId="77777777" w:rsidTr="000D1308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3ABAB431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0D1308">
              <w:rPr>
                <w:rFonts w:ascii="Calibri" w:hAnsi="Calibri" w:cs="Calibri"/>
              </w:rPr>
              <w:t>Vstup pro zapojení min. 1 hybridního nástroje (ultrazvukové a bipolární řezání a koagulace)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279F7E7D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2CC44E37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01F94E6E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vizte technický list</w:t>
            </w:r>
          </w:p>
        </w:tc>
      </w:tr>
      <w:tr w:rsidR="000D1308" w:rsidRPr="000D1308" w14:paraId="6E110F48" w14:textId="77777777" w:rsidTr="000D1308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52E8093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0D1308">
              <w:rPr>
                <w:rFonts w:ascii="Calibri" w:hAnsi="Calibri" w:cs="Calibri"/>
              </w:rPr>
              <w:lastRenderedPageBreak/>
              <w:t>Aktivace nástroje ručním spínačem, nožním pedálem a autostartem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340742BF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15986DD5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13BA530F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vizte technický list</w:t>
            </w:r>
          </w:p>
        </w:tc>
      </w:tr>
      <w:tr w:rsidR="000D1308" w:rsidRPr="000D1308" w14:paraId="7597E4C6" w14:textId="77777777" w:rsidTr="000D1308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1F843D23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0D1308">
              <w:rPr>
                <w:rFonts w:ascii="Calibri" w:hAnsi="Calibri" w:cs="Calibri"/>
              </w:rPr>
              <w:t>Min. 4 módy bipolárního a monopolárního řezání a koagulace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2F2A247C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7EC6686F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1CA15DCB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vizte technický list</w:t>
            </w:r>
          </w:p>
        </w:tc>
      </w:tr>
      <w:tr w:rsidR="000D1308" w:rsidRPr="000D1308" w14:paraId="16E5C815" w14:textId="77777777" w:rsidTr="000D1308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F306A54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0D1308">
              <w:rPr>
                <w:rFonts w:ascii="Calibri" w:hAnsi="Calibri" w:cs="Calibri"/>
              </w:rPr>
              <w:t xml:space="preserve">Ovládání generátoru dotykovým displejem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5F6BEFA8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4AD5E363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0A812143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vizte technický list</w:t>
            </w:r>
          </w:p>
        </w:tc>
      </w:tr>
      <w:tr w:rsidR="000D1308" w:rsidRPr="000D1308" w14:paraId="5EFDA6EE" w14:textId="77777777" w:rsidTr="000D1308">
        <w:trPr>
          <w:trHeight w:val="3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8397EB6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0D1308">
              <w:rPr>
                <w:rFonts w:ascii="Calibri" w:hAnsi="Calibri" w:cs="Calibri"/>
              </w:rPr>
              <w:t>Akustická a optická signalizace chybových stavů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20BEBE9F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50A39D92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2FE0D2A4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vizte technický list</w:t>
            </w:r>
          </w:p>
        </w:tc>
      </w:tr>
      <w:tr w:rsidR="000D1308" w:rsidRPr="000D1308" w14:paraId="3EC9D7A6" w14:textId="77777777" w:rsidTr="000D1308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43F9F1FF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0D1308">
              <w:rPr>
                <w:rFonts w:ascii="Calibri" w:hAnsi="Calibri" w:cs="Calibri"/>
              </w:rPr>
              <w:t>Měření kvality kontaktu neutrální elektrody s tkání pacienta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66C58EF0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44097C15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3AEA04E0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vizte technický list</w:t>
            </w:r>
          </w:p>
        </w:tc>
      </w:tr>
      <w:tr w:rsidR="000D1308" w:rsidRPr="000D1308" w14:paraId="5C35995F" w14:textId="77777777" w:rsidTr="000D1308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062BFB6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0D1308">
              <w:rPr>
                <w:rFonts w:ascii="Calibri" w:hAnsi="Calibri" w:cs="Calibri"/>
              </w:rPr>
              <w:t xml:space="preserve">Ovládací menu v češtině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4761A31A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07BAEB33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28DDB355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vizte technický list</w:t>
            </w:r>
          </w:p>
        </w:tc>
      </w:tr>
      <w:tr w:rsidR="000D1308" w:rsidRPr="000D1308" w14:paraId="1EB6EFC7" w14:textId="77777777" w:rsidTr="000D1308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0F49B505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0D1308">
              <w:rPr>
                <w:rFonts w:ascii="Calibri" w:hAnsi="Calibri" w:cs="Calibri"/>
              </w:rPr>
              <w:t>Napájení 230V/50Hz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19B23CB0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65CEE46E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4D1E4E84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vizte technický list</w:t>
            </w:r>
          </w:p>
        </w:tc>
      </w:tr>
      <w:tr w:rsidR="000D1308" w:rsidRPr="000D1308" w14:paraId="3B814CBB" w14:textId="77777777" w:rsidTr="000D1308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B196641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0D1308">
              <w:rPr>
                <w:rFonts w:ascii="Calibri" w:hAnsi="Calibri" w:cs="Calibri"/>
              </w:rPr>
              <w:t>Maximální výkon min. 300 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4874B7F6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40C22505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731303AF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vizte technický list</w:t>
            </w:r>
          </w:p>
        </w:tc>
      </w:tr>
      <w:tr w:rsidR="000D1308" w:rsidRPr="000D1308" w14:paraId="1AB97B88" w14:textId="77777777" w:rsidTr="000D1308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A697B05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0D1308">
              <w:rPr>
                <w:rFonts w:ascii="Calibri" w:hAnsi="Calibri" w:cs="Calibri"/>
              </w:rPr>
              <w:t>Kompatibilita s odsáváním elektrochirurgického kouře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6BA16DE4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2B01C66E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7E263483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vizte technický list</w:t>
            </w:r>
          </w:p>
        </w:tc>
      </w:tr>
      <w:tr w:rsidR="000D1308" w:rsidRPr="000D1308" w14:paraId="22DFC67F" w14:textId="77777777" w:rsidTr="000D1308">
        <w:trPr>
          <w:trHeight w:val="3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C4C049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000000"/>
              </w:rPr>
            </w:pPr>
            <w:r w:rsidRPr="000D130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18CFC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5892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049548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</w:tr>
      <w:tr w:rsidR="000D1308" w:rsidRPr="000D1308" w14:paraId="6A9690B5" w14:textId="77777777" w:rsidTr="000D1308">
        <w:trPr>
          <w:trHeight w:val="3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bottom"/>
            <w:hideMark/>
          </w:tcPr>
          <w:p w14:paraId="7DCEB9B8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D1308">
              <w:rPr>
                <w:rFonts w:ascii="Calibri" w:hAnsi="Calibri" w:cs="Calibri"/>
                <w:b/>
                <w:bCs/>
                <w:color w:val="000000"/>
              </w:rPr>
              <w:t>Příslušenství v rámci dodávky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5D9F1"/>
            <w:vAlign w:val="bottom"/>
            <w:hideMark/>
          </w:tcPr>
          <w:p w14:paraId="7EB7C1E6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</w:tr>
      <w:tr w:rsidR="000D1308" w:rsidRPr="000D1308" w14:paraId="3EECDF2D" w14:textId="77777777" w:rsidTr="000D1308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D3A6F35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0D1308">
              <w:rPr>
                <w:rFonts w:ascii="Calibri" w:hAnsi="Calibri" w:cs="Calibri"/>
              </w:rPr>
              <w:t>Programovatelný nožní bezdrátový pedál pro řez a koagulaci - 1ks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35C91CF8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7F693254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01BCB15D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vizte technický list</w:t>
            </w:r>
          </w:p>
        </w:tc>
      </w:tr>
      <w:tr w:rsidR="000D1308" w:rsidRPr="000D1308" w14:paraId="69222EC3" w14:textId="77777777" w:rsidTr="000D1308">
        <w:trPr>
          <w:trHeight w:val="12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203AA981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0D1308">
              <w:rPr>
                <w:rFonts w:ascii="Calibri" w:hAnsi="Calibri" w:cs="Calibri"/>
              </w:rPr>
              <w:t>Vozík pro jednotku generátoru, omyvatelný běžnými typy desifenkcí používaných na operačních sálech, se 4 kolečky, z nichž minimálně 2 jsou vybavena brzdou - 1 ks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0585706A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6B364EF9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1D8096B4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vizte technický list</w:t>
            </w:r>
          </w:p>
        </w:tc>
      </w:tr>
      <w:tr w:rsidR="000D1308" w:rsidRPr="000D1308" w14:paraId="7F2243BC" w14:textId="77777777" w:rsidTr="000D1308">
        <w:trPr>
          <w:trHeight w:val="6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5F68D198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0D1308">
              <w:rPr>
                <w:rFonts w:ascii="Calibri" w:hAnsi="Calibri" w:cs="Calibri"/>
              </w:rPr>
              <w:t xml:space="preserve">Napájecí kabel délky min. 4 m - 1 ks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533D9D7E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7DCFCC7A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27E45F21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vizte technický list</w:t>
            </w:r>
          </w:p>
        </w:tc>
      </w:tr>
      <w:tr w:rsidR="000D1308" w:rsidRPr="000D1308" w14:paraId="55949186" w14:textId="77777777" w:rsidTr="000D1308">
        <w:trPr>
          <w:trHeight w:val="615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bottom"/>
            <w:hideMark/>
          </w:tcPr>
          <w:p w14:paraId="608D7FD3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</w:rPr>
            </w:pPr>
            <w:r w:rsidRPr="000D1308">
              <w:rPr>
                <w:rFonts w:ascii="Calibri" w:hAnsi="Calibri" w:cs="Calibri"/>
              </w:rPr>
              <w:t>Spotřební materiál nutný k prvotnímu použití a ověření funkce přístroje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2F6DBDA9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EFB81"/>
            <w:vAlign w:val="bottom"/>
            <w:hideMark/>
          </w:tcPr>
          <w:p w14:paraId="2011C77A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EFB81"/>
            <w:vAlign w:val="bottom"/>
            <w:hideMark/>
          </w:tcPr>
          <w:p w14:paraId="651E46F2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vizte technický list</w:t>
            </w:r>
          </w:p>
        </w:tc>
      </w:tr>
      <w:tr w:rsidR="000D1308" w:rsidRPr="000D1308" w14:paraId="73733279" w14:textId="77777777" w:rsidTr="000D1308">
        <w:trPr>
          <w:trHeight w:val="31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F92D4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09DFD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DDFC" w14:textId="77777777" w:rsidR="000D1308" w:rsidRPr="000D1308" w:rsidRDefault="000D1308" w:rsidP="000D130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5D5AE" w14:textId="77777777" w:rsidR="000D1308" w:rsidRPr="000D1308" w:rsidRDefault="000D1308" w:rsidP="000D1308">
            <w:pPr>
              <w:spacing w:line="240" w:lineRule="auto"/>
              <w:jc w:val="left"/>
              <w:rPr>
                <w:rFonts w:ascii="Calibri" w:hAnsi="Calibri" w:cs="Calibri"/>
                <w:color w:val="974706"/>
              </w:rPr>
            </w:pPr>
            <w:r w:rsidRPr="000D1308">
              <w:rPr>
                <w:rFonts w:ascii="Calibri" w:hAnsi="Calibri" w:cs="Calibri"/>
                <w:color w:val="974706"/>
              </w:rPr>
              <w:t> </w:t>
            </w:r>
          </w:p>
        </w:tc>
      </w:tr>
    </w:tbl>
    <w:p w14:paraId="139CD13C" w14:textId="08A3F942" w:rsidR="00A05D45" w:rsidRPr="00994805" w:rsidRDefault="00A05D45" w:rsidP="00994805">
      <w:pPr>
        <w:ind w:left="284" w:hanging="5"/>
      </w:pPr>
    </w:p>
    <w:sectPr w:rsidR="00A05D45" w:rsidRPr="00994805" w:rsidSect="00D071E8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E358E1" w:rsidRPr="00E358E1">
          <w:rPr>
            <w:rFonts w:ascii="Arial" w:hAnsi="Arial"/>
            <w:noProof/>
            <w:sz w:val="20"/>
            <w:lang w:val="cs-CZ"/>
          </w:rPr>
          <w:t>8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DC11D" w14:textId="2CB69A0A" w:rsidR="001F2EB4" w:rsidRDefault="001F2EB4" w:rsidP="001F2EB4">
    <w:pPr>
      <w:shd w:val="clear" w:color="auto" w:fill="FFFFFF"/>
      <w:spacing w:line="240" w:lineRule="auto"/>
      <w:jc w:val="right"/>
      <w:textAlignment w:val="baseline"/>
      <w:rPr>
        <w:rFonts w:ascii="Calibri" w:hAnsi="Calibri" w:cs="Calibri"/>
        <w:color w:val="000000"/>
        <w:sz w:val="24"/>
        <w:szCs w:val="24"/>
      </w:rPr>
    </w:pPr>
    <w:r>
      <w:rPr>
        <w:rFonts w:ascii="Calibri" w:hAnsi="Calibri" w:cs="Calibri"/>
        <w:color w:val="000000"/>
        <w:sz w:val="24"/>
        <w:szCs w:val="24"/>
      </w:rPr>
      <w:t>P25V00000004</w:t>
    </w:r>
  </w:p>
  <w:p w14:paraId="2C301178" w14:textId="25049F71" w:rsidR="006D7C29" w:rsidRPr="001F2EB4" w:rsidRDefault="006D7C29" w:rsidP="001F2EB4">
    <w:pPr>
      <w:shd w:val="clear" w:color="auto" w:fill="FFFFFF"/>
      <w:spacing w:line="240" w:lineRule="auto"/>
      <w:jc w:val="right"/>
      <w:textAlignment w:val="baseline"/>
      <w:rPr>
        <w:rFonts w:ascii="Calibri" w:hAnsi="Calibri" w:cs="Calibri"/>
        <w:color w:val="000000"/>
        <w:sz w:val="24"/>
        <w:szCs w:val="24"/>
      </w:rPr>
    </w:pPr>
    <w:r>
      <w:rPr>
        <w:rFonts w:ascii="Calibri" w:hAnsi="Calibri" w:cs="Calibri"/>
        <w:color w:val="000000"/>
        <w:sz w:val="24"/>
        <w:szCs w:val="24"/>
      </w:rPr>
      <w:t>KP/0562/2025/La</w:t>
    </w:r>
  </w:p>
  <w:p w14:paraId="61AA8CF9" w14:textId="1E24C0E1" w:rsidR="001F2EB4" w:rsidRDefault="001F2EB4">
    <w:pPr>
      <w:pStyle w:val="Zhlav"/>
    </w:pPr>
  </w:p>
  <w:p w14:paraId="2C2220FB" w14:textId="77777777" w:rsidR="001F2EB4" w:rsidRDefault="001F2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008654">
    <w:abstractNumId w:val="5"/>
  </w:num>
  <w:num w:numId="2" w16cid:durableId="60644885">
    <w:abstractNumId w:val="1"/>
  </w:num>
  <w:num w:numId="3" w16cid:durableId="503935115">
    <w:abstractNumId w:val="7"/>
  </w:num>
  <w:num w:numId="4" w16cid:durableId="1724481492">
    <w:abstractNumId w:val="7"/>
  </w:num>
  <w:num w:numId="5" w16cid:durableId="1426422041">
    <w:abstractNumId w:val="11"/>
  </w:num>
  <w:num w:numId="6" w16cid:durableId="538250087">
    <w:abstractNumId w:val="8"/>
  </w:num>
  <w:num w:numId="7" w16cid:durableId="1421096453">
    <w:abstractNumId w:val="2"/>
  </w:num>
  <w:num w:numId="8" w16cid:durableId="20786239">
    <w:abstractNumId w:val="6"/>
  </w:num>
  <w:num w:numId="9" w16cid:durableId="240674687">
    <w:abstractNumId w:val="12"/>
  </w:num>
  <w:num w:numId="10" w16cid:durableId="694039382">
    <w:abstractNumId w:val="4"/>
  </w:num>
  <w:num w:numId="11" w16cid:durableId="1749038570">
    <w:abstractNumId w:val="9"/>
  </w:num>
  <w:num w:numId="12" w16cid:durableId="278803507">
    <w:abstractNumId w:val="10"/>
  </w:num>
  <w:num w:numId="13" w16cid:durableId="17860748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06639507">
    <w:abstractNumId w:val="7"/>
  </w:num>
  <w:num w:numId="15" w16cid:durableId="1961913155">
    <w:abstractNumId w:val="0"/>
  </w:num>
  <w:num w:numId="16" w16cid:durableId="24827008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2C74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D130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2EB4"/>
    <w:rsid w:val="001F6852"/>
    <w:rsid w:val="00202E4E"/>
    <w:rsid w:val="002039E1"/>
    <w:rsid w:val="00222AEA"/>
    <w:rsid w:val="00233497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157B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C4EB4"/>
    <w:rsid w:val="003C76B1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3F7DD8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66D55"/>
    <w:rsid w:val="00571D58"/>
    <w:rsid w:val="00584B72"/>
    <w:rsid w:val="0058691F"/>
    <w:rsid w:val="00586BB3"/>
    <w:rsid w:val="005A1125"/>
    <w:rsid w:val="005A31F8"/>
    <w:rsid w:val="005A3B45"/>
    <w:rsid w:val="005A6D97"/>
    <w:rsid w:val="005B3940"/>
    <w:rsid w:val="005C4422"/>
    <w:rsid w:val="005D0FD1"/>
    <w:rsid w:val="005D1964"/>
    <w:rsid w:val="005D1F37"/>
    <w:rsid w:val="005D29BD"/>
    <w:rsid w:val="005D319C"/>
    <w:rsid w:val="005E309D"/>
    <w:rsid w:val="005E39A9"/>
    <w:rsid w:val="005E5F26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1E48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D7C29"/>
    <w:rsid w:val="006E005D"/>
    <w:rsid w:val="006E2FF9"/>
    <w:rsid w:val="006E4EF6"/>
    <w:rsid w:val="006E54D0"/>
    <w:rsid w:val="006E7930"/>
    <w:rsid w:val="006F03E3"/>
    <w:rsid w:val="007009C2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87B8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153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82085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C4C8F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1B4F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A4B7D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6A92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5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1E5F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754BC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uiPriority w:val="99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8CA1-B07B-475A-9BFC-37BB059A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4953</Words>
  <Characters>29228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2025-02-18T08:51:00Z</dcterms:created>
  <dcterms:modified xsi:type="dcterms:W3CDTF">2025-02-18T08:52:00Z</dcterms:modified>
</cp:coreProperties>
</file>