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700B" w14:textId="77777777" w:rsidR="004902F4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0A107C25" wp14:editId="4D4F745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B30F9" w14:textId="31BE37BB" w:rsidR="004902F4" w:rsidRPr="000A4815" w:rsidRDefault="004902F4" w:rsidP="006D6C4F">
                            <w:pPr>
                              <w:ind w:firstLine="0"/>
                              <w:rPr>
                                <w:sz w:val="22"/>
                                <w:szCs w:val="22"/>
                                <w:lang w:val="de-DE" w:eastAsia="de-DE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A4815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smlouvy objednatele: </w:t>
                            </w:r>
                            <w:r w:rsidR="006D6C4F" w:rsidRPr="000A4815">
                              <w:rPr>
                                <w:rFonts w:ascii="Georgia" w:hAnsi="Georgia"/>
                                <w:sz w:val="22"/>
                                <w:szCs w:val="22"/>
                                <w:lang w:val="de-DE" w:eastAsia="de-DE"/>
                              </w:rPr>
                              <w:t>2024/S/508/0206</w:t>
                            </w:r>
                          </w:p>
                          <w:p w14:paraId="28C276C8" w14:textId="5AE79556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2.05pt;margin-top:544.2pt;width:422.3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1BEB30F9" w14:textId="31BE37BB" w:rsidR="004902F4" w:rsidRPr="000A4815" w:rsidRDefault="004902F4" w:rsidP="006D6C4F">
                      <w:pPr>
                        <w:ind w:firstLine="0"/>
                        <w:rPr>
                          <w:sz w:val="22"/>
                          <w:szCs w:val="22"/>
                          <w:lang w:val="de-DE" w:eastAsia="de-DE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 w:rsidRPr="000A4815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smlouvy objednatele: </w:t>
                      </w:r>
                      <w:r w:rsidR="006D6C4F" w:rsidRPr="000A4815">
                        <w:rPr>
                          <w:rFonts w:ascii="Georgia" w:hAnsi="Georgia"/>
                          <w:sz w:val="22"/>
                          <w:szCs w:val="22"/>
                          <w:lang w:val="de-DE" w:eastAsia="de-DE"/>
                        </w:rPr>
                        <w:t>2024/S/508/0206</w:t>
                      </w:r>
                    </w:p>
                    <w:p w14:paraId="28C276C8" w14:textId="5AE79556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5CEE462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A30B611" w14:textId="5CE25348" w:rsidR="00EC5972" w:rsidRPr="00EC5972" w:rsidRDefault="00EC5972" w:rsidP="00EC5972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5972">
                              <w:rPr>
                                <w:b/>
                                <w:bCs/>
                              </w:rPr>
                              <w:t>Petr Nový</w:t>
                            </w:r>
                          </w:p>
                          <w:p w14:paraId="68D6F4B8" w14:textId="284495BA" w:rsidR="004902F4" w:rsidRPr="00557918" w:rsidRDefault="004902F4" w:rsidP="00EC5972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ové pole 2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Titel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Titel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Titel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75CEE462" w14:textId="77777777" w:rsidR="004902F4" w:rsidRPr="00557918" w:rsidRDefault="004902F4" w:rsidP="004902F4">
                      <w:pPr>
                        <w:pStyle w:val="Titel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A30B611" w14:textId="5CE25348" w:rsidR="00EC5972" w:rsidRPr="00EC5972" w:rsidRDefault="00EC5972" w:rsidP="00EC5972">
                      <w:pPr>
                        <w:pStyle w:val="Titel"/>
                        <w:jc w:val="center"/>
                        <w:rPr>
                          <w:b/>
                          <w:bCs/>
                        </w:rPr>
                      </w:pPr>
                      <w:r w:rsidRPr="00EC5972">
                        <w:rPr>
                          <w:b/>
                          <w:bCs/>
                        </w:rPr>
                        <w:t>Petr Nový</w:t>
                      </w:r>
                    </w:p>
                    <w:p w14:paraId="68D6F4B8" w14:textId="284495BA" w:rsidR="004902F4" w:rsidRPr="00557918" w:rsidRDefault="004902F4" w:rsidP="00EC5972">
                      <w:pPr>
                        <w:pStyle w:val="Titel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23EF1368" w:rsidR="004902F4" w:rsidRPr="00557918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</w:t>
                            </w:r>
                            <w:r w:rsidR="00A168A9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ke smlouvě</w:t>
                            </w:r>
                          </w:p>
                          <w:p w14:paraId="227A8BE8" w14:textId="77777777" w:rsidR="004902F4" w:rsidRPr="00315E6F" w:rsidRDefault="004902F4" w:rsidP="004902F4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ové pole 1" o:spid="_x0000_s1028" type="#_x0000_t202" style="position:absolute;margin-left:102.05pt;margin-top:138.9pt;width:422.3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23EF1368" w:rsidR="004902F4" w:rsidRPr="00557918" w:rsidRDefault="004902F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</w:t>
                      </w:r>
                      <w:r w:rsidR="00A168A9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ke smlouvě</w:t>
                      </w:r>
                    </w:p>
                    <w:p w14:paraId="227A8BE8" w14:textId="77777777" w:rsidR="004902F4" w:rsidRPr="00315E6F" w:rsidRDefault="004902F4" w:rsidP="004902F4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Titel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EC56E40" w14:textId="0DF2680C" w:rsidR="004902F4" w:rsidRPr="00A51A27" w:rsidRDefault="004902F4" w:rsidP="004902F4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č. </w:t>
      </w:r>
      <w:r w:rsidR="006D6C4F">
        <w:rPr>
          <w:sz w:val="22"/>
          <w:szCs w:val="22"/>
        </w:rPr>
        <w:t>1</w:t>
      </w:r>
    </w:p>
    <w:p w14:paraId="472339D5" w14:textId="77777777" w:rsidR="004902F4" w:rsidRPr="00A51A27" w:rsidRDefault="004902F4" w:rsidP="004902F4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D6E7D24" w14:textId="77777777" w:rsidR="004902F4" w:rsidRPr="00A51A27" w:rsidRDefault="004902F4" w:rsidP="004902F4">
      <w:pPr>
        <w:rPr>
          <w:rFonts w:ascii="Georgia" w:hAnsi="Georgia" w:cs="Arial"/>
          <w:sz w:val="22"/>
          <w:szCs w:val="22"/>
        </w:rPr>
      </w:pP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C9CBA2B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Františkem Reismüllerem</w:t>
            </w:r>
            <w:r w:rsidRPr="00C508B9">
              <w:rPr>
                <w:rFonts w:ascii="Georgia" w:hAnsi="Georgia"/>
                <w:sz w:val="22"/>
                <w:szCs w:val="22"/>
              </w:rPr>
              <w:t>, Ph.D., ředitelem ČCCR - CzechTourism</w:t>
            </w:r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0826B543" w14:textId="421DDD3F" w:rsidR="004902F4" w:rsidRPr="006E4D4E" w:rsidRDefault="004902F4" w:rsidP="002E3B12">
      <w:pPr>
        <w:keepNext/>
        <w:rPr>
          <w:szCs w:val="22"/>
        </w:rPr>
      </w:pPr>
      <w:r w:rsidRPr="006E4D4E">
        <w:rPr>
          <w:szCs w:val="22"/>
        </w:rPr>
        <w:t>a</w:t>
      </w:r>
    </w:p>
    <w:tbl>
      <w:tblPr>
        <w:tblW w:w="9306" w:type="dxa"/>
        <w:tblBorders>
          <w:insideH w:val="single" w:sz="2" w:space="0" w:color="auto"/>
        </w:tblBorders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653"/>
      </w:tblGrid>
      <w:tr w:rsidR="002E3B12" w:rsidRPr="00C820F6" w14:paraId="1181DD7A" w14:textId="77777777" w:rsidTr="003F52E8">
        <w:trPr>
          <w:trHeight w:val="256"/>
        </w:trPr>
        <w:tc>
          <w:tcPr>
            <w:tcW w:w="2500" w:type="pct"/>
            <w:shd w:val="clear" w:color="auto" w:fill="auto"/>
          </w:tcPr>
          <w:p w14:paraId="19C22451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 xml:space="preserve">Firma: </w:t>
            </w:r>
          </w:p>
        </w:tc>
        <w:tc>
          <w:tcPr>
            <w:tcW w:w="2500" w:type="pct"/>
            <w:shd w:val="clear" w:color="auto" w:fill="auto"/>
          </w:tcPr>
          <w:p w14:paraId="47F80919" w14:textId="178A1724" w:rsidR="002E3B12" w:rsidRPr="003F52E8" w:rsidRDefault="002E3B12" w:rsidP="00B61C81">
            <w:pPr>
              <w:pStyle w:val="TableTextCzechTourism"/>
              <w:keepNext/>
              <w:spacing w:line="260" w:lineRule="exact"/>
              <w:ind w:right="-442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3F52E8">
              <w:rPr>
                <w:rFonts w:ascii="Georgia" w:hAnsi="Georgia"/>
                <w:b/>
                <w:bCs/>
                <w:sz w:val="22"/>
                <w:szCs w:val="22"/>
              </w:rPr>
              <w:t>Petr Nový</w:t>
            </w:r>
          </w:p>
        </w:tc>
      </w:tr>
      <w:tr w:rsidR="002E3B12" w:rsidRPr="00384F8B" w14:paraId="08D10FFF" w14:textId="77777777" w:rsidTr="003F52E8">
        <w:trPr>
          <w:trHeight w:val="256"/>
        </w:trPr>
        <w:tc>
          <w:tcPr>
            <w:tcW w:w="2500" w:type="pct"/>
            <w:shd w:val="clear" w:color="auto" w:fill="auto"/>
          </w:tcPr>
          <w:p w14:paraId="3E1A392F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 xml:space="preserve">Sídlo: </w:t>
            </w:r>
          </w:p>
        </w:tc>
        <w:tc>
          <w:tcPr>
            <w:tcW w:w="2500" w:type="pct"/>
            <w:shd w:val="clear" w:color="auto" w:fill="auto"/>
          </w:tcPr>
          <w:p w14:paraId="0F108BD4" w14:textId="3599FF12" w:rsidR="002E3B12" w:rsidRPr="003F52E8" w:rsidRDefault="00EF4B92" w:rsidP="00B61C81">
            <w:pPr>
              <w:pStyle w:val="TableTextCzechTourism"/>
              <w:keepNext/>
              <w:spacing w:line="260" w:lineRule="exact"/>
              <w:ind w:right="-442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XXX,</w:t>
            </w:r>
            <w:r w:rsidR="002E3B12" w:rsidRPr="003F52E8">
              <w:rPr>
                <w:rFonts w:ascii="Georgia" w:hAnsi="Georgia"/>
                <w:sz w:val="22"/>
                <w:szCs w:val="22"/>
              </w:rPr>
              <w:t xml:space="preserve"> Praha 5</w:t>
            </w:r>
          </w:p>
        </w:tc>
      </w:tr>
      <w:tr w:rsidR="002E3B12" w:rsidRPr="00384F8B" w14:paraId="5EF0F35D" w14:textId="77777777" w:rsidTr="003F52E8">
        <w:trPr>
          <w:trHeight w:val="256"/>
        </w:trPr>
        <w:tc>
          <w:tcPr>
            <w:tcW w:w="2500" w:type="pct"/>
            <w:shd w:val="clear" w:color="auto" w:fill="auto"/>
          </w:tcPr>
          <w:p w14:paraId="575F6428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 xml:space="preserve">Zastoupená: </w:t>
            </w:r>
          </w:p>
        </w:tc>
        <w:tc>
          <w:tcPr>
            <w:tcW w:w="2500" w:type="pct"/>
            <w:shd w:val="clear" w:color="auto" w:fill="auto"/>
          </w:tcPr>
          <w:p w14:paraId="0192270E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ind w:right="-442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>Petr Nový, ředitel</w:t>
            </w:r>
          </w:p>
        </w:tc>
      </w:tr>
      <w:tr w:rsidR="002E3B12" w:rsidRPr="00384F8B" w14:paraId="0700D246" w14:textId="77777777" w:rsidTr="003F52E8">
        <w:trPr>
          <w:trHeight w:val="256"/>
        </w:trPr>
        <w:tc>
          <w:tcPr>
            <w:tcW w:w="2500" w:type="pct"/>
            <w:shd w:val="clear" w:color="auto" w:fill="auto"/>
          </w:tcPr>
          <w:p w14:paraId="5CB5283A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2CD51E86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 w:cs="Calibri"/>
                <w:color w:val="444444"/>
                <w:sz w:val="22"/>
                <w:szCs w:val="22"/>
                <w:shd w:val="clear" w:color="auto" w:fill="FFFFFF"/>
              </w:rPr>
              <w:t>71079840</w:t>
            </w:r>
          </w:p>
        </w:tc>
      </w:tr>
      <w:tr w:rsidR="002E3B12" w:rsidRPr="00384F8B" w14:paraId="21E6E41E" w14:textId="77777777" w:rsidTr="003F52E8">
        <w:trPr>
          <w:trHeight w:val="256"/>
        </w:trPr>
        <w:tc>
          <w:tcPr>
            <w:tcW w:w="2500" w:type="pct"/>
            <w:shd w:val="clear" w:color="auto" w:fill="auto"/>
          </w:tcPr>
          <w:p w14:paraId="458F87DE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 xml:space="preserve">DIČ: </w:t>
            </w:r>
          </w:p>
        </w:tc>
        <w:tc>
          <w:tcPr>
            <w:tcW w:w="2500" w:type="pct"/>
            <w:shd w:val="clear" w:color="auto" w:fill="auto"/>
          </w:tcPr>
          <w:p w14:paraId="2E5C3195" w14:textId="63AF09E1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CZ</w:t>
            </w:r>
            <w:r w:rsidR="008F3B6A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>XXX</w:t>
            </w:r>
          </w:p>
        </w:tc>
      </w:tr>
      <w:tr w:rsidR="002E3B12" w:rsidRPr="00384F8B" w14:paraId="003E549B" w14:textId="77777777" w:rsidTr="002E3B12">
        <w:trPr>
          <w:trHeight w:val="527"/>
        </w:trPr>
        <w:tc>
          <w:tcPr>
            <w:tcW w:w="2500" w:type="pct"/>
            <w:tcBorders>
              <w:bottom w:val="single" w:sz="2" w:space="0" w:color="auto"/>
            </w:tcBorders>
            <w:shd w:val="clear" w:color="auto" w:fill="auto"/>
          </w:tcPr>
          <w:p w14:paraId="31CA1536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 xml:space="preserve">Poskytovatel 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  <w:shd w:val="clear" w:color="auto" w:fill="auto"/>
          </w:tcPr>
          <w:p w14:paraId="309C88F1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2E3B12" w:rsidRPr="00384F8B" w14:paraId="066A29D2" w14:textId="77777777" w:rsidTr="003F52E8">
        <w:trPr>
          <w:trHeight w:val="256"/>
        </w:trPr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240639F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3F52E8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B3AB623" w14:textId="0BBF79F8" w:rsidR="002E3B12" w:rsidRPr="003F52E8" w:rsidRDefault="008F3B6A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  <w:tr w:rsidR="002E3B12" w:rsidRPr="009966D1" w14:paraId="5F3BF9E7" w14:textId="77777777" w:rsidTr="003F52E8">
        <w:trPr>
          <w:trHeight w:val="271"/>
        </w:trPr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1D30D3F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8AFE6F5" w14:textId="77777777" w:rsidR="002E3B12" w:rsidRPr="003F52E8" w:rsidRDefault="002E3B12" w:rsidP="00B61C81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12C7694" w14:textId="77777777" w:rsidR="004902F4" w:rsidRDefault="004902F4" w:rsidP="004902F4">
      <w:pPr>
        <w:keepNext/>
      </w:pPr>
    </w:p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77777777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>
        <w:rPr>
          <w:rFonts w:ascii="Georgia" w:hAnsi="Georgia"/>
          <w:sz w:val="22"/>
          <w:szCs w:val="22"/>
        </w:rPr>
        <w:t xml:space="preserve">ento dodatek </w:t>
      </w:r>
    </w:p>
    <w:p w14:paraId="74173B65" w14:textId="29594BC8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A67007">
        <w:rPr>
          <w:rFonts w:ascii="Georgia" w:hAnsi="Georgia"/>
          <w:sz w:val="22"/>
          <w:szCs w:val="22"/>
        </w:rPr>
        <w:t> Smlouvě o poskytování služeb</w:t>
      </w:r>
    </w:p>
    <w:p w14:paraId="3A4E7DAA" w14:textId="77777777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Dodatek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7037B2DB" w14:textId="77777777" w:rsidR="004902F4" w:rsidRPr="00A51A27" w:rsidRDefault="004902F4" w:rsidP="004902F4">
      <w:pPr>
        <w:pStyle w:val="Zhlavzprvy"/>
        <w:rPr>
          <w:szCs w:val="22"/>
        </w:rPr>
      </w:pPr>
    </w:p>
    <w:p w14:paraId="23D55C11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0" w:line="23" w:lineRule="atLeast"/>
        <w:ind w:left="357" w:hanging="357"/>
        <w:jc w:val="center"/>
      </w:pPr>
      <w:r w:rsidRPr="00373AB6">
        <w:rPr>
          <w:rFonts w:ascii="Georgia" w:hAnsi="Georgia" w:cs="Arial"/>
          <w:sz w:val="22"/>
          <w:szCs w:val="22"/>
        </w:rPr>
        <w:lastRenderedPageBreak/>
        <w:t>P</w:t>
      </w:r>
      <w:r>
        <w:rPr>
          <w:rFonts w:ascii="Georgia" w:hAnsi="Georgia" w:cs="Arial"/>
          <w:sz w:val="22"/>
          <w:szCs w:val="22"/>
        </w:rPr>
        <w:t xml:space="preserve">ředmět dodatku </w:t>
      </w:r>
    </w:p>
    <w:p w14:paraId="4B39D037" w14:textId="5392A7D3" w:rsidR="004902F4" w:rsidRDefault="004902F4" w:rsidP="004902F4">
      <w:pPr>
        <w:pStyle w:val="ListNumber-ContinueHeadingCzechTourism"/>
        <w:numPr>
          <w:ilvl w:val="1"/>
          <w:numId w:val="1"/>
        </w:numPr>
        <w:spacing w:line="23" w:lineRule="atLeast"/>
        <w:ind w:left="567" w:hanging="567"/>
        <w:jc w:val="both"/>
        <w:rPr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1D63DB">
        <w:rPr>
          <w:szCs w:val="22"/>
        </w:rPr>
        <w:t xml:space="preserve">Dne </w:t>
      </w:r>
      <w:r w:rsidR="004A3F57">
        <w:rPr>
          <w:szCs w:val="22"/>
        </w:rPr>
        <w:t>27</w:t>
      </w:r>
      <w:r w:rsidR="00E32728">
        <w:rPr>
          <w:szCs w:val="22"/>
        </w:rPr>
        <w:t>. 12. 2024</w:t>
      </w:r>
      <w:r w:rsidRPr="001D63DB">
        <w:rPr>
          <w:szCs w:val="22"/>
        </w:rPr>
        <w:t xml:space="preserve"> uzavřely smluvní strany smlouvu</w:t>
      </w:r>
      <w:r w:rsidR="008D03CA">
        <w:rPr>
          <w:szCs w:val="22"/>
        </w:rPr>
        <w:t xml:space="preserve"> o poskytování služeb</w:t>
      </w:r>
      <w:r w:rsidRPr="001D63DB">
        <w:rPr>
          <w:szCs w:val="22"/>
        </w:rPr>
        <w:t xml:space="preserve">, jejímž předmětem je závazek Poskytovatele zajistit pro Objednatele </w:t>
      </w:r>
      <w:r>
        <w:t xml:space="preserve">služby spojené </w:t>
      </w:r>
      <w:r w:rsidR="008D03CA">
        <w:t>výstavou veletržní expozice na veletrhu f.r.e.e Mnichov v termínu 19.-</w:t>
      </w:r>
      <w:r w:rsidR="0078501E">
        <w:t>23. 2. 2025</w:t>
      </w:r>
      <w:r w:rsidR="0083740B">
        <w:t xml:space="preserve"> </w:t>
      </w:r>
      <w:r w:rsidRPr="001D63DB">
        <w:rPr>
          <w:szCs w:val="22"/>
        </w:rPr>
        <w:t xml:space="preserve">a závazek </w:t>
      </w:r>
      <w:r>
        <w:rPr>
          <w:szCs w:val="22"/>
        </w:rPr>
        <w:t>O</w:t>
      </w:r>
      <w:r w:rsidRPr="001D63DB">
        <w:rPr>
          <w:szCs w:val="22"/>
        </w:rPr>
        <w:t>bjednatele uhradit</w:t>
      </w:r>
      <w:r>
        <w:rPr>
          <w:szCs w:val="22"/>
        </w:rPr>
        <w:t xml:space="preserve"> Poskytovateli</w:t>
      </w:r>
      <w:r w:rsidRPr="001D63DB">
        <w:rPr>
          <w:szCs w:val="22"/>
        </w:rPr>
        <w:t xml:space="preserve"> za tyto služby smluvní odměnu, na straně druhé (dále jen „</w:t>
      </w:r>
      <w:r>
        <w:rPr>
          <w:szCs w:val="22"/>
        </w:rPr>
        <w:t>S</w:t>
      </w:r>
      <w:r w:rsidRPr="001D63DB">
        <w:rPr>
          <w:szCs w:val="22"/>
        </w:rPr>
        <w:t xml:space="preserve">mlouva“). </w:t>
      </w:r>
    </w:p>
    <w:p w14:paraId="03F5B83C" w14:textId="77777777" w:rsidR="004902F4" w:rsidRPr="001D63D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04A978A4" w14:textId="60CD257C" w:rsidR="004902F4" w:rsidRDefault="004902F4" w:rsidP="004902F4">
      <w:pPr>
        <w:pStyle w:val="Odstavecseseznamem"/>
        <w:numPr>
          <w:ilvl w:val="1"/>
          <w:numId w:val="1"/>
        </w:numPr>
        <w:spacing w:after="0" w:line="23" w:lineRule="atLeast"/>
        <w:ind w:left="567" w:hanging="567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se dohodly na změně Smlouvy, a to konkrétně na </w:t>
      </w:r>
      <w:r w:rsidR="00CC5CC5">
        <w:rPr>
          <w:rFonts w:ascii="Georgia" w:hAnsi="Georgia"/>
          <w:sz w:val="22"/>
          <w:szCs w:val="22"/>
        </w:rPr>
        <w:t>rozšíření veletržní epoxice z původních 60 m2 na 80 m2 a zvýšení počtu spoluvystavovatelských pultů</w:t>
      </w:r>
      <w:r w:rsidR="000D3644">
        <w:rPr>
          <w:rFonts w:ascii="Georgia" w:hAnsi="Georgia"/>
          <w:sz w:val="22"/>
          <w:szCs w:val="22"/>
        </w:rPr>
        <w:t xml:space="preserve">. Důvodem změny byla </w:t>
      </w:r>
      <w:r w:rsidR="00D93EF4">
        <w:rPr>
          <w:rFonts w:ascii="Georgia" w:hAnsi="Georgia"/>
          <w:sz w:val="22"/>
          <w:szCs w:val="22"/>
        </w:rPr>
        <w:t>zvýšená</w:t>
      </w:r>
      <w:r w:rsidR="000D3644">
        <w:rPr>
          <w:rFonts w:ascii="Georgia" w:hAnsi="Georgia"/>
          <w:sz w:val="22"/>
          <w:szCs w:val="22"/>
        </w:rPr>
        <w:t xml:space="preserve"> poptáv</w:t>
      </w:r>
      <w:r w:rsidR="00D93EF4">
        <w:rPr>
          <w:rFonts w:ascii="Georgia" w:hAnsi="Georgia"/>
          <w:sz w:val="22"/>
          <w:szCs w:val="22"/>
        </w:rPr>
        <w:t>k</w:t>
      </w:r>
      <w:r w:rsidR="000D3644">
        <w:rPr>
          <w:rFonts w:ascii="Georgia" w:hAnsi="Georgia"/>
          <w:sz w:val="22"/>
          <w:szCs w:val="22"/>
        </w:rPr>
        <w:t>a českých spoluvystavovatelů</w:t>
      </w:r>
      <w:r w:rsidR="00D93EF4">
        <w:rPr>
          <w:rFonts w:ascii="Georgia" w:hAnsi="Georgia"/>
          <w:sz w:val="22"/>
          <w:szCs w:val="22"/>
        </w:rPr>
        <w:t xml:space="preserve"> na prezentaci na veletrhu</w:t>
      </w:r>
      <w:r w:rsidR="000D3644">
        <w:rPr>
          <w:rFonts w:ascii="Georgia" w:hAnsi="Georgia"/>
          <w:sz w:val="22"/>
          <w:szCs w:val="22"/>
        </w:rPr>
        <w:t xml:space="preserve"> a s ní nutnost Objednatele navýšit </w:t>
      </w:r>
      <w:r w:rsidR="00C01DA4">
        <w:rPr>
          <w:rFonts w:ascii="Georgia" w:hAnsi="Georgia"/>
          <w:sz w:val="22"/>
          <w:szCs w:val="22"/>
        </w:rPr>
        <w:t>objednanou plochu</w:t>
      </w:r>
      <w:r w:rsidR="00D93EF4">
        <w:rPr>
          <w:rFonts w:ascii="Georgia" w:hAnsi="Georgia"/>
          <w:sz w:val="22"/>
          <w:szCs w:val="22"/>
        </w:rPr>
        <w:t xml:space="preserve"> a rozšířit expozici.</w:t>
      </w:r>
    </w:p>
    <w:p w14:paraId="7485F0CF" w14:textId="77777777" w:rsidR="004902F4" w:rsidRDefault="004902F4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51742F1B" w14:textId="77777777" w:rsidR="004902F4" w:rsidRPr="00373AB6" w:rsidRDefault="004902F4" w:rsidP="004902F4">
      <w:pPr>
        <w:pStyle w:val="Text"/>
        <w:numPr>
          <w:ilvl w:val="0"/>
          <w:numId w:val="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Práva a povinnosti smluvních stran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4140A6CD" w14:textId="5EF30A10" w:rsidR="004902F4" w:rsidRPr="001D6057" w:rsidRDefault="004902F4" w:rsidP="001D6057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Smluvní strany </w:t>
      </w:r>
      <w:r w:rsidRPr="00454FDC">
        <w:rPr>
          <w:rFonts w:ascii="Georgia" w:hAnsi="Georgia" w:cs="Arial"/>
          <w:color w:val="000000"/>
          <w:sz w:val="22"/>
          <w:szCs w:val="22"/>
        </w:rPr>
        <w:t>se dohodly, že tímto Dodatkem se mění čl. I</w:t>
      </w:r>
      <w:r w:rsidR="00454FDC" w:rsidRPr="00454FDC">
        <w:rPr>
          <w:rFonts w:ascii="Georgia" w:hAnsi="Georgia" w:cs="Arial"/>
          <w:color w:val="000000"/>
          <w:sz w:val="22"/>
          <w:szCs w:val="22"/>
        </w:rPr>
        <w:t>I</w:t>
      </w:r>
      <w:r w:rsidRPr="00454FDC">
        <w:rPr>
          <w:rFonts w:ascii="Georgia" w:hAnsi="Georgia" w:cs="Arial"/>
          <w:color w:val="000000"/>
          <w:sz w:val="22"/>
          <w:szCs w:val="22"/>
        </w:rPr>
        <w:t>I. odst.</w:t>
      </w:r>
      <w:r w:rsidR="00454FDC" w:rsidRPr="00454FDC">
        <w:rPr>
          <w:rFonts w:ascii="Georgia" w:hAnsi="Georgia" w:cs="Arial"/>
          <w:color w:val="000000"/>
          <w:sz w:val="22"/>
          <w:szCs w:val="22"/>
        </w:rPr>
        <w:t>3.1.1</w:t>
      </w:r>
      <w:r w:rsidRPr="00454FDC">
        <w:rPr>
          <w:rFonts w:ascii="Georgia" w:hAnsi="Georgia" w:cs="Arial"/>
          <w:color w:val="000000"/>
          <w:sz w:val="22"/>
          <w:szCs w:val="22"/>
        </w:rPr>
        <w:t xml:space="preserve"> tak, že jeho nové znění je následující:</w:t>
      </w:r>
    </w:p>
    <w:p w14:paraId="409BBDBD" w14:textId="53CB8F81" w:rsidR="004902F4" w:rsidRPr="00BA6893" w:rsidRDefault="001D6057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Pronájem výstavního stánku 8 x 10 m, s uzamykatelnou vnitřní kabinou</w:t>
      </w:r>
    </w:p>
    <w:p w14:paraId="4BF7B4A3" w14:textId="77777777" w:rsidR="001D6057" w:rsidRDefault="001D6057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52067BE2" w14:textId="58EAB3AE" w:rsidR="00BA3285" w:rsidRPr="001D6057" w:rsidRDefault="004902F4" w:rsidP="00BA3285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BA3285">
        <w:rPr>
          <w:rFonts w:ascii="Georgia" w:hAnsi="Georgia" w:cs="Arial"/>
          <w:color w:val="000000"/>
          <w:sz w:val="22"/>
          <w:szCs w:val="22"/>
        </w:rPr>
        <w:t xml:space="preserve">Smluvní strany </w:t>
      </w:r>
      <w:r w:rsidR="00BA3285" w:rsidRPr="00454FDC">
        <w:rPr>
          <w:rFonts w:ascii="Georgia" w:hAnsi="Georgia" w:cs="Arial"/>
          <w:color w:val="000000"/>
          <w:sz w:val="22"/>
          <w:szCs w:val="22"/>
        </w:rPr>
        <w:t xml:space="preserve">se dohodly, že tímto Dodatkem se mění čl. </w:t>
      </w:r>
      <w:r w:rsidR="00BA3285">
        <w:rPr>
          <w:rFonts w:ascii="Georgia" w:hAnsi="Georgia" w:cs="Arial"/>
          <w:color w:val="000000"/>
          <w:sz w:val="22"/>
          <w:szCs w:val="22"/>
        </w:rPr>
        <w:t>V</w:t>
      </w:r>
      <w:r w:rsidR="00BA3285" w:rsidRPr="00454FDC">
        <w:rPr>
          <w:rFonts w:ascii="Georgia" w:hAnsi="Georgia" w:cs="Arial"/>
          <w:color w:val="000000"/>
          <w:sz w:val="22"/>
          <w:szCs w:val="22"/>
        </w:rPr>
        <w:t>. odst.</w:t>
      </w:r>
      <w:r w:rsidR="00BA3285">
        <w:rPr>
          <w:rFonts w:ascii="Georgia" w:hAnsi="Georgia" w:cs="Arial"/>
          <w:color w:val="000000"/>
          <w:sz w:val="22"/>
          <w:szCs w:val="22"/>
        </w:rPr>
        <w:t>5.1</w:t>
      </w:r>
      <w:r w:rsidR="00BA3285" w:rsidRPr="00454FDC">
        <w:rPr>
          <w:rFonts w:ascii="Georgia" w:hAnsi="Georgia" w:cs="Arial"/>
          <w:color w:val="000000"/>
          <w:sz w:val="22"/>
          <w:szCs w:val="22"/>
        </w:rPr>
        <w:t xml:space="preserve"> tak, že jeho nové znění je následující:</w:t>
      </w:r>
    </w:p>
    <w:p w14:paraId="31CAC05F" w14:textId="5DCB6C09" w:rsidR="004902F4" w:rsidRDefault="004902F4" w:rsidP="00BA3285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4A42C5A4" w14:textId="4CFF16DB" w:rsidR="004902F4" w:rsidRPr="00BA6893" w:rsidRDefault="00BA6893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Celková cena plnění dle této Smlouvy je stanovena dle dílčí specifikace plnění dle Přílohy č. 2 Kalkulace nákladů na 2</w:t>
      </w:r>
      <w:r>
        <w:rPr>
          <w:rFonts w:ascii="Georgia" w:hAnsi="Georgia" w:cs="Arial"/>
          <w:i/>
          <w:iCs/>
          <w:color w:val="000000"/>
          <w:sz w:val="22"/>
          <w:szCs w:val="22"/>
        </w:rPr>
        <w:t xml:space="preserve">63 037 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 xml:space="preserve">CZK bez DPH. </w:t>
      </w:r>
      <w:r w:rsidRPr="00BA6893">
        <w:rPr>
          <w:i/>
          <w:iCs/>
          <w:color w:val="000000"/>
          <w:sz w:val="22"/>
          <w:szCs w:val="22"/>
        </w:rPr>
        <w:t> 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K cen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ě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 xml:space="preserve"> bude p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ř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ipo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č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teno DPH v</w:t>
      </w:r>
      <w:r w:rsidRPr="00BA6893">
        <w:rPr>
          <w:i/>
          <w:iCs/>
          <w:color w:val="000000"/>
          <w:sz w:val="22"/>
          <w:szCs w:val="22"/>
        </w:rPr>
        <w:t> 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z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á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konn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é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 xml:space="preserve"> v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ýš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i odpov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í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daj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í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c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í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 xml:space="preserve"> 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úč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inn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ý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m pr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á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vn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í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m p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ř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edpis</w:t>
      </w:r>
      <w:r w:rsidRPr="00BA6893">
        <w:rPr>
          <w:rFonts w:ascii="Georgia" w:hAnsi="Georgia" w:cs="Georgia"/>
          <w:i/>
          <w:iCs/>
          <w:color w:val="000000"/>
          <w:sz w:val="22"/>
          <w:szCs w:val="22"/>
        </w:rPr>
        <w:t>ů</w:t>
      </w:r>
      <w:r w:rsidRPr="00BA6893">
        <w:rPr>
          <w:rFonts w:ascii="Georgia" w:hAnsi="Georgia" w:cs="Arial"/>
          <w:i/>
          <w:iCs/>
          <w:color w:val="000000"/>
          <w:sz w:val="22"/>
          <w:szCs w:val="22"/>
        </w:rPr>
        <w:t>m.</w:t>
      </w:r>
    </w:p>
    <w:p w14:paraId="6B38A0CF" w14:textId="77777777" w:rsidR="00707510" w:rsidRDefault="00707510" w:rsidP="00825F59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767E0A20" w14:textId="11D9FF18" w:rsidR="00707510" w:rsidRPr="00A91479" w:rsidRDefault="00780E12" w:rsidP="00707510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00A91479">
        <w:rPr>
          <w:rFonts w:ascii="Georgia" w:hAnsi="Georgia" w:cs="Arial"/>
          <w:color w:val="000000"/>
          <w:sz w:val="22"/>
          <w:szCs w:val="22"/>
        </w:rPr>
        <w:t>Smluvní strany se dohodly, že tímto Dodatkem se nahrazují původní znění příloh Příloha č. 1 Smlouvy (Grafické rozvržení stánku) a Příloha č. 2 Smlouvy (Kalkulace veletržní ceny expozice) novými verzemi, které jsou součástí tohoto Dodatku č. 1.</w:t>
      </w:r>
    </w:p>
    <w:p w14:paraId="6BF271EA" w14:textId="77777777" w:rsidR="004902F4" w:rsidRPr="00D93EF4" w:rsidRDefault="004902F4" w:rsidP="00D93EF4">
      <w:pPr>
        <w:tabs>
          <w:tab w:val="left" w:pos="851"/>
        </w:tabs>
        <w:spacing w:after="0" w:line="23" w:lineRule="atLeast"/>
        <w:ind w:firstLine="0"/>
        <w:rPr>
          <w:rFonts w:ascii="Georgia" w:hAnsi="Georgia"/>
          <w:sz w:val="22"/>
          <w:szCs w:val="22"/>
        </w:rPr>
      </w:pPr>
      <w:bookmarkStart w:id="30" w:name="_Ref67371666"/>
    </w:p>
    <w:p w14:paraId="4F090BDA" w14:textId="77777777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Ostatní ustanovení Smlouvy zůstávají beze změn. </w:t>
      </w:r>
    </w:p>
    <w:p w14:paraId="29188F20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240" w:line="23" w:lineRule="atLeast"/>
        <w:jc w:val="center"/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2E378BCD" w14:textId="77777777" w:rsidR="004902F4" w:rsidRPr="00C72775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C72775">
        <w:rPr>
          <w:szCs w:val="22"/>
        </w:rPr>
        <w:t>Tento Dodatek nabývá platnosti dnem jeho podpisu oběma smluvními stranami a účinnosti dnem jeho zveřejnění v registru smluv.</w:t>
      </w:r>
    </w:p>
    <w:p w14:paraId="23FB14C3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Změny </w:t>
      </w:r>
      <w:r>
        <w:rPr>
          <w:szCs w:val="22"/>
        </w:rPr>
        <w:t>tohoto Dodatku</w:t>
      </w:r>
      <w:r w:rsidRPr="009B2EEB">
        <w:rPr>
          <w:szCs w:val="22"/>
        </w:rPr>
        <w:t xml:space="preserve"> jsou možné pouze na základě dohody obou smluvních stran formou písemných dodatků.</w:t>
      </w:r>
    </w:p>
    <w:p w14:paraId="725835C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obdrží jedno vyhotovení.</w:t>
      </w:r>
    </w:p>
    <w:p w14:paraId="3D143BA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2844AFFA" w14:textId="515FAD48" w:rsidR="00D93EF4" w:rsidRDefault="004902F4" w:rsidP="00EB572F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Smluvní strany prohlašují, že si t</w:t>
      </w:r>
      <w:r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1100BB39" w14:textId="77777777" w:rsidR="00EB572F" w:rsidRDefault="00EB572F" w:rsidP="00EB572F">
      <w:pPr>
        <w:pStyle w:val="ListNumber-ContinueHeadingCzechTourism"/>
        <w:numPr>
          <w:ilvl w:val="0"/>
          <w:numId w:val="0"/>
        </w:numPr>
        <w:spacing w:after="120" w:line="23" w:lineRule="atLeast"/>
        <w:ind w:left="1209" w:hanging="360"/>
        <w:jc w:val="both"/>
        <w:rPr>
          <w:szCs w:val="22"/>
        </w:rPr>
      </w:pPr>
    </w:p>
    <w:p w14:paraId="027BABEC" w14:textId="77777777" w:rsidR="00EB572F" w:rsidRDefault="00EB572F" w:rsidP="00EB572F">
      <w:pPr>
        <w:pStyle w:val="ListNumber-ContinueHeadingCzechTourism"/>
        <w:numPr>
          <w:ilvl w:val="0"/>
          <w:numId w:val="0"/>
        </w:numPr>
        <w:spacing w:after="120" w:line="23" w:lineRule="atLeast"/>
        <w:ind w:left="1209" w:hanging="360"/>
        <w:jc w:val="both"/>
        <w:rPr>
          <w:szCs w:val="22"/>
        </w:rPr>
      </w:pPr>
    </w:p>
    <w:p w14:paraId="7266A4EE" w14:textId="77777777" w:rsidR="00EB572F" w:rsidRDefault="00EB572F" w:rsidP="00EB572F">
      <w:pPr>
        <w:pStyle w:val="ListNumber-ContinueHeadingCzechTourism"/>
        <w:numPr>
          <w:ilvl w:val="0"/>
          <w:numId w:val="0"/>
        </w:numPr>
        <w:spacing w:after="120" w:line="23" w:lineRule="atLeast"/>
        <w:ind w:left="1209" w:hanging="360"/>
        <w:jc w:val="both"/>
        <w:rPr>
          <w:szCs w:val="22"/>
        </w:rPr>
      </w:pPr>
    </w:p>
    <w:p w14:paraId="2673A2DB" w14:textId="77777777" w:rsidR="00EB572F" w:rsidRDefault="00EB572F" w:rsidP="00EB572F">
      <w:pPr>
        <w:pStyle w:val="ListNumber-ContinueHeadingCzechTourism"/>
        <w:numPr>
          <w:ilvl w:val="0"/>
          <w:numId w:val="0"/>
        </w:numPr>
        <w:spacing w:after="120" w:line="23" w:lineRule="atLeast"/>
        <w:ind w:left="1209" w:hanging="360"/>
        <w:jc w:val="both"/>
        <w:rPr>
          <w:szCs w:val="22"/>
        </w:rPr>
      </w:pPr>
    </w:p>
    <w:p w14:paraId="2B54BB73" w14:textId="77777777" w:rsidR="00EB572F" w:rsidRDefault="00EB572F" w:rsidP="00EB572F">
      <w:pPr>
        <w:pStyle w:val="ListNumber-ContinueHeadingCzechTourism"/>
        <w:numPr>
          <w:ilvl w:val="0"/>
          <w:numId w:val="0"/>
        </w:numPr>
        <w:spacing w:after="120" w:line="23" w:lineRule="atLeast"/>
        <w:ind w:left="1209" w:hanging="360"/>
        <w:jc w:val="both"/>
        <w:rPr>
          <w:szCs w:val="22"/>
        </w:rPr>
      </w:pPr>
    </w:p>
    <w:p w14:paraId="02A0EBC7" w14:textId="77777777" w:rsidR="00EB572F" w:rsidRDefault="00EB572F" w:rsidP="00EB572F">
      <w:pPr>
        <w:pStyle w:val="ListNumber-ContinueHeadingCzechTourism"/>
        <w:numPr>
          <w:ilvl w:val="0"/>
          <w:numId w:val="0"/>
        </w:numPr>
        <w:spacing w:after="120" w:line="23" w:lineRule="atLeast"/>
        <w:ind w:left="1209" w:hanging="360"/>
        <w:jc w:val="both"/>
        <w:rPr>
          <w:szCs w:val="22"/>
        </w:rPr>
      </w:pPr>
    </w:p>
    <w:p w14:paraId="795DCBD4" w14:textId="77777777" w:rsidR="00EB572F" w:rsidRPr="00EB572F" w:rsidRDefault="00EB572F" w:rsidP="00EB572F">
      <w:pPr>
        <w:pStyle w:val="ListNumber-ContinueHeadingCzechTourism"/>
        <w:numPr>
          <w:ilvl w:val="0"/>
          <w:numId w:val="0"/>
        </w:numPr>
        <w:spacing w:after="120" w:line="23" w:lineRule="atLeast"/>
        <w:ind w:left="1209" w:hanging="360"/>
        <w:jc w:val="both"/>
        <w:rPr>
          <w:szCs w:val="22"/>
        </w:rPr>
      </w:pPr>
    </w:p>
    <w:p w14:paraId="56A1B0C2" w14:textId="77777777" w:rsidR="00D93EF4" w:rsidRPr="0040075C" w:rsidRDefault="00D93E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CFF905F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435232CD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>Poskytovatel:</w:t>
      </w:r>
    </w:p>
    <w:p w14:paraId="4373B558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4900C6C3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3DD5FFDB" w14:textId="0E7848FF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Pr="00EC6DD8">
        <w:rPr>
          <w:rFonts w:ascii="Georgia" w:hAnsi="Georgia"/>
          <w:sz w:val="22"/>
          <w:szCs w:val="22"/>
        </w:rPr>
        <w:tab/>
        <w:t>V</w:t>
      </w:r>
      <w:r>
        <w:rPr>
          <w:rFonts w:ascii="Georgia" w:hAnsi="Georgia"/>
          <w:sz w:val="22"/>
          <w:szCs w:val="22"/>
        </w:rPr>
        <w:t> </w:t>
      </w:r>
      <w:r w:rsidR="00576BF7">
        <w:rPr>
          <w:rFonts w:ascii="Georgia" w:hAnsi="Georgia"/>
          <w:sz w:val="22"/>
          <w:szCs w:val="22"/>
        </w:rPr>
        <w:t>Praze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55C5464E" w14:textId="6E8B4132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0C26FE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CD97E1F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………………………………</w:t>
      </w:r>
    </w:p>
    <w:p w14:paraId="4EC8378A" w14:textId="608CE640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Česká centrála cestovního ruchu-CzechTourism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576BF7">
        <w:rPr>
          <w:rFonts w:ascii="Georgia" w:hAnsi="Georgia"/>
          <w:sz w:val="22"/>
          <w:szCs w:val="22"/>
        </w:rPr>
        <w:t>Petr Nový</w:t>
      </w:r>
    </w:p>
    <w:p w14:paraId="72077F86" w14:textId="37B84578" w:rsidR="004902F4" w:rsidRPr="00576BF7" w:rsidRDefault="004902F4" w:rsidP="004902F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František Reismüller</w:t>
      </w:r>
      <w:r w:rsidRPr="00EC6DD8">
        <w:rPr>
          <w:rFonts w:ascii="Georgia" w:hAnsi="Georgia"/>
          <w:sz w:val="22"/>
          <w:szCs w:val="22"/>
        </w:rPr>
        <w:t>, Ph.D.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="001A4302" w:rsidRPr="00576BF7">
        <w:rPr>
          <w:rFonts w:ascii="Georgia" w:hAnsi="Georgia"/>
          <w:sz w:val="22"/>
          <w:szCs w:val="22"/>
        </w:rPr>
        <w:t>zastoupená</w:t>
      </w:r>
    </w:p>
    <w:p w14:paraId="24B42214" w14:textId="6107AC20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576BF7">
        <w:rPr>
          <w:rFonts w:ascii="Georgia" w:hAnsi="Georgia"/>
          <w:sz w:val="22"/>
          <w:szCs w:val="22"/>
        </w:rPr>
        <w:t>Ředitel ČCCR - CzechTourism</w:t>
      </w:r>
      <w:r w:rsidRPr="00576BF7">
        <w:rPr>
          <w:rFonts w:ascii="Georgia" w:hAnsi="Georgia"/>
          <w:sz w:val="22"/>
          <w:szCs w:val="22"/>
        </w:rPr>
        <w:tab/>
      </w:r>
      <w:r w:rsidRPr="00576BF7">
        <w:rPr>
          <w:rFonts w:ascii="Georgia" w:hAnsi="Georgia"/>
          <w:sz w:val="22"/>
          <w:szCs w:val="22"/>
        </w:rPr>
        <w:tab/>
      </w:r>
      <w:r w:rsidRPr="00576BF7">
        <w:rPr>
          <w:rFonts w:ascii="Georgia" w:hAnsi="Georgia"/>
          <w:sz w:val="22"/>
          <w:szCs w:val="22"/>
        </w:rPr>
        <w:tab/>
      </w:r>
      <w:r w:rsidRPr="00576BF7">
        <w:rPr>
          <w:rFonts w:ascii="Georgia" w:hAnsi="Georgia"/>
          <w:sz w:val="22"/>
          <w:szCs w:val="22"/>
        </w:rPr>
        <w:tab/>
      </w:r>
      <w:r w:rsidR="00576BF7">
        <w:rPr>
          <w:rFonts w:ascii="Georgia" w:hAnsi="Georgia"/>
          <w:sz w:val="22"/>
          <w:szCs w:val="22"/>
        </w:rPr>
        <w:t>jednatel</w:t>
      </w:r>
    </w:p>
    <w:p w14:paraId="2D8C3069" w14:textId="77777777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7629E922" w14:textId="77777777" w:rsidR="004902F4" w:rsidRDefault="004902F4" w:rsidP="004902F4">
      <w:pPr>
        <w:widowControl w:val="0"/>
        <w:spacing w:after="0" w:line="23" w:lineRule="atLeast"/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>
        <w:tab/>
      </w:r>
      <w:r>
        <w:tab/>
      </w:r>
    </w:p>
    <w:p w14:paraId="38272BAD" w14:textId="77777777" w:rsidR="00D20B2A" w:rsidRDefault="00D20B2A"/>
    <w:p w14:paraId="67475533" w14:textId="77777777" w:rsidR="00D93EF4" w:rsidRDefault="00D93EF4"/>
    <w:p w14:paraId="59F5220F" w14:textId="23E2BF48" w:rsidR="00D93EF4" w:rsidRDefault="00D93EF4" w:rsidP="00D93EF4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Příloha č 1 Grafické rozvržení stánku </w:t>
      </w:r>
    </w:p>
    <w:p w14:paraId="044E0BDE" w14:textId="46E0369D" w:rsidR="00D93EF4" w:rsidRDefault="00D93EF4" w:rsidP="00D93EF4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Příloha č. 2 Kalkulace veletržní ceny expozice</w:t>
      </w:r>
    </w:p>
    <w:p w14:paraId="289EA3D7" w14:textId="229C0133" w:rsidR="00D93EF4" w:rsidRDefault="00D93EF4">
      <w:pPr>
        <w:spacing w:after="160" w:line="259" w:lineRule="auto"/>
        <w:ind w:firstLine="0"/>
        <w:jc w:val="left"/>
      </w:pPr>
      <w:r>
        <w:br w:type="page"/>
      </w:r>
    </w:p>
    <w:p w14:paraId="337E0137" w14:textId="76E2E1FC" w:rsidR="00813942" w:rsidRDefault="00813942" w:rsidP="00D93EF4"/>
    <w:p w14:paraId="2A9CCCF7" w14:textId="77777777" w:rsidR="00576BF7" w:rsidRDefault="00576BF7" w:rsidP="00576BF7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Příloha č 1 Grafické rozvržení stánku </w:t>
      </w:r>
    </w:p>
    <w:p w14:paraId="42CF68CC" w14:textId="77777777" w:rsidR="00813942" w:rsidRDefault="00813942" w:rsidP="00576BF7">
      <w:pPr>
        <w:ind w:firstLine="0"/>
      </w:pPr>
    </w:p>
    <w:p w14:paraId="0B9C03C0" w14:textId="77777777" w:rsidR="00813942" w:rsidRDefault="00813942" w:rsidP="00D93EF4"/>
    <w:p w14:paraId="2BF9B9EA" w14:textId="3C847439" w:rsidR="00813942" w:rsidRDefault="00576BF7" w:rsidP="00D93EF4">
      <w:r w:rsidRPr="00576BF7">
        <w:rPr>
          <w:noProof/>
        </w:rPr>
        <w:drawing>
          <wp:inline distT="0" distB="0" distL="0" distR="0" wp14:anchorId="406B92BD" wp14:editId="79E922F1">
            <wp:extent cx="4982270" cy="5649113"/>
            <wp:effectExtent l="0" t="0" r="8890" b="8890"/>
            <wp:docPr id="34670228" name="Grafik 1" descr="Ein Bild, das Screenshot, Elektronik, Tex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0228" name="Grafik 1" descr="Ein Bild, das Screenshot, Elektronik, Text, Diagramm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56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4369" w14:textId="77777777" w:rsidR="00813942" w:rsidRDefault="00813942" w:rsidP="00D93EF4"/>
    <w:p w14:paraId="5E2AE124" w14:textId="77777777" w:rsidR="00813942" w:rsidRDefault="00813942" w:rsidP="00D93EF4"/>
    <w:p w14:paraId="211C0662" w14:textId="77777777" w:rsidR="00813942" w:rsidRDefault="00813942" w:rsidP="00D93EF4"/>
    <w:p w14:paraId="32620D0E" w14:textId="77777777" w:rsidR="00813942" w:rsidRDefault="00813942" w:rsidP="00D93EF4"/>
    <w:p w14:paraId="49931DA3" w14:textId="77777777" w:rsidR="00813942" w:rsidRDefault="00813942" w:rsidP="00D93EF4"/>
    <w:p w14:paraId="03B27EE6" w14:textId="77777777" w:rsidR="00813942" w:rsidRDefault="00813942" w:rsidP="00D93EF4"/>
    <w:p w14:paraId="2E303563" w14:textId="77777777" w:rsidR="00813942" w:rsidRDefault="00813942" w:rsidP="00D93EF4"/>
    <w:p w14:paraId="73B67CF5" w14:textId="77777777" w:rsidR="00813942" w:rsidRDefault="00813942" w:rsidP="00D93EF4"/>
    <w:p w14:paraId="72F3F316" w14:textId="77777777" w:rsidR="00813942" w:rsidRDefault="00813942" w:rsidP="00D93EF4"/>
    <w:p w14:paraId="04471631" w14:textId="77777777" w:rsidR="00813942" w:rsidRDefault="00813942" w:rsidP="00D93EF4"/>
    <w:p w14:paraId="120F2EC0" w14:textId="77777777" w:rsidR="00576BF7" w:rsidRDefault="00576BF7" w:rsidP="00576BF7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Příloha č. 2 Kalkulace veletržní ceny expozice</w:t>
      </w:r>
    </w:p>
    <w:p w14:paraId="16AC67BF" w14:textId="77777777" w:rsidR="00813942" w:rsidRDefault="00813942" w:rsidP="00576BF7">
      <w:pPr>
        <w:ind w:firstLine="0"/>
      </w:pPr>
    </w:p>
    <w:p w14:paraId="55E6C509" w14:textId="29F427ED" w:rsidR="00D93EF4" w:rsidRDefault="008D5B35" w:rsidP="00D93EF4">
      <w:r w:rsidRPr="008D5B35">
        <w:rPr>
          <w:noProof/>
        </w:rPr>
        <w:drawing>
          <wp:inline distT="0" distB="0" distL="0" distR="0" wp14:anchorId="23630576" wp14:editId="7554B424">
            <wp:extent cx="5759450" cy="5253355"/>
            <wp:effectExtent l="0" t="0" r="0" b="4445"/>
            <wp:docPr id="100666166" name="Grafik 1" descr="Ein Bild, das Text, Screenshot, Zahl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6166" name="Grafik 1" descr="Ein Bild, das Text, Screenshot, Zahl, parallel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84365" w14:textId="044C8D22" w:rsidR="00813942" w:rsidRDefault="00813942" w:rsidP="00D93EF4">
      <w:r w:rsidRPr="00813942">
        <w:rPr>
          <w:noProof/>
        </w:rPr>
        <w:lastRenderedPageBreak/>
        <w:drawing>
          <wp:inline distT="0" distB="0" distL="0" distR="0" wp14:anchorId="07CF170A" wp14:editId="7A74FA70">
            <wp:extent cx="5759450" cy="3754120"/>
            <wp:effectExtent l="0" t="0" r="0" b="0"/>
            <wp:docPr id="1188630943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30943" name="Grafik 1" descr="Ein Bild, das Text, Screenshot, Zahl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942" w:rsidSect="004902F4">
      <w:headerReference w:type="default" r:id="rId13"/>
      <w:footerReference w:type="default" r:id="rId14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502E" w14:textId="77777777" w:rsidR="009E6313" w:rsidRDefault="009E6313">
      <w:pPr>
        <w:spacing w:after="0" w:line="240" w:lineRule="auto"/>
      </w:pPr>
      <w:r>
        <w:separator/>
      </w:r>
    </w:p>
  </w:endnote>
  <w:endnote w:type="continuationSeparator" w:id="0">
    <w:p w14:paraId="3A2E834B" w14:textId="77777777" w:rsidR="009E6313" w:rsidRDefault="009E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FDF09" w14:textId="77777777" w:rsidR="009E6313" w:rsidRDefault="009E6313">
      <w:pPr>
        <w:spacing w:after="0" w:line="240" w:lineRule="auto"/>
      </w:pPr>
      <w:r>
        <w:separator/>
      </w:r>
    </w:p>
  </w:footnote>
  <w:footnote w:type="continuationSeparator" w:id="0">
    <w:p w14:paraId="23A19C9E" w14:textId="77777777" w:rsidR="009E6313" w:rsidRDefault="009E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2E5D0BE7" w14:textId="77777777" w:rsidR="004902F4" w:rsidRPr="006C7931" w:rsidRDefault="004902F4" w:rsidP="00BF388D">
    <w:pPr>
      <w:pStyle w:val="DocumentTypeCzechTourism"/>
    </w:pPr>
    <w:r>
      <w:t>Dodatek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8"/>
  </w:num>
  <w:num w:numId="2" w16cid:durableId="1925725434">
    <w:abstractNumId w:val="0"/>
  </w:num>
  <w:num w:numId="3" w16cid:durableId="475803700">
    <w:abstractNumId w:val="7"/>
  </w:num>
  <w:num w:numId="4" w16cid:durableId="1511682212">
    <w:abstractNumId w:val="3"/>
  </w:num>
  <w:num w:numId="5" w16cid:durableId="350303137">
    <w:abstractNumId w:val="9"/>
  </w:num>
  <w:num w:numId="6" w16cid:durableId="1465198791">
    <w:abstractNumId w:val="5"/>
  </w:num>
  <w:num w:numId="7" w16cid:durableId="524053126">
    <w:abstractNumId w:val="1"/>
  </w:num>
  <w:num w:numId="8" w16cid:durableId="1801998636">
    <w:abstractNumId w:val="4"/>
  </w:num>
  <w:num w:numId="9" w16cid:durableId="1327242705">
    <w:abstractNumId w:val="2"/>
  </w:num>
  <w:num w:numId="10" w16cid:durableId="354304634">
    <w:abstractNumId w:val="10"/>
  </w:num>
  <w:num w:numId="11" w16cid:durableId="2138840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4441A"/>
    <w:rsid w:val="00082216"/>
    <w:rsid w:val="000A4815"/>
    <w:rsid w:val="000D3644"/>
    <w:rsid w:val="0011266A"/>
    <w:rsid w:val="00160C0C"/>
    <w:rsid w:val="001945F1"/>
    <w:rsid w:val="001A4302"/>
    <w:rsid w:val="001D6057"/>
    <w:rsid w:val="00247422"/>
    <w:rsid w:val="00256E31"/>
    <w:rsid w:val="00281125"/>
    <w:rsid w:val="00282B1F"/>
    <w:rsid w:val="002E3B12"/>
    <w:rsid w:val="003F52E8"/>
    <w:rsid w:val="00454FDC"/>
    <w:rsid w:val="004902F4"/>
    <w:rsid w:val="004A3F57"/>
    <w:rsid w:val="00563D83"/>
    <w:rsid w:val="00576BF7"/>
    <w:rsid w:val="006D6C4F"/>
    <w:rsid w:val="00707510"/>
    <w:rsid w:val="00765025"/>
    <w:rsid w:val="00780E12"/>
    <w:rsid w:val="0078501E"/>
    <w:rsid w:val="007C7073"/>
    <w:rsid w:val="00813942"/>
    <w:rsid w:val="00825F59"/>
    <w:rsid w:val="0083740B"/>
    <w:rsid w:val="008962F9"/>
    <w:rsid w:val="008D03CA"/>
    <w:rsid w:val="008D5B35"/>
    <w:rsid w:val="008F3B6A"/>
    <w:rsid w:val="00920399"/>
    <w:rsid w:val="00957050"/>
    <w:rsid w:val="00967646"/>
    <w:rsid w:val="009B347F"/>
    <w:rsid w:val="009B52E1"/>
    <w:rsid w:val="009E6313"/>
    <w:rsid w:val="00A168A9"/>
    <w:rsid w:val="00A67007"/>
    <w:rsid w:val="00A91479"/>
    <w:rsid w:val="00B32A20"/>
    <w:rsid w:val="00B41E8B"/>
    <w:rsid w:val="00BA3285"/>
    <w:rsid w:val="00BA6893"/>
    <w:rsid w:val="00C01DA4"/>
    <w:rsid w:val="00C6272E"/>
    <w:rsid w:val="00CC5CC5"/>
    <w:rsid w:val="00D20B2A"/>
    <w:rsid w:val="00D93EF4"/>
    <w:rsid w:val="00DE29F9"/>
    <w:rsid w:val="00E32728"/>
    <w:rsid w:val="00EB572F"/>
    <w:rsid w:val="00EC5972"/>
    <w:rsid w:val="00EF4B92"/>
    <w:rsid w:val="00FB0DAB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aliases w:val="Normal (Web) (Czech Tourism)"/>
    <w:basedOn w:val="Normln"/>
    <w:uiPriority w:val="99"/>
    <w:unhideWhenUsed/>
    <w:qFormat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6" ma:contentTypeDescription="Vytvoří nový dokument" ma:contentTypeScope="" ma:versionID="eb172c55afe051f24af1434cd1dffb27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fbd9a9188d4e863cd271c40e9ba67c1b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590CD-A58F-4688-9A79-D178D7F9876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2.xml><?xml version="1.0" encoding="utf-8"?>
<ds:datastoreItem xmlns:ds="http://schemas.openxmlformats.org/officeDocument/2006/customXml" ds:itemID="{2DB19D39-60FA-4243-BFD7-5AED53E25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B34D1-2A4D-4BB1-946D-15E622CDD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503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10</cp:revision>
  <dcterms:created xsi:type="dcterms:W3CDTF">2025-01-22T15:34:00Z</dcterms:created>
  <dcterms:modified xsi:type="dcterms:W3CDTF">2025-02-18T11:31:00Z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