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75DFAFE9" w:rsidR="00C8733C" w:rsidRPr="00662049"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A30F6C">
        <w:rPr>
          <w:rFonts w:ascii="Arial" w:hAnsi="Arial" w:cs="Arial"/>
        </w:rPr>
        <w:t>0029/25</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19E3C87A"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004EF7">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7B897540" w14:textId="4C612504" w:rsidR="00004EF7" w:rsidRDefault="00004EF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7C73B3B4" w:rsidR="00C8733C" w:rsidRPr="00662049" w:rsidRDefault="000F4AE8">
            <w:pPr>
              <w:pStyle w:val="text"/>
              <w:rPr>
                <w:rFonts w:ascii="Arial" w:hAnsi="Arial" w:cs="Arial"/>
              </w:rPr>
            </w:pPr>
            <w:r>
              <w:rPr>
                <w:rFonts w:ascii="Arial" w:hAnsi="Arial" w:cs="Arial"/>
              </w:rPr>
              <w:t>NAVYMONT</w:t>
            </w:r>
            <w:r w:rsidR="00777732">
              <w:rPr>
                <w:rFonts w:ascii="Arial" w:hAnsi="Arial" w:cs="Arial"/>
              </w:rPr>
              <w:t>,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7E656BD4" w:rsidR="00C8733C" w:rsidRPr="00662049" w:rsidRDefault="000F4AE8">
            <w:pPr>
              <w:pStyle w:val="text"/>
              <w:rPr>
                <w:rFonts w:ascii="Arial" w:hAnsi="Arial" w:cs="Arial"/>
              </w:rPr>
            </w:pPr>
            <w:r w:rsidRPr="000F4AE8">
              <w:rPr>
                <w:rFonts w:ascii="Arial" w:hAnsi="Arial" w:cs="Arial"/>
              </w:rPr>
              <w:t>Masarykova 404/20, Blansko 678 01</w:t>
            </w:r>
          </w:p>
        </w:tc>
      </w:tr>
      <w:tr w:rsidR="00C8733C" w:rsidRPr="00662049" w14:paraId="1B697C88" w14:textId="77777777" w:rsidTr="00C8733C">
        <w:tc>
          <w:tcPr>
            <w:tcW w:w="8754" w:type="dxa"/>
            <w:gridSpan w:val="2"/>
            <w:hideMark/>
          </w:tcPr>
          <w:p w14:paraId="0A7090A3" w14:textId="1606D9EF" w:rsidR="00C8733C" w:rsidRPr="00662049" w:rsidRDefault="00C8733C" w:rsidP="000F4AE8">
            <w:pPr>
              <w:pStyle w:val="text"/>
              <w:rPr>
                <w:rFonts w:ascii="Arial" w:hAnsi="Arial" w:cs="Arial"/>
              </w:rPr>
            </w:pPr>
            <w:r w:rsidRPr="00662049">
              <w:rPr>
                <w:rFonts w:ascii="Arial" w:hAnsi="Arial" w:cs="Arial"/>
              </w:rPr>
              <w:t xml:space="preserve">Subjekt je zapsán </w:t>
            </w:r>
            <w:r w:rsidRPr="00662049">
              <w:rPr>
                <w:rFonts w:ascii="Arial" w:hAnsi="Arial" w:cs="Arial"/>
                <w:noProof/>
              </w:rPr>
              <w:t>v obchodním rejstříku u Krajského soudu v </w:t>
            </w:r>
            <w:r w:rsidR="00777732">
              <w:rPr>
                <w:rFonts w:ascii="Arial" w:hAnsi="Arial" w:cs="Arial"/>
                <w:noProof/>
              </w:rPr>
              <w:t>Brně</w:t>
            </w:r>
            <w:r w:rsidRPr="00662049">
              <w:rPr>
                <w:rFonts w:ascii="Arial" w:hAnsi="Arial" w:cs="Arial"/>
                <w:noProof/>
              </w:rPr>
              <w:t xml:space="preserve">, oddíl </w:t>
            </w:r>
            <w:r w:rsidR="00047CFE" w:rsidRPr="00662049">
              <w:rPr>
                <w:rFonts w:ascii="Arial" w:hAnsi="Arial" w:cs="Arial"/>
                <w:noProof/>
              </w:rPr>
              <w:t>C</w:t>
            </w:r>
            <w:r w:rsidRPr="00662049">
              <w:rPr>
                <w:rFonts w:ascii="Arial" w:hAnsi="Arial" w:cs="Arial"/>
                <w:noProof/>
              </w:rPr>
              <w:t>, vložka</w:t>
            </w:r>
            <w:r w:rsidR="00047CFE" w:rsidRPr="00662049">
              <w:rPr>
                <w:rFonts w:ascii="Arial" w:hAnsi="Arial" w:cs="Arial"/>
                <w:noProof/>
              </w:rPr>
              <w:t xml:space="preserve"> </w:t>
            </w:r>
            <w:r w:rsidR="000F4AE8">
              <w:rPr>
                <w:rFonts w:ascii="Arial" w:hAnsi="Arial" w:cs="Arial"/>
                <w:noProof/>
              </w:rPr>
              <w:t>126886</w:t>
            </w:r>
            <w:r w:rsidRPr="00662049">
              <w:rPr>
                <w:rFonts w:ascii="Arial" w:hAnsi="Arial" w:cs="Arial"/>
                <w:noProof/>
              </w:rPr>
              <w:t xml:space="preserve"> </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01BFF047" w:rsidR="00C8733C" w:rsidRPr="00662049" w:rsidRDefault="000F4AE8">
            <w:pPr>
              <w:pStyle w:val="text"/>
              <w:rPr>
                <w:rFonts w:ascii="Arial" w:hAnsi="Arial" w:cs="Arial"/>
              </w:rPr>
            </w:pPr>
            <w:r>
              <w:rPr>
                <w:rFonts w:ascii="Arial" w:hAnsi="Arial" w:cs="Arial"/>
              </w:rPr>
              <w:t>14154</w:t>
            </w:r>
            <w:r w:rsidRPr="000F4AE8">
              <w:rPr>
                <w:rFonts w:ascii="Arial" w:hAnsi="Arial" w:cs="Arial"/>
              </w:rPr>
              <w:t>871</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3EC1DE57" w:rsidR="00C8733C" w:rsidRPr="00662049" w:rsidRDefault="00047CFE" w:rsidP="00777732">
            <w:pPr>
              <w:pStyle w:val="text"/>
              <w:rPr>
                <w:rFonts w:ascii="Arial" w:hAnsi="Arial" w:cs="Arial"/>
              </w:rPr>
            </w:pPr>
            <w:r w:rsidRPr="00662049">
              <w:rPr>
                <w:rFonts w:ascii="Arial" w:hAnsi="Arial" w:cs="Arial"/>
              </w:rPr>
              <w:t>CZ</w:t>
            </w:r>
            <w:r w:rsidR="000F4AE8">
              <w:rPr>
                <w:rFonts w:ascii="Arial" w:hAnsi="Arial" w:cs="Arial"/>
              </w:rPr>
              <w:t>14154</w:t>
            </w:r>
            <w:r w:rsidR="000F4AE8" w:rsidRPr="000F4AE8">
              <w:rPr>
                <w:rFonts w:ascii="Arial" w:hAnsi="Arial" w:cs="Arial"/>
              </w:rPr>
              <w:t>871</w:t>
            </w:r>
          </w:p>
        </w:tc>
      </w:tr>
      <w:tr w:rsidR="00C8733C" w:rsidRPr="00662049" w14:paraId="4B9B2000" w14:textId="77777777" w:rsidTr="00C8733C">
        <w:tc>
          <w:tcPr>
            <w:tcW w:w="8754" w:type="dxa"/>
            <w:gridSpan w:val="2"/>
            <w:hideMark/>
          </w:tcPr>
          <w:p w14:paraId="16D02EAB" w14:textId="3CEFD7B9" w:rsidR="00C8733C" w:rsidRPr="00662049" w:rsidRDefault="00C8733C" w:rsidP="00414BF1">
            <w:pPr>
              <w:pStyle w:val="text"/>
              <w:rPr>
                <w:rFonts w:ascii="Arial" w:hAnsi="Arial" w:cs="Arial"/>
                <w:noProof/>
              </w:rPr>
            </w:pPr>
            <w:r w:rsidRPr="00662049">
              <w:rPr>
                <w:rFonts w:ascii="Arial" w:hAnsi="Arial" w:cs="Arial"/>
              </w:rPr>
              <w:t xml:space="preserve">Zastoupený: </w:t>
            </w:r>
            <w:r w:rsidR="00414BF1">
              <w:rPr>
                <w:rFonts w:ascii="Arial" w:hAnsi="Arial" w:cs="Arial"/>
              </w:rPr>
              <w:t>Ing. Vladimírem Záhorským</w:t>
            </w:r>
            <w:r w:rsidR="00777732">
              <w:rPr>
                <w:rFonts w:ascii="Arial" w:hAnsi="Arial" w:cs="Arial"/>
              </w:rPr>
              <w:t>, jednatelem</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724AC46C" w14:textId="14B24204" w:rsidR="00004EF7" w:rsidRPr="00004EF7" w:rsidRDefault="00004EF7" w:rsidP="00004EF7">
      <w:pPr>
        <w:pStyle w:val="22uroven"/>
        <w:numPr>
          <w:ilvl w:val="0"/>
          <w:numId w:val="0"/>
        </w:numPr>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283354F3" w:rsidR="00C8733C" w:rsidRPr="00662049" w:rsidRDefault="00C8733C" w:rsidP="00C8733C">
      <w:pPr>
        <w:pStyle w:val="22uroven"/>
        <w:numPr>
          <w:ilvl w:val="1"/>
          <w:numId w:val="26"/>
        </w:numPr>
        <w:ind w:left="567" w:hanging="567"/>
        <w:rPr>
          <w:rFonts w:cs="Arial"/>
        </w:rPr>
      </w:pPr>
      <w:r w:rsidRPr="00662049">
        <w:rPr>
          <w:rFonts w:cs="Arial"/>
        </w:rPr>
        <w:t xml:space="preserve">Smlouva je uzavřena na základě nabídky zhotovitele ze dne </w:t>
      </w:r>
      <w:r w:rsidR="00DE3A71">
        <w:rPr>
          <w:rFonts w:cs="Arial"/>
        </w:rPr>
        <w:t>3. 2. 2025</w:t>
      </w:r>
      <w:r w:rsidR="00357D85" w:rsidRPr="00662049">
        <w:rPr>
          <w:rFonts w:cs="Arial"/>
        </w:rPr>
        <w:t xml:space="preserve"> </w:t>
      </w:r>
      <w:r w:rsidRPr="00662049">
        <w:rPr>
          <w:rFonts w:cs="Arial"/>
        </w:rPr>
        <w:t xml:space="preserve">a výzvy k podání nabídek ze dne </w:t>
      </w:r>
      <w:r w:rsidR="00DE3A71">
        <w:rPr>
          <w:rFonts w:cs="Arial"/>
        </w:rPr>
        <w:t>20. 1. 2025</w:t>
      </w:r>
      <w:r w:rsidRPr="00662049">
        <w:rPr>
          <w:rFonts w:cs="Arial"/>
        </w:rPr>
        <w:t>, č. SML/</w:t>
      </w:r>
      <w:r w:rsidR="00DE3A71">
        <w:rPr>
          <w:rFonts w:cs="Arial"/>
        </w:rPr>
        <w:t>0029</w:t>
      </w:r>
      <w:r w:rsidRPr="00662049">
        <w:rPr>
          <w:rFonts w:cs="Arial"/>
        </w:rPr>
        <w:t>/</w:t>
      </w:r>
      <w:r w:rsidR="00DE3A71">
        <w:rPr>
          <w:rFonts w:cs="Arial"/>
        </w:rPr>
        <w:t>25</w:t>
      </w:r>
      <w:r w:rsidRPr="00662049">
        <w:rPr>
          <w:rFonts w:cs="Arial"/>
        </w:rPr>
        <w:t>.</w:t>
      </w:r>
    </w:p>
    <w:p w14:paraId="77EC7EE3" w14:textId="77777777" w:rsidR="00C8733C" w:rsidRPr="00662049" w:rsidRDefault="00C8733C" w:rsidP="00C8733C">
      <w:pPr>
        <w:pStyle w:val="11uroven"/>
        <w:numPr>
          <w:ilvl w:val="0"/>
          <w:numId w:val="26"/>
        </w:numPr>
        <w:rPr>
          <w:rFonts w:cs="Arial"/>
        </w:rPr>
      </w:pPr>
      <w:r w:rsidRPr="00662049">
        <w:rPr>
          <w:rFonts w:cs="Arial"/>
        </w:rPr>
        <w:t>Předmět smlouvy</w:t>
      </w:r>
    </w:p>
    <w:p w14:paraId="36DF602A" w14:textId="4E7E96FD" w:rsidR="000F4096" w:rsidRDefault="00C8733C" w:rsidP="000F4096">
      <w:pPr>
        <w:pStyle w:val="22uroven"/>
        <w:ind w:left="567" w:hanging="567"/>
        <w:rPr>
          <w:rFonts w:cs="Arial"/>
        </w:rPr>
      </w:pPr>
      <w:r w:rsidRPr="00662049">
        <w:rPr>
          <w:rFonts w:cs="Arial"/>
        </w:rPr>
        <w:t>Zhotovitel se zavazuje osobně provést na svůj náklad a nebezpečí pro</w:t>
      </w:r>
      <w:r w:rsidR="0087348E" w:rsidRPr="00662049">
        <w:rPr>
          <w:rFonts w:cs="Arial"/>
        </w:rPr>
        <w:t xml:space="preserve"> objednatele dílo spočívající v </w:t>
      </w:r>
      <w:r w:rsidR="000F4096">
        <w:rPr>
          <w:rFonts w:cs="Arial"/>
        </w:rPr>
        <w:t>opravě sušárny kalu na Čistírně odpadních vod Brno-Modřice (dále jen „ČOV Brno-Modřice“) v následujícím rozsahu:</w:t>
      </w:r>
    </w:p>
    <w:p w14:paraId="32790D7D" w14:textId="7A904694" w:rsidR="000F4096" w:rsidRPr="000C0EE3" w:rsidRDefault="000F4096" w:rsidP="000F4096">
      <w:pPr>
        <w:pStyle w:val="Odstavecseseznamem"/>
        <w:numPr>
          <w:ilvl w:val="0"/>
          <w:numId w:val="31"/>
        </w:numPr>
        <w:spacing w:after="160" w:line="259" w:lineRule="auto"/>
        <w:contextualSpacing/>
        <w:jc w:val="left"/>
        <w:rPr>
          <w:rFonts w:ascii="Arial" w:hAnsi="Arial" w:cs="Arial"/>
          <w:sz w:val="20"/>
        </w:rPr>
      </w:pPr>
      <w:r>
        <w:rPr>
          <w:rFonts w:ascii="Arial" w:hAnsi="Arial" w:cs="Arial"/>
          <w:sz w:val="20"/>
        </w:rPr>
        <w:t>m</w:t>
      </w:r>
      <w:r w:rsidRPr="00FC1212">
        <w:rPr>
          <w:rFonts w:ascii="Arial" w:hAnsi="Arial" w:cs="Arial"/>
          <w:sz w:val="20"/>
        </w:rPr>
        <w:t xml:space="preserve">ontáž nových </w:t>
      </w:r>
      <w:r w:rsidRPr="000C0EE3">
        <w:rPr>
          <w:rFonts w:ascii="Arial" w:hAnsi="Arial" w:cs="Arial"/>
          <w:sz w:val="20"/>
        </w:rPr>
        <w:t xml:space="preserve">provazců ucpávek (4 ks provazců dodá </w:t>
      </w:r>
      <w:r w:rsidR="00492C7C">
        <w:rPr>
          <w:rFonts w:ascii="Arial" w:hAnsi="Arial" w:cs="Arial"/>
          <w:sz w:val="20"/>
        </w:rPr>
        <w:t>objednatel</w:t>
      </w:r>
      <w:r w:rsidRPr="000C0EE3">
        <w:rPr>
          <w:rFonts w:ascii="Arial" w:hAnsi="Arial" w:cs="Arial"/>
          <w:sz w:val="20"/>
        </w:rPr>
        <w:t>),</w:t>
      </w:r>
    </w:p>
    <w:p w14:paraId="69075344"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0C0EE3">
        <w:rPr>
          <w:rFonts w:ascii="Arial" w:hAnsi="Arial" w:cs="Arial"/>
          <w:sz w:val="20"/>
        </w:rPr>
        <w:t>oprava 2 ks lopatek č. 1 na</w:t>
      </w:r>
      <w:r>
        <w:rPr>
          <w:rFonts w:ascii="Arial" w:hAnsi="Arial" w:cs="Arial"/>
          <w:sz w:val="20"/>
        </w:rPr>
        <w:t xml:space="preserve"> obou hřídelích převařením,</w:t>
      </w:r>
    </w:p>
    <w:p w14:paraId="59125641"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provedení drobných oprav vyvařením lopatek na hnací a</w:t>
      </w:r>
      <w:r>
        <w:rPr>
          <w:rFonts w:ascii="Arial" w:hAnsi="Arial" w:cs="Arial"/>
          <w:sz w:val="20"/>
        </w:rPr>
        <w:t xml:space="preserve"> hnané hřídeli - 38 ks lopatek,</w:t>
      </w:r>
    </w:p>
    <w:p w14:paraId="2F83F3CD"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lastRenderedPageBreak/>
        <w:t>výměna nosů na lopatkách na hnan</w:t>
      </w:r>
      <w:r>
        <w:rPr>
          <w:rFonts w:ascii="Arial" w:hAnsi="Arial" w:cs="Arial"/>
          <w:sz w:val="20"/>
        </w:rPr>
        <w:t>é a hnací hřídeli - celkem 42 ks,</w:t>
      </w:r>
    </w:p>
    <w:p w14:paraId="742CC06F"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výměna míchacích destiček na lopatkách na hnac</w:t>
      </w:r>
      <w:r>
        <w:rPr>
          <w:rFonts w:ascii="Arial" w:hAnsi="Arial" w:cs="Arial"/>
          <w:sz w:val="20"/>
        </w:rPr>
        <w:t>í a hnané hřídeli - celkem 42 ks,</w:t>
      </w:r>
    </w:p>
    <w:p w14:paraId="73DF4EAB"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výměna 1 ks chladícího žlabu - demontáž a z</w:t>
      </w:r>
      <w:r>
        <w:rPr>
          <w:rFonts w:ascii="Arial" w:hAnsi="Arial" w:cs="Arial"/>
          <w:sz w:val="20"/>
        </w:rPr>
        <w:t>pětná montáž,</w:t>
      </w:r>
    </w:p>
    <w:p w14:paraId="58D9E923"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oprava 1 ks</w:t>
      </w:r>
      <w:r>
        <w:rPr>
          <w:rFonts w:ascii="Arial" w:hAnsi="Arial" w:cs="Arial"/>
          <w:sz w:val="20"/>
        </w:rPr>
        <w:t xml:space="preserve"> demontovaného chladícího žlabu,</w:t>
      </w:r>
    </w:p>
    <w:p w14:paraId="3AD1B6A9" w14:textId="171D5F05"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demontáž a zpětná montáž rozvodovky, naplnění vazelín</w:t>
      </w:r>
      <w:r>
        <w:rPr>
          <w:rFonts w:ascii="Arial" w:hAnsi="Arial" w:cs="Arial"/>
          <w:sz w:val="20"/>
        </w:rPr>
        <w:t xml:space="preserve">ou (vazelínu dodá </w:t>
      </w:r>
      <w:r w:rsidR="00492C7C">
        <w:rPr>
          <w:rFonts w:ascii="Arial" w:hAnsi="Arial" w:cs="Arial"/>
          <w:sz w:val="20"/>
        </w:rPr>
        <w:t>objednatel</w:t>
      </w:r>
      <w:r>
        <w:rPr>
          <w:rFonts w:ascii="Arial" w:hAnsi="Arial" w:cs="Arial"/>
          <w:sz w:val="20"/>
        </w:rPr>
        <w:t>),</w:t>
      </w:r>
    </w:p>
    <w:p w14:paraId="1A594E29" w14:textId="4FD02103"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kontrola ucpávek na chladících žlabech (pří</w:t>
      </w:r>
      <w:r>
        <w:rPr>
          <w:rFonts w:ascii="Arial" w:hAnsi="Arial" w:cs="Arial"/>
          <w:sz w:val="20"/>
        </w:rPr>
        <w:t xml:space="preserve">padné provazce dodá </w:t>
      </w:r>
      <w:r w:rsidR="00492C7C">
        <w:rPr>
          <w:rFonts w:ascii="Arial" w:hAnsi="Arial" w:cs="Arial"/>
          <w:sz w:val="20"/>
        </w:rPr>
        <w:t>objednatel</w:t>
      </w:r>
      <w:r>
        <w:rPr>
          <w:rFonts w:ascii="Arial" w:hAnsi="Arial" w:cs="Arial"/>
          <w:sz w:val="20"/>
        </w:rPr>
        <w:t>),</w:t>
      </w:r>
    </w:p>
    <w:p w14:paraId="6F18296C"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 xml:space="preserve">kontrola náplně rozvodovky a převodovky </w:t>
      </w:r>
      <w:r>
        <w:rPr>
          <w:rFonts w:ascii="Arial" w:hAnsi="Arial" w:cs="Arial"/>
          <w:sz w:val="20"/>
        </w:rPr>
        <w:t>chladicího žlabu,</w:t>
      </w:r>
    </w:p>
    <w:p w14:paraId="0CFA0CB9"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oprav</w:t>
      </w:r>
      <w:r>
        <w:rPr>
          <w:rFonts w:ascii="Arial" w:hAnsi="Arial" w:cs="Arial"/>
          <w:sz w:val="20"/>
        </w:rPr>
        <w:t>a lopatky č. 2 na hnací hřídeli,</w:t>
      </w:r>
    </w:p>
    <w:p w14:paraId="6FC6CBAD"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demontáž hnané hřídele, u</w:t>
      </w:r>
      <w:r>
        <w:rPr>
          <w:rFonts w:ascii="Arial" w:hAnsi="Arial" w:cs="Arial"/>
          <w:sz w:val="20"/>
        </w:rPr>
        <w:t>ložení na podstavce vedle sušky,</w:t>
      </w:r>
    </w:p>
    <w:p w14:paraId="3880AE13"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Pr>
          <w:rFonts w:ascii="Arial" w:hAnsi="Arial" w:cs="Arial"/>
          <w:sz w:val="20"/>
        </w:rPr>
        <w:t>o</w:t>
      </w:r>
      <w:r w:rsidRPr="00FC1212">
        <w:rPr>
          <w:rFonts w:ascii="Arial" w:hAnsi="Arial" w:cs="Arial"/>
          <w:sz w:val="20"/>
        </w:rPr>
        <w:t xml:space="preserve">bnova nástřiků </w:t>
      </w:r>
      <w:proofErr w:type="spellStart"/>
      <w:r w:rsidRPr="00DD20BC">
        <w:rPr>
          <w:rFonts w:ascii="Arial" w:hAnsi="Arial" w:cs="Arial"/>
          <w:sz w:val="20"/>
        </w:rPr>
        <w:t>WCr</w:t>
      </w:r>
      <w:proofErr w:type="spellEnd"/>
      <w:r w:rsidRPr="00DD20BC">
        <w:rPr>
          <w:rFonts w:ascii="Arial" w:hAnsi="Arial" w:cs="Arial"/>
          <w:sz w:val="20"/>
        </w:rPr>
        <w:t xml:space="preserve"> u 26</w:t>
      </w:r>
      <w:r>
        <w:rPr>
          <w:rFonts w:ascii="Arial" w:hAnsi="Arial" w:cs="Arial"/>
          <w:sz w:val="20"/>
        </w:rPr>
        <w:t xml:space="preserve"> ks lopatek vč. hřídele,</w:t>
      </w:r>
    </w:p>
    <w:p w14:paraId="3BA2DD0E" w14:textId="77777777" w:rsidR="000F4096" w:rsidRPr="00FC1212"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zpětná montáž hnané hřídele do v</w:t>
      </w:r>
      <w:r>
        <w:rPr>
          <w:rFonts w:ascii="Arial" w:hAnsi="Arial" w:cs="Arial"/>
          <w:sz w:val="20"/>
        </w:rPr>
        <w:t>any sušky po provedení nástřiků,</w:t>
      </w:r>
    </w:p>
    <w:p w14:paraId="720726DE" w14:textId="77777777" w:rsidR="000F4096" w:rsidRDefault="000F4096" w:rsidP="000F4096">
      <w:pPr>
        <w:pStyle w:val="Odstavecseseznamem"/>
        <w:numPr>
          <w:ilvl w:val="0"/>
          <w:numId w:val="31"/>
        </w:numPr>
        <w:spacing w:after="160" w:line="259" w:lineRule="auto"/>
        <w:contextualSpacing/>
        <w:jc w:val="left"/>
        <w:rPr>
          <w:rFonts w:ascii="Arial" w:hAnsi="Arial" w:cs="Arial"/>
          <w:sz w:val="20"/>
        </w:rPr>
      </w:pPr>
      <w:r w:rsidRPr="00FC1212">
        <w:rPr>
          <w:rFonts w:ascii="Arial" w:hAnsi="Arial" w:cs="Arial"/>
          <w:sz w:val="20"/>
        </w:rPr>
        <w:t xml:space="preserve">měření tloušťky lopatek </w:t>
      </w:r>
      <w:r>
        <w:rPr>
          <w:rFonts w:ascii="Arial" w:hAnsi="Arial" w:cs="Arial"/>
          <w:sz w:val="20"/>
        </w:rPr>
        <w:t xml:space="preserve">- </w:t>
      </w:r>
      <w:r w:rsidRPr="00FC1212">
        <w:rPr>
          <w:rFonts w:ascii="Arial" w:hAnsi="Arial" w:cs="Arial"/>
          <w:sz w:val="20"/>
        </w:rPr>
        <w:t>2 ks</w:t>
      </w:r>
      <w:r>
        <w:rPr>
          <w:rFonts w:ascii="Arial" w:hAnsi="Arial" w:cs="Arial"/>
          <w:sz w:val="20"/>
        </w:rPr>
        <w:t>,</w:t>
      </w:r>
    </w:p>
    <w:p w14:paraId="176B091D" w14:textId="46A30525" w:rsidR="000F4096" w:rsidRPr="00EA7AB6" w:rsidRDefault="000F4096" w:rsidP="000F4096">
      <w:pPr>
        <w:pStyle w:val="Odstavecseseznamem"/>
        <w:numPr>
          <w:ilvl w:val="0"/>
          <w:numId w:val="31"/>
        </w:numPr>
        <w:rPr>
          <w:rFonts w:ascii="Arial" w:hAnsi="Arial" w:cs="Arial"/>
          <w:sz w:val="20"/>
        </w:rPr>
      </w:pPr>
      <w:r w:rsidRPr="00EA7AB6">
        <w:rPr>
          <w:rFonts w:ascii="Arial" w:hAnsi="Arial" w:cs="Arial"/>
          <w:sz w:val="20"/>
        </w:rPr>
        <w:t>montážní práce, příprava a úklid pracov</w:t>
      </w:r>
      <w:r>
        <w:rPr>
          <w:rFonts w:ascii="Arial" w:hAnsi="Arial" w:cs="Arial"/>
          <w:sz w:val="20"/>
        </w:rPr>
        <w:t>iště, dodání veškerého pomocného materiálu a doprava,</w:t>
      </w:r>
    </w:p>
    <w:p w14:paraId="54244523" w14:textId="440C3E45" w:rsidR="00DA29B5" w:rsidRPr="000F4096" w:rsidRDefault="000F4096" w:rsidP="000F4096">
      <w:pPr>
        <w:pStyle w:val="22uroven"/>
        <w:numPr>
          <w:ilvl w:val="0"/>
          <w:numId w:val="0"/>
        </w:numPr>
        <w:ind w:left="567"/>
        <w:rPr>
          <w:rFonts w:cs="Arial"/>
        </w:rPr>
      </w:pPr>
      <w:r w:rsidRPr="000F4096">
        <w:rPr>
          <w:rFonts w:cs="Arial"/>
        </w:rPr>
        <w:t xml:space="preserve"> </w:t>
      </w:r>
      <w:r w:rsidR="00DA29B5" w:rsidRPr="000F4096">
        <w:rPr>
          <w:rFonts w:cs="Arial"/>
        </w:rPr>
        <w:t>(dále jako „předmět smlouvy“ nebo „dílo“).</w:t>
      </w:r>
    </w:p>
    <w:p w14:paraId="61E06460" w14:textId="1509D016" w:rsidR="00C8733C" w:rsidRPr="008D787A" w:rsidRDefault="00C8733C" w:rsidP="008D787A">
      <w:pPr>
        <w:pStyle w:val="22uroven"/>
        <w:numPr>
          <w:ilvl w:val="1"/>
          <w:numId w:val="26"/>
        </w:numPr>
        <w:ind w:left="567" w:hanging="567"/>
        <w:rPr>
          <w:rFonts w:cs="Arial"/>
        </w:rPr>
      </w:pPr>
      <w:r w:rsidRPr="008D787A">
        <w:rPr>
          <w:rFonts w:cs="Arial"/>
        </w:rPr>
        <w:t>Objednatel se zavazuje toto dílo převzít a zaplatit sjednanou cenu.</w:t>
      </w:r>
    </w:p>
    <w:p w14:paraId="78779DAC" w14:textId="77777777" w:rsidR="00C8733C" w:rsidRPr="00662049" w:rsidRDefault="00C8733C" w:rsidP="00C8733C">
      <w:pPr>
        <w:pStyle w:val="22uroven"/>
        <w:numPr>
          <w:ilvl w:val="1"/>
          <w:numId w:val="26"/>
        </w:numPr>
        <w:ind w:left="567" w:hanging="567"/>
        <w:rPr>
          <w:rFonts w:cs="Arial"/>
        </w:rPr>
      </w:pPr>
      <w:r w:rsidRPr="00662049">
        <w:rPr>
          <w:rFonts w:cs="Arial"/>
        </w:rPr>
        <w:t>Objednatel se zavazuje poskytnout zhotoviteli součinnost nezbytnou k provedení díla.</w:t>
      </w:r>
    </w:p>
    <w:p w14:paraId="1FE8D7C8" w14:textId="77777777" w:rsidR="00C8733C" w:rsidRPr="00662049" w:rsidRDefault="00C8733C" w:rsidP="00C8733C">
      <w:pPr>
        <w:pStyle w:val="11uroven"/>
        <w:numPr>
          <w:ilvl w:val="0"/>
          <w:numId w:val="26"/>
        </w:numPr>
        <w:rPr>
          <w:rFonts w:cs="Arial"/>
        </w:rPr>
      </w:pPr>
      <w:r w:rsidRPr="00662049">
        <w:rPr>
          <w:rFonts w:cs="Arial"/>
        </w:rPr>
        <w:t>Doba plnění</w:t>
      </w:r>
    </w:p>
    <w:p w14:paraId="42AAD6B8" w14:textId="7BF0D59F" w:rsidR="00C8733C" w:rsidRPr="002D5686" w:rsidRDefault="00AF3104" w:rsidP="00C8733C">
      <w:pPr>
        <w:pStyle w:val="22uroven"/>
        <w:numPr>
          <w:ilvl w:val="1"/>
          <w:numId w:val="26"/>
        </w:numPr>
        <w:ind w:left="567" w:hanging="567"/>
        <w:rPr>
          <w:rFonts w:cs="Arial"/>
        </w:rPr>
      </w:pPr>
      <w:r>
        <w:rPr>
          <w:rFonts w:cs="Arial"/>
        </w:rPr>
        <w:t>Zhotovitel provede dílo a objednateli předá</w:t>
      </w:r>
      <w:r w:rsidR="006942BC" w:rsidRPr="002D5686">
        <w:rPr>
          <w:rFonts w:cs="Arial"/>
        </w:rPr>
        <w:t xml:space="preserve"> do </w:t>
      </w:r>
      <w:r w:rsidR="00F148BD">
        <w:rPr>
          <w:rFonts w:cs="Arial"/>
        </w:rPr>
        <w:t>30</w:t>
      </w:r>
      <w:r w:rsidR="006942BC" w:rsidRPr="002D5686">
        <w:rPr>
          <w:rFonts w:cs="Arial"/>
        </w:rPr>
        <w:t xml:space="preserve">. </w:t>
      </w:r>
      <w:r w:rsidR="00F148BD">
        <w:rPr>
          <w:rFonts w:cs="Arial"/>
        </w:rPr>
        <w:t>4. 2025</w:t>
      </w:r>
      <w:r w:rsidR="00C8733C" w:rsidRPr="002D5686">
        <w:rPr>
          <w:rFonts w:cs="Arial"/>
        </w:rPr>
        <w:t>.</w:t>
      </w:r>
    </w:p>
    <w:p w14:paraId="2EFC1A20" w14:textId="77777777" w:rsidR="00C8733C" w:rsidRPr="00662049" w:rsidRDefault="00C8733C" w:rsidP="00C8733C">
      <w:pPr>
        <w:pStyle w:val="11uroven"/>
        <w:numPr>
          <w:ilvl w:val="0"/>
          <w:numId w:val="26"/>
        </w:numPr>
        <w:rPr>
          <w:rFonts w:cs="Arial"/>
        </w:rPr>
      </w:pPr>
      <w:r w:rsidRPr="00662049">
        <w:rPr>
          <w:rFonts w:cs="Arial"/>
        </w:rPr>
        <w:t>Místo plnění, požadavky na provedení díla a jeho předání</w:t>
      </w:r>
    </w:p>
    <w:p w14:paraId="188309D4" w14:textId="7F897ABD" w:rsidR="00C8733C" w:rsidRPr="00874609" w:rsidRDefault="00C8733C" w:rsidP="00874609">
      <w:pPr>
        <w:pStyle w:val="22uroven"/>
        <w:numPr>
          <w:ilvl w:val="1"/>
          <w:numId w:val="26"/>
        </w:numPr>
        <w:ind w:left="567" w:hanging="567"/>
        <w:rPr>
          <w:rFonts w:cs="Arial"/>
        </w:rPr>
      </w:pPr>
      <w:r w:rsidRPr="00662049">
        <w:rPr>
          <w:rFonts w:cs="Arial"/>
        </w:rPr>
        <w:t>Místem plnění je ČOV Brno – Mořice, Chrlická 552, 664 42 Modřice</w:t>
      </w:r>
      <w:r w:rsidR="00874609">
        <w:rPr>
          <w:rFonts w:cs="Arial"/>
        </w:rPr>
        <w:t xml:space="preserve">, </w:t>
      </w:r>
      <w:proofErr w:type="spellStart"/>
      <w:proofErr w:type="gramStart"/>
      <w:r w:rsidR="00874609" w:rsidRPr="00874609">
        <w:rPr>
          <w:rFonts w:cs="Arial"/>
        </w:rPr>
        <w:t>p.č</w:t>
      </w:r>
      <w:proofErr w:type="spellEnd"/>
      <w:r w:rsidR="00874609" w:rsidRPr="00874609">
        <w:rPr>
          <w:rFonts w:cs="Arial"/>
        </w:rPr>
        <w:t>.</w:t>
      </w:r>
      <w:proofErr w:type="gramEnd"/>
      <w:r w:rsidR="00874609" w:rsidRPr="00874609">
        <w:rPr>
          <w:rFonts w:cs="Arial"/>
        </w:rPr>
        <w:t xml:space="preserve"> 1977/174 </w:t>
      </w:r>
      <w:proofErr w:type="spellStart"/>
      <w:r w:rsidR="00874609" w:rsidRPr="00874609">
        <w:rPr>
          <w:rFonts w:cs="Arial"/>
        </w:rPr>
        <w:t>k.ú</w:t>
      </w:r>
      <w:proofErr w:type="spellEnd"/>
      <w:r w:rsidR="00874609" w:rsidRPr="00874609">
        <w:rPr>
          <w:rFonts w:cs="Arial"/>
        </w:rPr>
        <w:t>. Modřice – hala sušárny kalu.</w:t>
      </w:r>
    </w:p>
    <w:p w14:paraId="761CD970" w14:textId="652D8154" w:rsidR="00C8733C" w:rsidRPr="00662049" w:rsidRDefault="00C8733C" w:rsidP="00C8733C">
      <w:pPr>
        <w:pStyle w:val="22uroven"/>
        <w:numPr>
          <w:ilvl w:val="1"/>
          <w:numId w:val="26"/>
        </w:numPr>
        <w:ind w:left="567" w:hanging="567"/>
        <w:rPr>
          <w:rFonts w:cs="Arial"/>
        </w:rPr>
      </w:pPr>
      <w:r w:rsidRPr="00662049">
        <w:rPr>
          <w:rFonts w:cs="Arial"/>
        </w:rPr>
        <w:t>Objednatel provede kontrolu provedení díla vždy ihned při předání</w:t>
      </w:r>
      <w:r w:rsidR="00BC6DC4" w:rsidRPr="00662049">
        <w:rPr>
          <w:rFonts w:cs="Arial"/>
        </w:rPr>
        <w:t xml:space="preserve"> plnění</w:t>
      </w:r>
      <w:r w:rsidRPr="00662049">
        <w:rPr>
          <w:rFonts w:cs="Arial"/>
        </w:rPr>
        <w:t xml:space="preserve">, aby mohl bezprostředně uplatnit případné vady díla. </w:t>
      </w:r>
    </w:p>
    <w:p w14:paraId="4BCE8C35" w14:textId="00157C53" w:rsidR="00C8733C" w:rsidRPr="00662049" w:rsidRDefault="00C8733C" w:rsidP="00C8733C">
      <w:pPr>
        <w:pStyle w:val="22uroven"/>
        <w:numPr>
          <w:ilvl w:val="1"/>
          <w:numId w:val="26"/>
        </w:numPr>
        <w:ind w:left="567" w:hanging="567"/>
        <w:rPr>
          <w:rFonts w:cs="Arial"/>
        </w:rPr>
      </w:pPr>
      <w:r w:rsidRPr="00662049">
        <w:rPr>
          <w:rFonts w:cs="Arial"/>
        </w:rPr>
        <w:t xml:space="preserve">O dokončení a předání </w:t>
      </w:r>
      <w:r w:rsidR="00874609">
        <w:rPr>
          <w:rFonts w:cs="Arial"/>
        </w:rPr>
        <w:t>díla</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874609">
        <w:rPr>
          <w:rFonts w:cs="Arial"/>
        </w:rPr>
        <w:t>dílu</w:t>
      </w:r>
      <w:r w:rsidRPr="00662049">
        <w:rPr>
          <w:rFonts w:cs="Arial"/>
        </w:rPr>
        <w:t>.</w:t>
      </w:r>
    </w:p>
    <w:p w14:paraId="4DE5A418" w14:textId="03A8F1D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jeho předání.</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7368EB17" w14:textId="705DF618" w:rsidR="00C8733C" w:rsidRPr="00662049" w:rsidRDefault="009A43DC" w:rsidP="00C8733C">
      <w:pPr>
        <w:pStyle w:val="22uroven"/>
        <w:numPr>
          <w:ilvl w:val="1"/>
          <w:numId w:val="26"/>
        </w:numPr>
        <w:ind w:left="567" w:hanging="567"/>
        <w:rPr>
          <w:rFonts w:cs="Arial"/>
        </w:rPr>
      </w:pPr>
      <w:r w:rsidRPr="00662049">
        <w:rPr>
          <w:rFonts w:cs="Arial"/>
        </w:rPr>
        <w:t>Smluvní strany se dohodly na celkové ceně za splnění předmětu smlouvy v částce 2 </w:t>
      </w:r>
      <w:r w:rsidR="004E443C">
        <w:rPr>
          <w:rFonts w:cs="Arial"/>
        </w:rPr>
        <w:t>969</w:t>
      </w:r>
      <w:r w:rsidRPr="00662049">
        <w:rPr>
          <w:rFonts w:cs="Arial"/>
        </w:rPr>
        <w:t xml:space="preserve"> </w:t>
      </w:r>
      <w:r w:rsidR="004E443C">
        <w:rPr>
          <w:rFonts w:cs="Arial"/>
        </w:rPr>
        <w:t>980</w:t>
      </w:r>
      <w:r w:rsidRPr="00662049">
        <w:rPr>
          <w:rFonts w:cs="Arial"/>
        </w:rPr>
        <w:t>,- </w:t>
      </w:r>
      <w:r w:rsidR="00C8733C" w:rsidRPr="00662049">
        <w:rPr>
          <w:rFonts w:cs="Arial"/>
        </w:rPr>
        <w:t>Kč bez DPH.</w:t>
      </w:r>
      <w:r w:rsidR="00D52668" w:rsidRPr="00662049">
        <w:rPr>
          <w:rFonts w:cs="Arial"/>
        </w:rPr>
        <w:t xml:space="preserve"> </w:t>
      </w:r>
    </w:p>
    <w:p w14:paraId="1B0FB709" w14:textId="1E028BAB" w:rsidR="00C8733C" w:rsidRPr="00607378" w:rsidRDefault="000F33EA" w:rsidP="00C8733C">
      <w:pPr>
        <w:pStyle w:val="22uroven"/>
        <w:numPr>
          <w:ilvl w:val="1"/>
          <w:numId w:val="26"/>
        </w:numPr>
        <w:ind w:left="567" w:hanging="567"/>
        <w:rPr>
          <w:rFonts w:cs="Arial"/>
        </w:rPr>
      </w:pPr>
      <w:r w:rsidRPr="00607378">
        <w:rPr>
          <w:rFonts w:cs="Arial"/>
        </w:rPr>
        <w:t>K ceně</w:t>
      </w:r>
      <w:r w:rsidR="00C8733C" w:rsidRPr="00607378">
        <w:rPr>
          <w:rFonts w:cs="Arial"/>
        </w:rPr>
        <w:t xml:space="preserve"> bude připočítána DPH v platné výši.</w:t>
      </w:r>
    </w:p>
    <w:p w14:paraId="44ED9A7A" w14:textId="16A1ECA4" w:rsidR="00C8733C" w:rsidRPr="00662049" w:rsidRDefault="00C8733C" w:rsidP="00C8733C">
      <w:pPr>
        <w:pStyle w:val="22uroven"/>
        <w:numPr>
          <w:ilvl w:val="1"/>
          <w:numId w:val="26"/>
        </w:numPr>
        <w:ind w:left="567" w:hanging="567"/>
        <w:rPr>
          <w:rFonts w:cs="Arial"/>
        </w:rPr>
      </w:pPr>
      <w:r w:rsidRPr="00607378">
        <w:rPr>
          <w:rFonts w:cs="Arial"/>
        </w:rPr>
        <w:t>Celková cena za splnění předmětu</w:t>
      </w:r>
      <w:r w:rsidRPr="00662049">
        <w:rPr>
          <w:rFonts w:cs="Arial"/>
        </w:rPr>
        <w:t xml:space="preserve"> smlouvy zahrnuje veškeré i v</w:t>
      </w:r>
      <w:r w:rsidR="001433B3" w:rsidRPr="00662049">
        <w:rPr>
          <w:rFonts w:cs="Arial"/>
        </w:rPr>
        <w:t>edlejší náklady na splnění díla, vč. dopravy do místa plnění</w:t>
      </w:r>
      <w:r w:rsidR="008B4E92">
        <w:rPr>
          <w:rFonts w:cs="Arial"/>
        </w:rPr>
        <w:t xml:space="preserve">, </w:t>
      </w:r>
      <w:r w:rsidR="00A7289B" w:rsidRPr="00A7289B">
        <w:rPr>
          <w:rFonts w:cs="Arial"/>
        </w:rPr>
        <w:t>montážní</w:t>
      </w:r>
      <w:r w:rsidR="00A7289B">
        <w:rPr>
          <w:rFonts w:cs="Arial"/>
        </w:rPr>
        <w:t>ch prací, přípravy</w:t>
      </w:r>
      <w:r w:rsidR="00A7289B" w:rsidRPr="00A7289B">
        <w:rPr>
          <w:rFonts w:cs="Arial"/>
        </w:rPr>
        <w:t xml:space="preserve"> a úklid</w:t>
      </w:r>
      <w:r w:rsidR="00A7289B">
        <w:rPr>
          <w:rFonts w:cs="Arial"/>
        </w:rPr>
        <w:t>u</w:t>
      </w:r>
      <w:r w:rsidR="00A7289B" w:rsidRPr="00A7289B">
        <w:rPr>
          <w:rFonts w:cs="Arial"/>
        </w:rPr>
        <w:t xml:space="preserve"> pracoviště, dodání veškerého pomocného materiálu</w:t>
      </w:r>
      <w:r w:rsidR="001433B3" w:rsidRPr="00662049">
        <w:rPr>
          <w:rFonts w:cs="Arial"/>
        </w:rPr>
        <w:t xml:space="preserve">. </w:t>
      </w:r>
    </w:p>
    <w:p w14:paraId="6A4C1BBA" w14:textId="77777777" w:rsidR="00C8733C" w:rsidRPr="00662049" w:rsidRDefault="00C8733C" w:rsidP="00C8733C">
      <w:pPr>
        <w:pStyle w:val="11uroven"/>
        <w:numPr>
          <w:ilvl w:val="0"/>
          <w:numId w:val="26"/>
        </w:numPr>
        <w:rPr>
          <w:rFonts w:cs="Arial"/>
        </w:rPr>
      </w:pPr>
      <w:r w:rsidRPr="00662049">
        <w:rPr>
          <w:rFonts w:cs="Arial"/>
        </w:rPr>
        <w:t>Platební podmínky</w:t>
      </w:r>
    </w:p>
    <w:p w14:paraId="04D08D82" w14:textId="4612A3F2" w:rsidR="00C8733C" w:rsidRPr="00662049" w:rsidRDefault="00C8733C" w:rsidP="00C8733C">
      <w:pPr>
        <w:pStyle w:val="22uroven"/>
        <w:numPr>
          <w:ilvl w:val="1"/>
          <w:numId w:val="26"/>
        </w:numPr>
        <w:ind w:left="567" w:hanging="567"/>
        <w:rPr>
          <w:rFonts w:cs="Arial"/>
        </w:rPr>
      </w:pPr>
      <w:r w:rsidRPr="00662049">
        <w:rPr>
          <w:rFonts w:cs="Arial"/>
        </w:rPr>
        <w:t xml:space="preserve">Datem zdanitelného plnění se rozumí den předání </w:t>
      </w:r>
      <w:r w:rsidR="00C37436">
        <w:rPr>
          <w:rFonts w:cs="Arial"/>
        </w:rPr>
        <w:t>díla</w:t>
      </w:r>
      <w:r w:rsidRPr="00662049">
        <w:rPr>
          <w:rFonts w:cs="Arial"/>
        </w:rPr>
        <w:t>.</w:t>
      </w:r>
      <w:r w:rsidR="00D52668" w:rsidRPr="00662049">
        <w:rPr>
          <w:rFonts w:cs="Arial"/>
        </w:rPr>
        <w:t xml:space="preserve"> </w:t>
      </w:r>
    </w:p>
    <w:p w14:paraId="4FD16D06" w14:textId="46984773" w:rsidR="00C8733C" w:rsidRPr="00662049" w:rsidRDefault="00C8733C" w:rsidP="00333BF6">
      <w:pPr>
        <w:pStyle w:val="22uroven"/>
        <w:numPr>
          <w:ilvl w:val="1"/>
          <w:numId w:val="26"/>
        </w:numPr>
        <w:ind w:left="567" w:hanging="567"/>
        <w:rPr>
          <w:rFonts w:cs="Arial"/>
        </w:rPr>
      </w:pPr>
      <w:r w:rsidRPr="00662049">
        <w:rPr>
          <w:rFonts w:cs="Arial"/>
        </w:rPr>
        <w:t xml:space="preserve">Cena </w:t>
      </w:r>
      <w:r w:rsidR="00F93BB3" w:rsidRPr="00662049">
        <w:rPr>
          <w:rFonts w:cs="Arial"/>
        </w:rPr>
        <w:t>díla</w:t>
      </w:r>
      <w:r w:rsidRPr="00662049">
        <w:rPr>
          <w:rFonts w:cs="Arial"/>
        </w:rPr>
        <w:t xml:space="preserve"> bude uhrazena na základě </w:t>
      </w:r>
      <w:r w:rsidR="00D06B98" w:rsidRPr="00662049">
        <w:rPr>
          <w:rFonts w:cs="Arial"/>
        </w:rPr>
        <w:t>faktur</w:t>
      </w:r>
      <w:r w:rsidR="00CC15CD">
        <w:rPr>
          <w:rFonts w:cs="Arial"/>
        </w:rPr>
        <w:t>y</w:t>
      </w:r>
      <w:r w:rsidR="00D06B98" w:rsidRPr="00662049">
        <w:rPr>
          <w:rFonts w:cs="Arial"/>
        </w:rPr>
        <w:t xml:space="preserve"> </w:t>
      </w:r>
      <w:r w:rsidR="00CC15CD">
        <w:rPr>
          <w:rFonts w:cs="Arial"/>
        </w:rPr>
        <w:t>vystavené</w:t>
      </w:r>
      <w:r w:rsidR="00333BF6" w:rsidRPr="00662049">
        <w:rPr>
          <w:rFonts w:cs="Arial"/>
        </w:rPr>
        <w:t xml:space="preserve"> zhotovitelem </w:t>
      </w:r>
      <w:r w:rsidR="00241CBE" w:rsidRPr="00662049">
        <w:rPr>
          <w:rFonts w:cs="Arial"/>
        </w:rPr>
        <w:t>dle</w:t>
      </w:r>
      <w:r w:rsidR="006E5CD1">
        <w:rPr>
          <w:rFonts w:cs="Arial"/>
        </w:rPr>
        <w:t xml:space="preserve"> </w:t>
      </w:r>
      <w:r w:rsidR="00CB5D40">
        <w:rPr>
          <w:rFonts w:cs="Arial"/>
        </w:rPr>
        <w:t>předávacího protokolu</w:t>
      </w:r>
      <w:r w:rsidR="00333BF6" w:rsidRPr="00662049">
        <w:rPr>
          <w:rFonts w:cs="Arial"/>
        </w:rPr>
        <w:t xml:space="preserve"> </w:t>
      </w:r>
      <w:r w:rsidR="00AF5CA0">
        <w:rPr>
          <w:rFonts w:cs="Arial"/>
        </w:rPr>
        <w:t>podepsaného</w:t>
      </w:r>
      <w:r w:rsidR="00AF5CA0" w:rsidRPr="00662049">
        <w:rPr>
          <w:rFonts w:cs="Arial"/>
        </w:rPr>
        <w:t xml:space="preserve"> oběma smluvními stranami</w:t>
      </w:r>
      <w:r w:rsidR="00AF5CA0">
        <w:rPr>
          <w:rFonts w:cs="Arial"/>
        </w:rPr>
        <w:t xml:space="preserve"> </w:t>
      </w:r>
      <w:r w:rsidR="00CB5D40">
        <w:rPr>
          <w:rFonts w:cs="Arial"/>
        </w:rPr>
        <w:t xml:space="preserve">po předání </w:t>
      </w:r>
      <w:r w:rsidR="00CC15CD">
        <w:rPr>
          <w:rFonts w:cs="Arial"/>
        </w:rPr>
        <w:t>díla</w:t>
      </w:r>
      <w:r w:rsidR="00333BF6" w:rsidRPr="00662049">
        <w:rPr>
          <w:rFonts w:cs="Arial"/>
        </w:rPr>
        <w:t xml:space="preserve">. Splatnost se sjednává na </w:t>
      </w:r>
      <w:r w:rsidR="00BA6065">
        <w:rPr>
          <w:rFonts w:cs="Arial"/>
        </w:rPr>
        <w:t>45</w:t>
      </w:r>
      <w:r w:rsidRPr="00662049">
        <w:rPr>
          <w:rFonts w:cs="Arial"/>
        </w:rPr>
        <w:t xml:space="preserve"> dní od doručení faktury objednateli. V případě prodlení s platbou je objednatel povinen uhradit zhotoviteli úrok ve výši stanovené právním předpisem.</w:t>
      </w:r>
    </w:p>
    <w:p w14:paraId="30504CE2" w14:textId="77777777" w:rsidR="00C8733C" w:rsidRPr="00662049" w:rsidRDefault="00C8733C" w:rsidP="00C8733C">
      <w:pPr>
        <w:pStyle w:val="22uroven"/>
        <w:numPr>
          <w:ilvl w:val="1"/>
          <w:numId w:val="26"/>
        </w:numPr>
        <w:ind w:left="567" w:hanging="567"/>
        <w:rPr>
          <w:rFonts w:cs="Arial"/>
        </w:rPr>
      </w:pPr>
      <w:r w:rsidRPr="00662049">
        <w:rPr>
          <w:rFonts w:cs="Arial"/>
        </w:rPr>
        <w:lastRenderedPageBreak/>
        <w:t xml:space="preserve">Zhotovitel uvede na faktuře číslo smlouvy objednatele. Platba bude provedena převodem na účet zhotovitele uvedený ve faktuře. </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t xml:space="preserve">Záruka za jakost </w:t>
      </w:r>
    </w:p>
    <w:p w14:paraId="6B949845" w14:textId="6F31A423"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CC15CD">
        <w:rPr>
          <w:rFonts w:cs="Arial"/>
        </w:rPr>
        <w:t>12</w:t>
      </w:r>
      <w:r w:rsidR="00D746E4" w:rsidRPr="007A71A3">
        <w:rPr>
          <w:rFonts w:cs="Arial"/>
        </w:rPr>
        <w:t xml:space="preserve"> měsíců od </w:t>
      </w:r>
      <w:r w:rsidR="006440B3" w:rsidRPr="007A71A3">
        <w:rPr>
          <w:rFonts w:cs="Arial"/>
        </w:rPr>
        <w:t xml:space="preserve">předání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A32E6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2FA338BD" w14:textId="29C276BB" w:rsidR="002B6770" w:rsidRPr="008D5FAB" w:rsidRDefault="002B6770" w:rsidP="008D5FAB">
      <w:pPr>
        <w:pStyle w:val="22uroven"/>
        <w:numPr>
          <w:ilvl w:val="1"/>
          <w:numId w:val="26"/>
        </w:numPr>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5E3F810" w:rsidR="00C8733C" w:rsidRPr="00662049" w:rsidRDefault="00C8733C" w:rsidP="00C8733C">
      <w:pPr>
        <w:pStyle w:val="odrka"/>
        <w:numPr>
          <w:ilvl w:val="0"/>
          <w:numId w:val="27"/>
        </w:numPr>
        <w:ind w:left="851" w:hanging="284"/>
        <w:rPr>
          <w:rFonts w:cs="Arial"/>
        </w:rPr>
      </w:pPr>
      <w:r w:rsidRPr="00662049">
        <w:rPr>
          <w:rFonts w:cs="Arial"/>
        </w:rPr>
        <w:lastRenderedPageBreak/>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78B7D556" w14:textId="77777777" w:rsidR="00C8733C" w:rsidRPr="00662049" w:rsidRDefault="00C8733C" w:rsidP="00C8733C">
      <w:pPr>
        <w:pStyle w:val="odrka"/>
        <w:numPr>
          <w:ilvl w:val="0"/>
          <w:numId w:val="27"/>
        </w:numPr>
        <w:ind w:left="851" w:hanging="284"/>
        <w:rPr>
          <w:rFonts w:cs="Arial"/>
        </w:rPr>
      </w:pPr>
      <w:r w:rsidRPr="00662049">
        <w:rPr>
          <w:rFonts w:cs="Arial"/>
        </w:rPr>
        <w:t>bude v areálech objednatele jednat v souladu s pokyny, se kterými bude prokazatelně seznámen.</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00828082" w14:textId="4AC6CDC2" w:rsidR="0020253A" w:rsidRDefault="0020253A" w:rsidP="00C8733C">
      <w:pPr>
        <w:pStyle w:val="odrka"/>
        <w:numPr>
          <w:ilvl w:val="0"/>
          <w:numId w:val="28"/>
        </w:numPr>
        <w:rPr>
          <w:rFonts w:cs="Arial"/>
        </w:rPr>
      </w:pPr>
      <w:r>
        <w:rPr>
          <w:rFonts w:cs="Arial"/>
        </w:rPr>
        <w:t>dodání plnění neodpovídajícímu požadavkům objednatele,</w:t>
      </w:r>
    </w:p>
    <w:p w14:paraId="47D061CB" w14:textId="63379084" w:rsidR="00672182" w:rsidRDefault="00672182" w:rsidP="00C8733C">
      <w:pPr>
        <w:pStyle w:val="odrka"/>
        <w:numPr>
          <w:ilvl w:val="0"/>
          <w:numId w:val="28"/>
        </w:numPr>
        <w:rPr>
          <w:rFonts w:cs="Arial"/>
        </w:rPr>
      </w:pPr>
      <w:r>
        <w:rPr>
          <w:rFonts w:cs="Arial"/>
        </w:rPr>
        <w:t>nedodržením smluvní ceny bez řádné dohody s objednatelem,</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lastRenderedPageBreak/>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9E6B38" w:rsidR="00C8733C" w:rsidRPr="003D190C" w:rsidRDefault="00C8733C" w:rsidP="00C8733C">
      <w:pPr>
        <w:pStyle w:val="22uroven"/>
        <w:numPr>
          <w:ilvl w:val="1"/>
          <w:numId w:val="26"/>
        </w:numPr>
        <w:ind w:left="567" w:hanging="567"/>
        <w:rPr>
          <w:rFonts w:cs="Arial"/>
        </w:rPr>
      </w:pPr>
      <w:r w:rsidRPr="003D190C">
        <w:rPr>
          <w:rFonts w:cs="Arial"/>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Pr="003D190C">
        <w:rPr>
          <w:rFonts w:cs="Arial"/>
        </w:rPr>
        <w:t xml:space="preserve"> technickými prostředky</w:t>
      </w:r>
      <w:r w:rsidR="00116C93">
        <w:rPr>
          <w:rFonts w:cs="Arial"/>
        </w:rPr>
        <w:t xml:space="preserve"> vyjma elektronického podpisu smlouvy</w:t>
      </w:r>
      <w:r w:rsidRPr="003D190C">
        <w:rPr>
          <w:rFonts w:cs="Arial"/>
        </w:rPr>
        <w:t>.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2BC44778" w14:textId="7523F321" w:rsidR="009C1741" w:rsidRPr="003D190C" w:rsidRDefault="009C1741" w:rsidP="00C8733C">
      <w:pPr>
        <w:pStyle w:val="22uroven"/>
        <w:numPr>
          <w:ilvl w:val="1"/>
          <w:numId w:val="26"/>
        </w:numPr>
        <w:ind w:left="567" w:hanging="567"/>
        <w:rPr>
          <w:rFonts w:cs="Arial"/>
        </w:rPr>
      </w:pPr>
      <w:r w:rsidRPr="00423380">
        <w:rPr>
          <w:rFonts w:cs="Arial"/>
        </w:rPr>
        <w:lastRenderedPageBreak/>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423380">
        <w:rPr>
          <w:rFonts w:cs="Arial"/>
        </w:rPr>
        <w:t>pdf</w:t>
      </w:r>
      <w:proofErr w:type="spellEnd"/>
      <w:r w:rsidRPr="00423380">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r>
        <w:rPr>
          <w:rFonts w:cs="Arial"/>
        </w:rPr>
        <w:t>.</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030F776D" w:rsidR="00C8733C" w:rsidRPr="00662049" w:rsidRDefault="00064B58">
            <w:pPr>
              <w:rPr>
                <w:rFonts w:ascii="Arial" w:hAnsi="Arial" w:cs="Arial"/>
              </w:rPr>
            </w:pPr>
            <w:proofErr w:type="gramStart"/>
            <w:r>
              <w:rPr>
                <w:rFonts w:ascii="Arial" w:hAnsi="Arial" w:cs="Arial"/>
              </w:rPr>
              <w:t>13.2.2025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11D98DE6" w:rsidR="00C8733C" w:rsidRPr="00662049" w:rsidRDefault="00064B58">
            <w:pPr>
              <w:rPr>
                <w:rFonts w:ascii="Arial" w:hAnsi="Arial" w:cs="Arial"/>
              </w:rPr>
            </w:pPr>
            <w:r>
              <w:rPr>
                <w:rFonts w:ascii="Arial" w:hAnsi="Arial" w:cs="Arial"/>
              </w:rPr>
              <w:t>d</w:t>
            </w:r>
            <w:r w:rsidR="00C8733C" w:rsidRPr="00662049">
              <w:rPr>
                <w:rFonts w:ascii="Arial" w:hAnsi="Arial" w:cs="Arial"/>
              </w:rPr>
              <w:t>ne</w:t>
            </w:r>
            <w:r>
              <w:rPr>
                <w:rFonts w:ascii="Arial" w:hAnsi="Arial" w:cs="Arial"/>
              </w:rPr>
              <w:t xml:space="preserve">              </w:t>
            </w:r>
            <w:bookmarkStart w:id="0" w:name="_GoBack"/>
            <w:bookmarkEnd w:id="0"/>
            <w:r>
              <w:rPr>
                <w:rFonts w:ascii="Arial" w:hAnsi="Arial" w:cs="Arial"/>
              </w:rPr>
              <w:t>13.2.2025</w:t>
            </w:r>
          </w:p>
        </w:tc>
        <w:tc>
          <w:tcPr>
            <w:tcW w:w="764" w:type="dxa"/>
          </w:tcPr>
          <w:p w14:paraId="20FE3D40" w14:textId="69897655"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1BC42BE5" w:rsidR="00B73067" w:rsidRPr="00662049" w:rsidRDefault="00064B58"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381C6B24" w:rsidR="00C8733C" w:rsidRDefault="00252267">
            <w:pPr>
              <w:pStyle w:val="zarovnannasted"/>
              <w:rPr>
                <w:rFonts w:ascii="Arial" w:hAnsi="Arial" w:cs="Arial"/>
                <w:sz w:val="20"/>
              </w:rPr>
            </w:pPr>
            <w:r>
              <w:rPr>
                <w:rFonts w:ascii="Arial" w:hAnsi="Arial" w:cs="Arial"/>
                <w:sz w:val="20"/>
              </w:rPr>
              <w:t>NAVYMONT</w:t>
            </w:r>
            <w:r w:rsidR="003B6DB3">
              <w:rPr>
                <w:rFonts w:ascii="Arial" w:hAnsi="Arial" w:cs="Arial"/>
                <w:sz w:val="20"/>
              </w:rPr>
              <w:t>, s.r.o.</w:t>
            </w:r>
          </w:p>
          <w:p w14:paraId="626E1870" w14:textId="35D3DB4B" w:rsidR="003B6DB3" w:rsidRDefault="00252267">
            <w:pPr>
              <w:pStyle w:val="zarovnannasted"/>
              <w:rPr>
                <w:rFonts w:ascii="Arial" w:hAnsi="Arial" w:cs="Arial"/>
                <w:sz w:val="20"/>
              </w:rPr>
            </w:pPr>
            <w:r>
              <w:rPr>
                <w:rFonts w:ascii="Arial" w:hAnsi="Arial" w:cs="Arial"/>
                <w:sz w:val="20"/>
              </w:rPr>
              <w:t>Ing. Vladimír Záhorský</w:t>
            </w:r>
          </w:p>
          <w:p w14:paraId="6FEF2663" w14:textId="39599E0B" w:rsidR="003B6DB3" w:rsidRPr="00662049" w:rsidRDefault="003B6DB3">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41A8" w14:textId="77777777" w:rsidR="007A7705" w:rsidRDefault="007A7705" w:rsidP="00C3612E">
      <w:r>
        <w:separator/>
      </w:r>
    </w:p>
  </w:endnote>
  <w:endnote w:type="continuationSeparator" w:id="0">
    <w:p w14:paraId="4ED6CFF1" w14:textId="77777777" w:rsidR="007A7705" w:rsidRDefault="007A770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A6B51EE" w:rsidR="00AF49BB" w:rsidRDefault="00AF49BB">
    <w:pPr>
      <w:pStyle w:val="Zpat"/>
      <w:jc w:val="center"/>
    </w:pPr>
    <w:r>
      <w:fldChar w:fldCharType="begin"/>
    </w:r>
    <w:r>
      <w:instrText>PAGE    \* MERGEFORMAT</w:instrText>
    </w:r>
    <w:r>
      <w:fldChar w:fldCharType="separate"/>
    </w:r>
    <w:r w:rsidR="00064B58">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1D67" w14:textId="77777777" w:rsidR="007A7705" w:rsidRDefault="007A7705" w:rsidP="00C3612E">
      <w:r>
        <w:separator/>
      </w:r>
    </w:p>
  </w:footnote>
  <w:footnote w:type="continuationSeparator" w:id="0">
    <w:p w14:paraId="010A6E95" w14:textId="77777777" w:rsidR="007A7705" w:rsidRDefault="007A770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A770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7A7705">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A770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2"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3"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1"/>
  </w:num>
  <w:num w:numId="12">
    <w:abstractNumId w:val="8"/>
  </w:num>
  <w:num w:numId="13">
    <w:abstractNumId w:val="16"/>
  </w:num>
  <w:num w:numId="14">
    <w:abstractNumId w:val="17"/>
  </w:num>
  <w:num w:numId="15">
    <w:abstractNumId w:val="17"/>
  </w:num>
  <w:num w:numId="16">
    <w:abstractNumId w:val="6"/>
  </w:num>
  <w:num w:numId="17">
    <w:abstractNumId w:val="18"/>
  </w:num>
  <w:num w:numId="18">
    <w:abstractNumId w:val="6"/>
    <w:lvlOverride w:ilvl="0">
      <w:startOverride w:val="1"/>
    </w:lvlOverride>
  </w:num>
  <w:num w:numId="19">
    <w:abstractNumId w:val="23"/>
  </w:num>
  <w:num w:numId="20">
    <w:abstractNumId w:val="20"/>
  </w:num>
  <w:num w:numId="21">
    <w:abstractNumId w:val="7"/>
  </w:num>
  <w:num w:numId="22">
    <w:abstractNumId w:val="9"/>
  </w:num>
  <w:num w:numId="23">
    <w:abstractNumId w:val="1"/>
  </w:num>
  <w:num w:numId="24">
    <w:abstractNumId w:val="22"/>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3"/>
  </w:num>
  <w:num w:numId="29">
    <w:abstractNumId w:val="20"/>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4EF7"/>
    <w:rsid w:val="00011858"/>
    <w:rsid w:val="00015C65"/>
    <w:rsid w:val="00024928"/>
    <w:rsid w:val="00031372"/>
    <w:rsid w:val="00033200"/>
    <w:rsid w:val="000448B9"/>
    <w:rsid w:val="00047CFE"/>
    <w:rsid w:val="0005292A"/>
    <w:rsid w:val="00052EB3"/>
    <w:rsid w:val="00064B58"/>
    <w:rsid w:val="00066042"/>
    <w:rsid w:val="00066EB5"/>
    <w:rsid w:val="00071305"/>
    <w:rsid w:val="00075061"/>
    <w:rsid w:val="00075582"/>
    <w:rsid w:val="00077AA9"/>
    <w:rsid w:val="00085363"/>
    <w:rsid w:val="00086D87"/>
    <w:rsid w:val="00093600"/>
    <w:rsid w:val="000A4748"/>
    <w:rsid w:val="000B0E91"/>
    <w:rsid w:val="000B3B2F"/>
    <w:rsid w:val="000B7AB0"/>
    <w:rsid w:val="000C0F2D"/>
    <w:rsid w:val="000C3A4A"/>
    <w:rsid w:val="000D2992"/>
    <w:rsid w:val="000D4813"/>
    <w:rsid w:val="000D6641"/>
    <w:rsid w:val="000E2E5C"/>
    <w:rsid w:val="000E375C"/>
    <w:rsid w:val="000E5E39"/>
    <w:rsid w:val="000F11DA"/>
    <w:rsid w:val="000F2D51"/>
    <w:rsid w:val="000F33EA"/>
    <w:rsid w:val="000F4096"/>
    <w:rsid w:val="000F4AE8"/>
    <w:rsid w:val="000F5EA2"/>
    <w:rsid w:val="0010015E"/>
    <w:rsid w:val="00102190"/>
    <w:rsid w:val="00105000"/>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72EB"/>
    <w:rsid w:val="001A02C5"/>
    <w:rsid w:val="001A2E3B"/>
    <w:rsid w:val="001A2F50"/>
    <w:rsid w:val="001B7705"/>
    <w:rsid w:val="001C3A53"/>
    <w:rsid w:val="001C3CF2"/>
    <w:rsid w:val="001D353F"/>
    <w:rsid w:val="001D48CE"/>
    <w:rsid w:val="001E042F"/>
    <w:rsid w:val="001E375D"/>
    <w:rsid w:val="001E3DD1"/>
    <w:rsid w:val="001E51EF"/>
    <w:rsid w:val="001F6051"/>
    <w:rsid w:val="00200D7E"/>
    <w:rsid w:val="0020253A"/>
    <w:rsid w:val="002031B1"/>
    <w:rsid w:val="00203978"/>
    <w:rsid w:val="00226110"/>
    <w:rsid w:val="0022663A"/>
    <w:rsid w:val="0022777A"/>
    <w:rsid w:val="002302FD"/>
    <w:rsid w:val="00230491"/>
    <w:rsid w:val="0023499F"/>
    <w:rsid w:val="00234BFA"/>
    <w:rsid w:val="00234F3F"/>
    <w:rsid w:val="002373AA"/>
    <w:rsid w:val="00241CBE"/>
    <w:rsid w:val="00252177"/>
    <w:rsid w:val="00252267"/>
    <w:rsid w:val="00256059"/>
    <w:rsid w:val="002560FB"/>
    <w:rsid w:val="00257A5F"/>
    <w:rsid w:val="00262E52"/>
    <w:rsid w:val="00263502"/>
    <w:rsid w:val="00276F57"/>
    <w:rsid w:val="00280238"/>
    <w:rsid w:val="00292E7E"/>
    <w:rsid w:val="002936FE"/>
    <w:rsid w:val="002963ED"/>
    <w:rsid w:val="002A2DF3"/>
    <w:rsid w:val="002A5582"/>
    <w:rsid w:val="002B41F9"/>
    <w:rsid w:val="002B6770"/>
    <w:rsid w:val="002C0383"/>
    <w:rsid w:val="002C36A8"/>
    <w:rsid w:val="002D3298"/>
    <w:rsid w:val="002D5686"/>
    <w:rsid w:val="002D7605"/>
    <w:rsid w:val="002E3E4A"/>
    <w:rsid w:val="002E727C"/>
    <w:rsid w:val="002F1408"/>
    <w:rsid w:val="002F5C95"/>
    <w:rsid w:val="0031012E"/>
    <w:rsid w:val="0031614E"/>
    <w:rsid w:val="003208A7"/>
    <w:rsid w:val="00326E74"/>
    <w:rsid w:val="00333BF6"/>
    <w:rsid w:val="00342143"/>
    <w:rsid w:val="003445E6"/>
    <w:rsid w:val="0035055A"/>
    <w:rsid w:val="00352435"/>
    <w:rsid w:val="00352801"/>
    <w:rsid w:val="003536CC"/>
    <w:rsid w:val="00357D85"/>
    <w:rsid w:val="00361C86"/>
    <w:rsid w:val="00362B2D"/>
    <w:rsid w:val="0036400A"/>
    <w:rsid w:val="003674AD"/>
    <w:rsid w:val="003704A6"/>
    <w:rsid w:val="00384287"/>
    <w:rsid w:val="00390AB5"/>
    <w:rsid w:val="00393134"/>
    <w:rsid w:val="00393A56"/>
    <w:rsid w:val="003A2B65"/>
    <w:rsid w:val="003A7E3F"/>
    <w:rsid w:val="003B2092"/>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32A6F"/>
    <w:rsid w:val="0045340B"/>
    <w:rsid w:val="00454BA0"/>
    <w:rsid w:val="0046177A"/>
    <w:rsid w:val="004707DD"/>
    <w:rsid w:val="00473804"/>
    <w:rsid w:val="00474602"/>
    <w:rsid w:val="00477F0A"/>
    <w:rsid w:val="00487924"/>
    <w:rsid w:val="00492C7C"/>
    <w:rsid w:val="00494690"/>
    <w:rsid w:val="004A0379"/>
    <w:rsid w:val="004A150D"/>
    <w:rsid w:val="004A2DA4"/>
    <w:rsid w:val="004A37D5"/>
    <w:rsid w:val="004A5995"/>
    <w:rsid w:val="004A66B3"/>
    <w:rsid w:val="004B263A"/>
    <w:rsid w:val="004C6167"/>
    <w:rsid w:val="004C6BFD"/>
    <w:rsid w:val="004C7D31"/>
    <w:rsid w:val="004D11E8"/>
    <w:rsid w:val="004D43B9"/>
    <w:rsid w:val="004D4574"/>
    <w:rsid w:val="004D647B"/>
    <w:rsid w:val="004E2B9A"/>
    <w:rsid w:val="004E443C"/>
    <w:rsid w:val="004E60EE"/>
    <w:rsid w:val="004F0DBA"/>
    <w:rsid w:val="004F4AE2"/>
    <w:rsid w:val="005069CA"/>
    <w:rsid w:val="00506B29"/>
    <w:rsid w:val="0051196B"/>
    <w:rsid w:val="00522D28"/>
    <w:rsid w:val="00536876"/>
    <w:rsid w:val="00550D3C"/>
    <w:rsid w:val="005575FE"/>
    <w:rsid w:val="00565E7A"/>
    <w:rsid w:val="00567248"/>
    <w:rsid w:val="005705B9"/>
    <w:rsid w:val="005750A3"/>
    <w:rsid w:val="00585CB9"/>
    <w:rsid w:val="00586095"/>
    <w:rsid w:val="0059065C"/>
    <w:rsid w:val="00591B0A"/>
    <w:rsid w:val="005B4B39"/>
    <w:rsid w:val="005B7BCD"/>
    <w:rsid w:val="005C7923"/>
    <w:rsid w:val="005D6DD2"/>
    <w:rsid w:val="005E0313"/>
    <w:rsid w:val="005E0798"/>
    <w:rsid w:val="005E4E36"/>
    <w:rsid w:val="005F1282"/>
    <w:rsid w:val="005F4C58"/>
    <w:rsid w:val="005F656D"/>
    <w:rsid w:val="00604105"/>
    <w:rsid w:val="00606221"/>
    <w:rsid w:val="00606A30"/>
    <w:rsid w:val="00607378"/>
    <w:rsid w:val="00611448"/>
    <w:rsid w:val="00615078"/>
    <w:rsid w:val="00624453"/>
    <w:rsid w:val="00625E96"/>
    <w:rsid w:val="0064250D"/>
    <w:rsid w:val="006440B3"/>
    <w:rsid w:val="0064783B"/>
    <w:rsid w:val="00654835"/>
    <w:rsid w:val="006613FA"/>
    <w:rsid w:val="00662049"/>
    <w:rsid w:val="0067074D"/>
    <w:rsid w:val="00672182"/>
    <w:rsid w:val="00672974"/>
    <w:rsid w:val="0068125B"/>
    <w:rsid w:val="006824AD"/>
    <w:rsid w:val="006856B5"/>
    <w:rsid w:val="006902CB"/>
    <w:rsid w:val="00691A41"/>
    <w:rsid w:val="00691D0C"/>
    <w:rsid w:val="006942BC"/>
    <w:rsid w:val="006A7182"/>
    <w:rsid w:val="006A7E86"/>
    <w:rsid w:val="006B2F57"/>
    <w:rsid w:val="006B7574"/>
    <w:rsid w:val="006C0C40"/>
    <w:rsid w:val="006C0E7B"/>
    <w:rsid w:val="006C4E53"/>
    <w:rsid w:val="006C5016"/>
    <w:rsid w:val="006C73F0"/>
    <w:rsid w:val="006E15C2"/>
    <w:rsid w:val="006E381B"/>
    <w:rsid w:val="006E5CD1"/>
    <w:rsid w:val="007046F0"/>
    <w:rsid w:val="00712844"/>
    <w:rsid w:val="00713334"/>
    <w:rsid w:val="00713956"/>
    <w:rsid w:val="00716750"/>
    <w:rsid w:val="0072217F"/>
    <w:rsid w:val="00724C72"/>
    <w:rsid w:val="00735F0A"/>
    <w:rsid w:val="00736CA9"/>
    <w:rsid w:val="0074073E"/>
    <w:rsid w:val="00747DED"/>
    <w:rsid w:val="00757614"/>
    <w:rsid w:val="00760DF5"/>
    <w:rsid w:val="00771682"/>
    <w:rsid w:val="007727FD"/>
    <w:rsid w:val="00777732"/>
    <w:rsid w:val="00791058"/>
    <w:rsid w:val="007911E7"/>
    <w:rsid w:val="0079478B"/>
    <w:rsid w:val="007A5CD4"/>
    <w:rsid w:val="007A71A3"/>
    <w:rsid w:val="007A7705"/>
    <w:rsid w:val="007B1164"/>
    <w:rsid w:val="007C5F91"/>
    <w:rsid w:val="007D38DC"/>
    <w:rsid w:val="007E7D76"/>
    <w:rsid w:val="007F019A"/>
    <w:rsid w:val="007F07F7"/>
    <w:rsid w:val="007F5ED7"/>
    <w:rsid w:val="007F63CF"/>
    <w:rsid w:val="008066B2"/>
    <w:rsid w:val="00811868"/>
    <w:rsid w:val="0081717D"/>
    <w:rsid w:val="008200F4"/>
    <w:rsid w:val="00825A4A"/>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D3E"/>
    <w:rsid w:val="008D787A"/>
    <w:rsid w:val="008E5024"/>
    <w:rsid w:val="008E7FED"/>
    <w:rsid w:val="008F1105"/>
    <w:rsid w:val="00902703"/>
    <w:rsid w:val="00910B0D"/>
    <w:rsid w:val="00915393"/>
    <w:rsid w:val="00921D16"/>
    <w:rsid w:val="009225C9"/>
    <w:rsid w:val="0093315E"/>
    <w:rsid w:val="00941142"/>
    <w:rsid w:val="00945963"/>
    <w:rsid w:val="00945C71"/>
    <w:rsid w:val="00946224"/>
    <w:rsid w:val="00952B23"/>
    <w:rsid w:val="0096573C"/>
    <w:rsid w:val="009717F2"/>
    <w:rsid w:val="009722F3"/>
    <w:rsid w:val="0098722E"/>
    <w:rsid w:val="00987CDE"/>
    <w:rsid w:val="00990938"/>
    <w:rsid w:val="009928A6"/>
    <w:rsid w:val="009A3608"/>
    <w:rsid w:val="009A43DC"/>
    <w:rsid w:val="009C1741"/>
    <w:rsid w:val="009C1AC7"/>
    <w:rsid w:val="009C4245"/>
    <w:rsid w:val="009C74B6"/>
    <w:rsid w:val="009D2B7C"/>
    <w:rsid w:val="009E40E6"/>
    <w:rsid w:val="009E6B09"/>
    <w:rsid w:val="009F1516"/>
    <w:rsid w:val="009F45BF"/>
    <w:rsid w:val="009F65C2"/>
    <w:rsid w:val="00A03F7D"/>
    <w:rsid w:val="00A04DF0"/>
    <w:rsid w:val="00A0695C"/>
    <w:rsid w:val="00A069A7"/>
    <w:rsid w:val="00A132B5"/>
    <w:rsid w:val="00A163A5"/>
    <w:rsid w:val="00A1658D"/>
    <w:rsid w:val="00A2587E"/>
    <w:rsid w:val="00A30F6C"/>
    <w:rsid w:val="00A3115F"/>
    <w:rsid w:val="00A32E6F"/>
    <w:rsid w:val="00A51C5B"/>
    <w:rsid w:val="00A67B78"/>
    <w:rsid w:val="00A71C83"/>
    <w:rsid w:val="00A7289B"/>
    <w:rsid w:val="00A732CB"/>
    <w:rsid w:val="00A7740F"/>
    <w:rsid w:val="00A82565"/>
    <w:rsid w:val="00A82E6D"/>
    <w:rsid w:val="00A932DB"/>
    <w:rsid w:val="00AB30CC"/>
    <w:rsid w:val="00AB5411"/>
    <w:rsid w:val="00AB6B3C"/>
    <w:rsid w:val="00AC0173"/>
    <w:rsid w:val="00AC6CAB"/>
    <w:rsid w:val="00AD33B1"/>
    <w:rsid w:val="00AD6DBD"/>
    <w:rsid w:val="00AE4D28"/>
    <w:rsid w:val="00AF12DD"/>
    <w:rsid w:val="00AF3104"/>
    <w:rsid w:val="00AF3490"/>
    <w:rsid w:val="00AF385F"/>
    <w:rsid w:val="00AF49BB"/>
    <w:rsid w:val="00AF5CA0"/>
    <w:rsid w:val="00AF6763"/>
    <w:rsid w:val="00B0074E"/>
    <w:rsid w:val="00B02AD6"/>
    <w:rsid w:val="00B052FE"/>
    <w:rsid w:val="00B12563"/>
    <w:rsid w:val="00B14830"/>
    <w:rsid w:val="00B15DE8"/>
    <w:rsid w:val="00B23411"/>
    <w:rsid w:val="00B2594A"/>
    <w:rsid w:val="00B25BE7"/>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C4001"/>
    <w:rsid w:val="00BC6DC4"/>
    <w:rsid w:val="00BD2097"/>
    <w:rsid w:val="00BD23BC"/>
    <w:rsid w:val="00BE1852"/>
    <w:rsid w:val="00BE371F"/>
    <w:rsid w:val="00BF30F7"/>
    <w:rsid w:val="00BF746D"/>
    <w:rsid w:val="00C02B63"/>
    <w:rsid w:val="00C02B91"/>
    <w:rsid w:val="00C04B9B"/>
    <w:rsid w:val="00C04D45"/>
    <w:rsid w:val="00C07B7B"/>
    <w:rsid w:val="00C218F6"/>
    <w:rsid w:val="00C30DF7"/>
    <w:rsid w:val="00C32D8D"/>
    <w:rsid w:val="00C34A3E"/>
    <w:rsid w:val="00C3612E"/>
    <w:rsid w:val="00C37436"/>
    <w:rsid w:val="00C4410B"/>
    <w:rsid w:val="00C44F3F"/>
    <w:rsid w:val="00C64E2D"/>
    <w:rsid w:val="00C71884"/>
    <w:rsid w:val="00C73B84"/>
    <w:rsid w:val="00C77462"/>
    <w:rsid w:val="00C8733C"/>
    <w:rsid w:val="00C92D2A"/>
    <w:rsid w:val="00CA3518"/>
    <w:rsid w:val="00CA6E14"/>
    <w:rsid w:val="00CB0FE9"/>
    <w:rsid w:val="00CB205E"/>
    <w:rsid w:val="00CB5D40"/>
    <w:rsid w:val="00CB722F"/>
    <w:rsid w:val="00CB7E40"/>
    <w:rsid w:val="00CC0ECB"/>
    <w:rsid w:val="00CC15CD"/>
    <w:rsid w:val="00CD2584"/>
    <w:rsid w:val="00CD748B"/>
    <w:rsid w:val="00CF7623"/>
    <w:rsid w:val="00D068E3"/>
    <w:rsid w:val="00D06B98"/>
    <w:rsid w:val="00D06CB1"/>
    <w:rsid w:val="00D10FA0"/>
    <w:rsid w:val="00D1148F"/>
    <w:rsid w:val="00D14906"/>
    <w:rsid w:val="00D243BE"/>
    <w:rsid w:val="00D3326D"/>
    <w:rsid w:val="00D36A91"/>
    <w:rsid w:val="00D50282"/>
    <w:rsid w:val="00D505EC"/>
    <w:rsid w:val="00D52668"/>
    <w:rsid w:val="00D610C7"/>
    <w:rsid w:val="00D621AE"/>
    <w:rsid w:val="00D6709A"/>
    <w:rsid w:val="00D704FC"/>
    <w:rsid w:val="00D7224E"/>
    <w:rsid w:val="00D746E4"/>
    <w:rsid w:val="00D842A7"/>
    <w:rsid w:val="00D859F6"/>
    <w:rsid w:val="00DA02F6"/>
    <w:rsid w:val="00DA0583"/>
    <w:rsid w:val="00DA2313"/>
    <w:rsid w:val="00DA29B5"/>
    <w:rsid w:val="00DA3CC6"/>
    <w:rsid w:val="00DC28D1"/>
    <w:rsid w:val="00DC6315"/>
    <w:rsid w:val="00DC6971"/>
    <w:rsid w:val="00DC6C0D"/>
    <w:rsid w:val="00DC7479"/>
    <w:rsid w:val="00DD326B"/>
    <w:rsid w:val="00DD6683"/>
    <w:rsid w:val="00DE34B6"/>
    <w:rsid w:val="00DE3A71"/>
    <w:rsid w:val="00DF0C87"/>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A0136"/>
    <w:rsid w:val="00EB09E0"/>
    <w:rsid w:val="00EB1B77"/>
    <w:rsid w:val="00EB6B81"/>
    <w:rsid w:val="00EB72C2"/>
    <w:rsid w:val="00EC2FA2"/>
    <w:rsid w:val="00EC718E"/>
    <w:rsid w:val="00ED28F2"/>
    <w:rsid w:val="00EE011D"/>
    <w:rsid w:val="00EE3268"/>
    <w:rsid w:val="00EE6785"/>
    <w:rsid w:val="00EF0045"/>
    <w:rsid w:val="00EF29AA"/>
    <w:rsid w:val="00F1221C"/>
    <w:rsid w:val="00F13656"/>
    <w:rsid w:val="00F148BD"/>
    <w:rsid w:val="00F16477"/>
    <w:rsid w:val="00F169DD"/>
    <w:rsid w:val="00F303C2"/>
    <w:rsid w:val="00F35B6B"/>
    <w:rsid w:val="00F43423"/>
    <w:rsid w:val="00F434D3"/>
    <w:rsid w:val="00F54A43"/>
    <w:rsid w:val="00F556D5"/>
    <w:rsid w:val="00F563EA"/>
    <w:rsid w:val="00F630BB"/>
    <w:rsid w:val="00F659A7"/>
    <w:rsid w:val="00F7165D"/>
    <w:rsid w:val="00F74420"/>
    <w:rsid w:val="00F76C8B"/>
    <w:rsid w:val="00F81A99"/>
    <w:rsid w:val="00F84D18"/>
    <w:rsid w:val="00F9025A"/>
    <w:rsid w:val="00F92AC8"/>
    <w:rsid w:val="00F93BB3"/>
    <w:rsid w:val="00F96CA9"/>
    <w:rsid w:val="00FA3847"/>
    <w:rsid w:val="00FA40CA"/>
    <w:rsid w:val="00FA42E0"/>
    <w:rsid w:val="00FA6341"/>
    <w:rsid w:val="00FC1974"/>
    <w:rsid w:val="00FC359B"/>
    <w:rsid w:val="00FC45AD"/>
    <w:rsid w:val="00FC6D98"/>
    <w:rsid w:val="00FD4074"/>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B60F-6AB1-4D54-9BFB-68D6A86F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6</Pages>
  <Words>2338</Words>
  <Characters>13799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2023-02-22T08:24:00Z</cp:lastPrinted>
  <dcterms:created xsi:type="dcterms:W3CDTF">2025-02-18T07:07:00Z</dcterms:created>
  <dcterms:modified xsi:type="dcterms:W3CDTF">2025-02-18T07:09:00Z</dcterms:modified>
</cp:coreProperties>
</file>