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52B2" w14:textId="38A8DBA1" w:rsidR="00432599" w:rsidRPr="005D3CE5" w:rsidRDefault="00432599" w:rsidP="00432599">
      <w:pPr>
        <w:rPr>
          <w:sz w:val="28"/>
          <w:szCs w:val="28"/>
        </w:rPr>
      </w:pPr>
    </w:p>
    <w:p w14:paraId="7FB298EF" w14:textId="0FF9E65C" w:rsidR="00432599" w:rsidRPr="008A7491" w:rsidRDefault="00432599" w:rsidP="008A7491">
      <w:pPr>
        <w:jc w:val="center"/>
        <w:rPr>
          <w:rFonts w:eastAsia="Open Sans"/>
          <w:b/>
          <w:bCs/>
          <w:color w:val="000000"/>
          <w:sz w:val="32"/>
          <w:szCs w:val="32"/>
        </w:rPr>
      </w:pPr>
      <w:r w:rsidRPr="001A469C">
        <w:rPr>
          <w:rFonts w:eastAsia="Open Sans"/>
          <w:b/>
          <w:bCs/>
          <w:color w:val="000000"/>
          <w:sz w:val="32"/>
          <w:szCs w:val="32"/>
        </w:rPr>
        <w:t>Smlouva o poskytování právních služeb</w:t>
      </w:r>
    </w:p>
    <w:p w14:paraId="01A1F83F" w14:textId="77777777" w:rsidR="00432599" w:rsidRDefault="00432599" w:rsidP="00432599">
      <w:pPr>
        <w:jc w:val="center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(dále jen „</w:t>
      </w:r>
      <w:r w:rsidRPr="001A469C">
        <w:rPr>
          <w:rFonts w:eastAsia="Open Sans"/>
          <w:b/>
          <w:bCs/>
          <w:color w:val="000000"/>
          <w:sz w:val="22"/>
          <w:szCs w:val="22"/>
        </w:rPr>
        <w:t>smlouva</w:t>
      </w:r>
      <w:r w:rsidRPr="001A469C">
        <w:rPr>
          <w:rFonts w:eastAsia="Open Sans"/>
          <w:color w:val="000000"/>
          <w:sz w:val="22"/>
          <w:szCs w:val="22"/>
        </w:rPr>
        <w:t>“)</w:t>
      </w:r>
    </w:p>
    <w:p w14:paraId="10F6080A" w14:textId="30E6D042" w:rsidR="008B10C9" w:rsidRPr="001A469C" w:rsidRDefault="008B10C9" w:rsidP="00432599">
      <w:pPr>
        <w:jc w:val="center"/>
        <w:rPr>
          <w:rFonts w:eastAsia="Open Sans"/>
          <w:color w:val="000000"/>
          <w:sz w:val="22"/>
          <w:szCs w:val="22"/>
        </w:rPr>
      </w:pPr>
      <w:proofErr w:type="spellStart"/>
      <w:r>
        <w:rPr>
          <w:rFonts w:eastAsia="Open Sans"/>
          <w:color w:val="000000"/>
          <w:sz w:val="22"/>
          <w:szCs w:val="22"/>
        </w:rPr>
        <w:t>PTi</w:t>
      </w:r>
      <w:proofErr w:type="spellEnd"/>
      <w:r>
        <w:rPr>
          <w:rFonts w:eastAsia="Open Sans"/>
          <w:color w:val="000000"/>
          <w:sz w:val="22"/>
          <w:szCs w:val="22"/>
        </w:rPr>
        <w:t xml:space="preserve"> 48-24</w:t>
      </w:r>
    </w:p>
    <w:p w14:paraId="205706BC" w14:textId="6844EAEC" w:rsidR="00432599" w:rsidRPr="001A469C" w:rsidRDefault="00432599" w:rsidP="00432599">
      <w:pPr>
        <w:rPr>
          <w:rFonts w:eastAsia="Open Sans"/>
          <w:color w:val="000000"/>
          <w:sz w:val="22"/>
          <w:szCs w:val="22"/>
        </w:rPr>
      </w:pPr>
    </w:p>
    <w:p w14:paraId="45AA28AC" w14:textId="77777777" w:rsidR="00432599" w:rsidRPr="001A469C" w:rsidRDefault="00432599" w:rsidP="00432599">
      <w:pPr>
        <w:rPr>
          <w:rFonts w:eastAsia="Open Sans"/>
          <w:color w:val="000000"/>
          <w:sz w:val="22"/>
          <w:szCs w:val="22"/>
        </w:rPr>
      </w:pPr>
    </w:p>
    <w:p w14:paraId="2BE7282D" w14:textId="77777777" w:rsidR="00432599" w:rsidRPr="001A469C" w:rsidRDefault="00432599" w:rsidP="00432599">
      <w:pPr>
        <w:ind w:left="567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 xml:space="preserve">Mgr. Anna Koller, advokát </w:t>
      </w:r>
    </w:p>
    <w:p w14:paraId="5DFD0A15" w14:textId="5AB5BAAE" w:rsidR="00432599" w:rsidRPr="001A469C" w:rsidRDefault="00432599" w:rsidP="00432599">
      <w:pPr>
        <w:ind w:left="567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IČ:</w:t>
      </w:r>
      <w:r w:rsidR="001A469C">
        <w:rPr>
          <w:rFonts w:eastAsia="Open Sans"/>
          <w:color w:val="000000"/>
          <w:sz w:val="22"/>
          <w:szCs w:val="22"/>
        </w:rPr>
        <w:t xml:space="preserve"> </w:t>
      </w:r>
      <w:r w:rsidRPr="001A469C">
        <w:rPr>
          <w:rFonts w:eastAsia="Open Sans"/>
          <w:color w:val="000000"/>
          <w:sz w:val="22"/>
          <w:szCs w:val="22"/>
        </w:rPr>
        <w:t>76052532</w:t>
      </w:r>
    </w:p>
    <w:p w14:paraId="4F78A943" w14:textId="72ABB1A8" w:rsidR="00432599" w:rsidRPr="001A469C" w:rsidRDefault="001A469C" w:rsidP="00432599">
      <w:pPr>
        <w:ind w:left="567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e</w:t>
      </w:r>
      <w:r w:rsidR="00432599" w:rsidRPr="001A469C">
        <w:rPr>
          <w:rFonts w:eastAsia="Open Sans"/>
          <w:color w:val="000000"/>
          <w:sz w:val="22"/>
          <w:szCs w:val="22"/>
        </w:rPr>
        <w:t>v.</w:t>
      </w:r>
      <w:r>
        <w:rPr>
          <w:rFonts w:eastAsia="Open Sans"/>
          <w:color w:val="000000"/>
          <w:sz w:val="22"/>
          <w:szCs w:val="22"/>
        </w:rPr>
        <w:t xml:space="preserve"> </w:t>
      </w:r>
      <w:r w:rsidR="00432599" w:rsidRPr="001A469C">
        <w:rPr>
          <w:rFonts w:eastAsia="Open Sans"/>
          <w:color w:val="000000"/>
          <w:sz w:val="22"/>
          <w:szCs w:val="22"/>
        </w:rPr>
        <w:t>č. ČAK:</w:t>
      </w:r>
      <w:r>
        <w:rPr>
          <w:rFonts w:eastAsia="Open Sans"/>
          <w:color w:val="000000"/>
          <w:sz w:val="22"/>
          <w:szCs w:val="22"/>
        </w:rPr>
        <w:t xml:space="preserve"> </w:t>
      </w:r>
      <w:r w:rsidR="00432599" w:rsidRPr="001A469C">
        <w:rPr>
          <w:rFonts w:eastAsia="Open Sans"/>
          <w:color w:val="000000"/>
          <w:sz w:val="22"/>
          <w:szCs w:val="22"/>
        </w:rPr>
        <w:t>18074</w:t>
      </w:r>
    </w:p>
    <w:p w14:paraId="63023CD0" w14:textId="3EFBCDEC" w:rsidR="00432599" w:rsidRPr="001A469C" w:rsidRDefault="00432599" w:rsidP="00432599">
      <w:pPr>
        <w:ind w:left="567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se sídlem</w:t>
      </w:r>
      <w:r w:rsidR="001A469C">
        <w:rPr>
          <w:rFonts w:eastAsia="Open Sans"/>
          <w:color w:val="000000"/>
          <w:sz w:val="22"/>
          <w:szCs w:val="22"/>
        </w:rPr>
        <w:t xml:space="preserve"> v</w:t>
      </w:r>
      <w:r w:rsidRPr="001A469C">
        <w:rPr>
          <w:rFonts w:eastAsia="Open Sans"/>
          <w:color w:val="000000"/>
          <w:sz w:val="22"/>
          <w:szCs w:val="22"/>
        </w:rPr>
        <w:t xml:space="preserve"> Pr</w:t>
      </w:r>
      <w:r w:rsidR="001A469C">
        <w:rPr>
          <w:rFonts w:eastAsia="Open Sans"/>
          <w:color w:val="000000"/>
          <w:sz w:val="22"/>
          <w:szCs w:val="22"/>
        </w:rPr>
        <w:t>aze</w:t>
      </w:r>
      <w:r w:rsidRPr="001A469C">
        <w:rPr>
          <w:rFonts w:eastAsia="Open Sans"/>
          <w:color w:val="000000"/>
          <w:sz w:val="22"/>
          <w:szCs w:val="22"/>
        </w:rPr>
        <w:t xml:space="preserve">, Senovážné náměstí 1464/6, PSČ: 110 00 </w:t>
      </w:r>
    </w:p>
    <w:p w14:paraId="67E3F0B8" w14:textId="77777777" w:rsidR="00432599" w:rsidRPr="001A469C" w:rsidRDefault="00432599" w:rsidP="00432599">
      <w:pPr>
        <w:ind w:left="567"/>
        <w:rPr>
          <w:rFonts w:eastAsia="Open Sans"/>
          <w:color w:val="000000"/>
          <w:sz w:val="22"/>
          <w:szCs w:val="22"/>
        </w:rPr>
      </w:pPr>
    </w:p>
    <w:p w14:paraId="2E96B808" w14:textId="77777777" w:rsidR="00432599" w:rsidRPr="001A469C" w:rsidRDefault="00432599" w:rsidP="001A469C">
      <w:pPr>
        <w:ind w:left="1275" w:firstLine="141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na straně jedné (dále jen "</w:t>
      </w:r>
      <w:r w:rsidRPr="001A469C">
        <w:rPr>
          <w:rFonts w:eastAsia="Open Sans"/>
          <w:b/>
          <w:bCs/>
          <w:color w:val="000000"/>
          <w:sz w:val="22"/>
          <w:szCs w:val="22"/>
        </w:rPr>
        <w:t>Advokát</w:t>
      </w:r>
      <w:r w:rsidRPr="001A469C">
        <w:rPr>
          <w:rFonts w:eastAsia="Open Sans"/>
          <w:color w:val="000000"/>
          <w:sz w:val="22"/>
          <w:szCs w:val="22"/>
        </w:rPr>
        <w:t>")</w:t>
      </w:r>
    </w:p>
    <w:p w14:paraId="27B8BF5F" w14:textId="36F54ACF" w:rsidR="00432599" w:rsidRPr="001A469C" w:rsidRDefault="00432599" w:rsidP="008A7491">
      <w:pPr>
        <w:ind w:left="567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 </w:t>
      </w:r>
    </w:p>
    <w:p w14:paraId="75925D06" w14:textId="77777777" w:rsidR="00432599" w:rsidRPr="001A469C" w:rsidRDefault="00432599" w:rsidP="00432599">
      <w:pPr>
        <w:ind w:left="567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a</w:t>
      </w:r>
    </w:p>
    <w:p w14:paraId="419AEBDE" w14:textId="7B43B053" w:rsidR="00432599" w:rsidRPr="001A469C" w:rsidRDefault="00432599" w:rsidP="008A7491">
      <w:pPr>
        <w:rPr>
          <w:rFonts w:eastAsia="Open Sans"/>
          <w:color w:val="000000"/>
          <w:sz w:val="22"/>
          <w:szCs w:val="22"/>
        </w:rPr>
      </w:pPr>
    </w:p>
    <w:p w14:paraId="5725AE3D" w14:textId="77777777" w:rsidR="001A469C" w:rsidRDefault="001A469C" w:rsidP="00432599">
      <w:pPr>
        <w:spacing w:line="276" w:lineRule="auto"/>
        <w:ind w:left="567"/>
        <w:jc w:val="both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Památník ticha, státní příspěvková organizace</w:t>
      </w:r>
    </w:p>
    <w:p w14:paraId="1E75083E" w14:textId="0AC9ED45" w:rsidR="001A469C" w:rsidRPr="001A469C" w:rsidRDefault="001A469C" w:rsidP="00432599">
      <w:pPr>
        <w:spacing w:line="276" w:lineRule="auto"/>
        <w:ind w:left="567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IČO: 10892303</w:t>
      </w:r>
    </w:p>
    <w:p w14:paraId="5B7DD239" w14:textId="74D10B72" w:rsidR="001A469C" w:rsidRPr="001A469C" w:rsidRDefault="001A469C" w:rsidP="00432599">
      <w:pPr>
        <w:spacing w:line="276" w:lineRule="auto"/>
        <w:ind w:left="567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se sídlem v Praze, Maltézské náměstí 471/1, PSČ: 11</w:t>
      </w:r>
      <w:r>
        <w:rPr>
          <w:rFonts w:eastAsia="Open Sans"/>
          <w:color w:val="000000"/>
          <w:sz w:val="22"/>
          <w:szCs w:val="22"/>
        </w:rPr>
        <w:t>8</w:t>
      </w:r>
      <w:r w:rsidRPr="001A469C">
        <w:rPr>
          <w:rFonts w:eastAsia="Open Sans"/>
          <w:color w:val="000000"/>
          <w:sz w:val="22"/>
          <w:szCs w:val="22"/>
        </w:rPr>
        <w:t xml:space="preserve"> 00 </w:t>
      </w:r>
    </w:p>
    <w:p w14:paraId="30DB2786" w14:textId="04F6C2EE" w:rsidR="00432599" w:rsidRPr="001A469C" w:rsidRDefault="001A469C" w:rsidP="00432599">
      <w:pPr>
        <w:spacing w:line="276" w:lineRule="auto"/>
        <w:ind w:left="567"/>
        <w:jc w:val="both"/>
        <w:rPr>
          <w:rFonts w:eastAsia="Open Sans"/>
          <w:b/>
          <w:bCs/>
          <w:color w:val="000000"/>
          <w:sz w:val="22"/>
          <w:szCs w:val="22"/>
          <w:lang w:eastAsia="cs-CZ"/>
        </w:rPr>
      </w:pPr>
      <w:r w:rsidRPr="001A469C">
        <w:rPr>
          <w:rFonts w:eastAsia="Open Sans"/>
          <w:color w:val="000000"/>
          <w:sz w:val="22"/>
          <w:szCs w:val="22"/>
        </w:rPr>
        <w:t>zastoupená Mgr. Pavlínou Šulcovou, ředitelkou</w:t>
      </w:r>
      <w:r w:rsidR="00432599" w:rsidRPr="001A469C">
        <w:rPr>
          <w:rFonts w:eastAsia="Open Sans"/>
          <w:bCs/>
          <w:color w:val="000000"/>
          <w:sz w:val="22"/>
          <w:szCs w:val="22"/>
          <w:lang w:eastAsia="cs-CZ"/>
        </w:rPr>
        <w:tab/>
      </w:r>
      <w:r w:rsidR="00432599" w:rsidRPr="001A469C">
        <w:rPr>
          <w:rFonts w:eastAsia="Open Sans"/>
          <w:bCs/>
          <w:color w:val="000000"/>
          <w:sz w:val="22"/>
          <w:szCs w:val="22"/>
          <w:lang w:eastAsia="cs-CZ"/>
        </w:rPr>
        <w:tab/>
        <w:t xml:space="preserve"> </w:t>
      </w:r>
    </w:p>
    <w:p w14:paraId="6287FCBF" w14:textId="77777777" w:rsidR="00432599" w:rsidRPr="001A469C" w:rsidRDefault="00432599" w:rsidP="00432599">
      <w:pPr>
        <w:ind w:left="567"/>
        <w:rPr>
          <w:rFonts w:eastAsia="Open Sans"/>
          <w:color w:val="000000"/>
          <w:sz w:val="22"/>
          <w:szCs w:val="22"/>
        </w:rPr>
      </w:pPr>
    </w:p>
    <w:p w14:paraId="15F806A7" w14:textId="77777777" w:rsidR="00432599" w:rsidRPr="001A469C" w:rsidRDefault="00432599" w:rsidP="001A469C">
      <w:pPr>
        <w:ind w:left="1275" w:firstLine="141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na straně druhé (dále jen "</w:t>
      </w:r>
      <w:r w:rsidRPr="001A469C">
        <w:rPr>
          <w:rFonts w:eastAsia="Open Sans"/>
          <w:b/>
          <w:bCs/>
          <w:color w:val="000000"/>
          <w:sz w:val="22"/>
          <w:szCs w:val="22"/>
        </w:rPr>
        <w:t>Klient</w:t>
      </w:r>
      <w:r w:rsidRPr="001A469C">
        <w:rPr>
          <w:rFonts w:eastAsia="Open Sans"/>
          <w:color w:val="000000"/>
          <w:sz w:val="22"/>
          <w:szCs w:val="22"/>
        </w:rPr>
        <w:t>")</w:t>
      </w:r>
    </w:p>
    <w:p w14:paraId="68EC5555" w14:textId="77777777" w:rsidR="00432599" w:rsidRPr="001A469C" w:rsidRDefault="00432599" w:rsidP="008A7491">
      <w:pPr>
        <w:rPr>
          <w:rFonts w:eastAsia="Open Sans"/>
          <w:color w:val="000000"/>
          <w:sz w:val="22"/>
          <w:szCs w:val="22"/>
        </w:rPr>
      </w:pPr>
    </w:p>
    <w:p w14:paraId="4D929996" w14:textId="625315F7" w:rsidR="00432599" w:rsidRPr="001A469C" w:rsidRDefault="00195F19" w:rsidP="00432599">
      <w:pPr>
        <w:ind w:left="567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(</w:t>
      </w:r>
      <w:r w:rsidR="00432599" w:rsidRPr="001A469C">
        <w:rPr>
          <w:rFonts w:eastAsia="Open Sans"/>
          <w:color w:val="000000"/>
          <w:sz w:val="22"/>
          <w:szCs w:val="22"/>
        </w:rPr>
        <w:t>Advokát a Klient dále společně také jako „</w:t>
      </w:r>
      <w:r w:rsidR="00432599" w:rsidRPr="001A469C">
        <w:rPr>
          <w:rFonts w:eastAsia="Open Sans"/>
          <w:b/>
          <w:bCs/>
          <w:color w:val="000000"/>
          <w:sz w:val="22"/>
          <w:szCs w:val="22"/>
        </w:rPr>
        <w:t>smluvní strany</w:t>
      </w:r>
      <w:r w:rsidR="00432599" w:rsidRPr="001A469C">
        <w:rPr>
          <w:rFonts w:eastAsia="Open Sans"/>
          <w:color w:val="000000"/>
          <w:sz w:val="22"/>
          <w:szCs w:val="22"/>
        </w:rPr>
        <w:t>“);</w:t>
      </w:r>
    </w:p>
    <w:p w14:paraId="66F6EDD8" w14:textId="48E5C0B8" w:rsidR="00432599" w:rsidRPr="001A469C" w:rsidRDefault="00432599" w:rsidP="00432599">
      <w:pPr>
        <w:rPr>
          <w:rFonts w:eastAsia="Open Sans"/>
          <w:color w:val="000000"/>
          <w:sz w:val="22"/>
          <w:szCs w:val="22"/>
        </w:rPr>
      </w:pPr>
    </w:p>
    <w:p w14:paraId="2A0F56B4" w14:textId="56468684" w:rsidR="00432599" w:rsidRPr="00195F19" w:rsidRDefault="00195F19" w:rsidP="00432599">
      <w:pPr>
        <w:jc w:val="center"/>
        <w:rPr>
          <w:rFonts w:eastAsia="Open Sans"/>
          <w:i/>
          <w:iCs/>
          <w:color w:val="000000"/>
          <w:sz w:val="22"/>
          <w:szCs w:val="22"/>
        </w:rPr>
      </w:pPr>
      <w:r w:rsidRPr="00195F19">
        <w:rPr>
          <w:rFonts w:eastAsia="Open Sans"/>
          <w:i/>
          <w:iCs/>
          <w:color w:val="000000"/>
          <w:sz w:val="22"/>
          <w:szCs w:val="22"/>
        </w:rPr>
        <w:t xml:space="preserve">uzavírají dnešního dne tuto smlouvu dle § 2430 a násl. zák. č. 89/2012 Sb., občanský zákoník, § 16 a násl. zákona č. 85/1996 Sb., o advokacii a § 3 a násl. vyhlášky č. 177/1996 Sb., </w:t>
      </w:r>
      <w:proofErr w:type="spellStart"/>
      <w:r w:rsidR="00701144">
        <w:rPr>
          <w:rFonts w:eastAsia="Open Sans"/>
          <w:i/>
          <w:iCs/>
          <w:color w:val="000000"/>
          <w:sz w:val="22"/>
          <w:szCs w:val="22"/>
        </w:rPr>
        <w:t>adv</w:t>
      </w:r>
      <w:proofErr w:type="spellEnd"/>
      <w:r w:rsidR="00701144">
        <w:rPr>
          <w:rFonts w:eastAsia="Open Sans"/>
          <w:i/>
          <w:iCs/>
          <w:color w:val="000000"/>
          <w:sz w:val="22"/>
          <w:szCs w:val="22"/>
        </w:rPr>
        <w:t>.</w:t>
      </w:r>
      <w:r w:rsidRPr="00195F19">
        <w:rPr>
          <w:rFonts w:eastAsia="Open Sans"/>
          <w:i/>
          <w:iCs/>
          <w:color w:val="000000"/>
          <w:sz w:val="22"/>
          <w:szCs w:val="22"/>
        </w:rPr>
        <w:t xml:space="preserve"> tarif:</w:t>
      </w:r>
    </w:p>
    <w:p w14:paraId="63A17F07" w14:textId="311F3AEC" w:rsidR="00432599" w:rsidRPr="001A469C" w:rsidRDefault="00432599" w:rsidP="00432599">
      <w:pPr>
        <w:rPr>
          <w:rFonts w:eastAsia="Open Sans"/>
          <w:color w:val="000000"/>
          <w:sz w:val="22"/>
          <w:szCs w:val="22"/>
        </w:rPr>
      </w:pPr>
    </w:p>
    <w:p w14:paraId="459318BE" w14:textId="77777777" w:rsidR="00432599" w:rsidRPr="001A469C" w:rsidRDefault="00432599" w:rsidP="00432599">
      <w:pPr>
        <w:jc w:val="center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s </w:t>
      </w:r>
      <w:proofErr w:type="gramStart"/>
      <w:r w:rsidRPr="001A469C">
        <w:rPr>
          <w:rFonts w:eastAsia="Open Sans"/>
          <w:color w:val="000000"/>
          <w:sz w:val="22"/>
          <w:szCs w:val="22"/>
        </w:rPr>
        <w:t>m  l</w:t>
      </w:r>
      <w:proofErr w:type="gramEnd"/>
      <w:r w:rsidRPr="001A469C">
        <w:rPr>
          <w:rFonts w:eastAsia="Open Sans"/>
          <w:color w:val="000000"/>
          <w:sz w:val="22"/>
          <w:szCs w:val="22"/>
        </w:rPr>
        <w:t xml:space="preserve">  o  u  v  u :</w:t>
      </w:r>
    </w:p>
    <w:p w14:paraId="3CB51068" w14:textId="77777777" w:rsidR="00432599" w:rsidRPr="001A469C" w:rsidRDefault="00432599" w:rsidP="00432599">
      <w:pPr>
        <w:jc w:val="both"/>
        <w:rPr>
          <w:rFonts w:eastAsia="Open Sans"/>
          <w:color w:val="000000"/>
          <w:sz w:val="22"/>
          <w:szCs w:val="22"/>
        </w:rPr>
      </w:pPr>
    </w:p>
    <w:p w14:paraId="09433416" w14:textId="77777777" w:rsidR="00432599" w:rsidRPr="001A469C" w:rsidRDefault="00432599" w:rsidP="00195F19">
      <w:pPr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I.</w:t>
      </w:r>
    </w:p>
    <w:p w14:paraId="7DDF308C" w14:textId="0099E50B" w:rsidR="00432599" w:rsidRPr="00195F19" w:rsidRDefault="00432599" w:rsidP="00195F19">
      <w:pPr>
        <w:spacing w:after="120"/>
        <w:ind w:left="283" w:hanging="283"/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Předmět smlouvy</w:t>
      </w:r>
    </w:p>
    <w:p w14:paraId="745EE19F" w14:textId="4515EF70" w:rsidR="00432599" w:rsidRDefault="00432599" w:rsidP="00EF0132">
      <w:pPr>
        <w:ind w:left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 xml:space="preserve">Předmětem </w:t>
      </w:r>
      <w:r w:rsidR="00195F19">
        <w:rPr>
          <w:rFonts w:eastAsia="Open Sans"/>
          <w:color w:val="000000"/>
          <w:sz w:val="22"/>
          <w:szCs w:val="22"/>
        </w:rPr>
        <w:t xml:space="preserve">této smlouvy je poskytování právních služeb Advokátem ve prospěch Klienta (či právních úkonů jménem Klienta) v následujícím rozsahu: </w:t>
      </w:r>
      <w:r w:rsidRPr="001A469C">
        <w:rPr>
          <w:rFonts w:eastAsia="Open Sans"/>
          <w:color w:val="000000"/>
          <w:sz w:val="22"/>
          <w:szCs w:val="22"/>
        </w:rPr>
        <w:t xml:space="preserve">připomínkování či </w:t>
      </w:r>
      <w:proofErr w:type="spellStart"/>
      <w:r w:rsidRPr="001A469C">
        <w:rPr>
          <w:rFonts w:eastAsia="Open Sans"/>
          <w:color w:val="000000"/>
          <w:sz w:val="22"/>
          <w:szCs w:val="22"/>
        </w:rPr>
        <w:t>koncipace</w:t>
      </w:r>
      <w:proofErr w:type="spellEnd"/>
      <w:r w:rsidRPr="001A469C">
        <w:rPr>
          <w:rFonts w:eastAsia="Open Sans"/>
          <w:color w:val="000000"/>
          <w:sz w:val="22"/>
          <w:szCs w:val="22"/>
        </w:rPr>
        <w:t xml:space="preserve"> smluvních dokumentů, obecné právní poradenství,</w:t>
      </w:r>
      <w:r w:rsidR="00195F19">
        <w:rPr>
          <w:rFonts w:eastAsia="Open Sans"/>
          <w:color w:val="000000"/>
          <w:sz w:val="22"/>
          <w:szCs w:val="22"/>
        </w:rPr>
        <w:t xml:space="preserve"> </w:t>
      </w:r>
      <w:r w:rsidRPr="001A469C">
        <w:rPr>
          <w:rFonts w:eastAsia="Open Sans"/>
          <w:color w:val="000000"/>
          <w:sz w:val="22"/>
          <w:szCs w:val="22"/>
        </w:rPr>
        <w:t>zastupování Klienta před orgány státní moci</w:t>
      </w:r>
      <w:r w:rsidR="00195F19">
        <w:rPr>
          <w:rFonts w:eastAsia="Open Sans"/>
          <w:color w:val="000000"/>
          <w:sz w:val="22"/>
          <w:szCs w:val="22"/>
        </w:rPr>
        <w:t xml:space="preserve">. </w:t>
      </w:r>
    </w:p>
    <w:p w14:paraId="3D62144F" w14:textId="2B981D8F" w:rsidR="00195F19" w:rsidRDefault="00195F19" w:rsidP="00EF0132">
      <w:pPr>
        <w:ind w:left="284"/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Klient se zavazuje zaplatit za poskytování právních služeb </w:t>
      </w:r>
      <w:r w:rsidR="00EF0132">
        <w:rPr>
          <w:rFonts w:eastAsia="Open Sans"/>
          <w:color w:val="000000"/>
          <w:sz w:val="22"/>
          <w:szCs w:val="22"/>
        </w:rPr>
        <w:t>Advokátovi</w:t>
      </w:r>
      <w:r>
        <w:rPr>
          <w:rFonts w:eastAsia="Open Sans"/>
          <w:color w:val="000000"/>
          <w:sz w:val="22"/>
          <w:szCs w:val="22"/>
        </w:rPr>
        <w:t xml:space="preserve"> stanovenou odměnu. </w:t>
      </w:r>
    </w:p>
    <w:p w14:paraId="74B464FF" w14:textId="77777777" w:rsidR="00195F19" w:rsidRDefault="00195F19" w:rsidP="00195F19">
      <w:pPr>
        <w:ind w:left="426"/>
        <w:jc w:val="both"/>
        <w:rPr>
          <w:rFonts w:eastAsia="Open Sans"/>
          <w:color w:val="000000"/>
          <w:sz w:val="22"/>
          <w:szCs w:val="22"/>
        </w:rPr>
      </w:pPr>
    </w:p>
    <w:p w14:paraId="7F162045" w14:textId="13D73354" w:rsidR="00195F19" w:rsidRPr="00195F19" w:rsidRDefault="00195F19" w:rsidP="00195F19">
      <w:pPr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95F19">
        <w:rPr>
          <w:rFonts w:eastAsia="Open Sans"/>
          <w:b/>
          <w:bCs/>
          <w:color w:val="000000"/>
          <w:sz w:val="22"/>
          <w:szCs w:val="22"/>
        </w:rPr>
        <w:t>II.</w:t>
      </w:r>
    </w:p>
    <w:p w14:paraId="244A7C75" w14:textId="6081A989" w:rsidR="00195F19" w:rsidRDefault="00195F19" w:rsidP="00195F19">
      <w:pPr>
        <w:spacing w:after="120"/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95F19">
        <w:rPr>
          <w:rFonts w:eastAsia="Open Sans"/>
          <w:b/>
          <w:bCs/>
          <w:color w:val="000000"/>
          <w:sz w:val="22"/>
          <w:szCs w:val="22"/>
        </w:rPr>
        <w:t>Doba a místo plnění</w:t>
      </w:r>
    </w:p>
    <w:p w14:paraId="766F4661" w14:textId="6C642710" w:rsidR="00195F19" w:rsidRDefault="00195F19" w:rsidP="00EF0132">
      <w:pPr>
        <w:ind w:left="284"/>
        <w:rPr>
          <w:rFonts w:eastAsia="Open Sans"/>
          <w:color w:val="000000"/>
          <w:sz w:val="22"/>
          <w:szCs w:val="22"/>
        </w:rPr>
      </w:pPr>
      <w:r w:rsidRPr="00195F19">
        <w:rPr>
          <w:rFonts w:eastAsia="Open Sans"/>
          <w:color w:val="000000"/>
          <w:sz w:val="22"/>
          <w:szCs w:val="22"/>
        </w:rPr>
        <w:t xml:space="preserve">Smlouva se uzavírá na dobu určitou, a to </w:t>
      </w:r>
      <w:r w:rsidRPr="008A7491">
        <w:rPr>
          <w:rFonts w:eastAsia="Open Sans"/>
          <w:b/>
          <w:bCs/>
          <w:color w:val="000000"/>
          <w:sz w:val="22"/>
          <w:szCs w:val="22"/>
        </w:rPr>
        <w:t>do 30. 4. 2025</w:t>
      </w:r>
      <w:r>
        <w:rPr>
          <w:rFonts w:eastAsia="Open Sans"/>
          <w:color w:val="000000"/>
          <w:sz w:val="22"/>
          <w:szCs w:val="22"/>
        </w:rPr>
        <w:t xml:space="preserve">. Místem plnění je Praha. </w:t>
      </w:r>
      <w:r w:rsidRPr="00195F19">
        <w:rPr>
          <w:rFonts w:eastAsia="Open Sans"/>
          <w:color w:val="000000"/>
          <w:sz w:val="22"/>
          <w:szCs w:val="22"/>
        </w:rPr>
        <w:t xml:space="preserve">Klient je oprávněn tuto smlouvu vypovědět i bez udání </w:t>
      </w:r>
      <w:r>
        <w:rPr>
          <w:rFonts w:eastAsia="Open Sans"/>
          <w:color w:val="000000"/>
          <w:sz w:val="22"/>
          <w:szCs w:val="22"/>
        </w:rPr>
        <w:t>důvodu,</w:t>
      </w:r>
      <w:r w:rsidRPr="00195F19">
        <w:rPr>
          <w:rFonts w:eastAsia="Open Sans"/>
          <w:color w:val="000000"/>
          <w:sz w:val="22"/>
          <w:szCs w:val="22"/>
        </w:rPr>
        <w:t xml:space="preserve"> s patnáctidenní výpovědní lhůtou.</w:t>
      </w:r>
    </w:p>
    <w:p w14:paraId="23FCA54F" w14:textId="77777777" w:rsidR="00195F19" w:rsidRDefault="00195F19" w:rsidP="00432599">
      <w:pPr>
        <w:jc w:val="center"/>
        <w:rPr>
          <w:rFonts w:eastAsia="Open Sans"/>
          <w:b/>
          <w:bCs/>
          <w:color w:val="000000"/>
          <w:sz w:val="22"/>
          <w:szCs w:val="22"/>
        </w:rPr>
      </w:pPr>
    </w:p>
    <w:p w14:paraId="36FEF6CF" w14:textId="2E5E8BA9" w:rsidR="00432599" w:rsidRPr="001A469C" w:rsidRDefault="00432599" w:rsidP="00432599">
      <w:pPr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II</w:t>
      </w:r>
      <w:r w:rsidR="00195F19">
        <w:rPr>
          <w:rFonts w:eastAsia="Open Sans"/>
          <w:b/>
          <w:bCs/>
          <w:color w:val="000000"/>
          <w:sz w:val="22"/>
          <w:szCs w:val="22"/>
        </w:rPr>
        <w:t>I</w:t>
      </w:r>
      <w:r w:rsidRPr="001A469C">
        <w:rPr>
          <w:rFonts w:eastAsia="Open Sans"/>
          <w:b/>
          <w:bCs/>
          <w:color w:val="000000"/>
          <w:sz w:val="22"/>
          <w:szCs w:val="22"/>
        </w:rPr>
        <w:t>.</w:t>
      </w:r>
    </w:p>
    <w:p w14:paraId="6E675703" w14:textId="73E2B3E7" w:rsidR="00432599" w:rsidRPr="00EF0132" w:rsidRDefault="00432599" w:rsidP="00EF0132">
      <w:pPr>
        <w:spacing w:after="120"/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 xml:space="preserve">Odměna </w:t>
      </w:r>
      <w:r w:rsidR="00195F19">
        <w:rPr>
          <w:rFonts w:eastAsia="Open Sans"/>
          <w:b/>
          <w:bCs/>
          <w:color w:val="000000"/>
          <w:sz w:val="22"/>
          <w:szCs w:val="22"/>
        </w:rPr>
        <w:t xml:space="preserve">a platební podmínky </w:t>
      </w:r>
    </w:p>
    <w:p w14:paraId="0D820800" w14:textId="64064FF4" w:rsidR="00432599" w:rsidRPr="001A469C" w:rsidRDefault="00EF0132" w:rsidP="00EF0132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 xml:space="preserve">Odměna za právní služby Advokáta je stanovena následovně: Měsíční fakturace dle uskutečněných hodin poskytnuté právní pomoci ve výši </w:t>
      </w:r>
      <w:proofErr w:type="gramStart"/>
      <w:r w:rsidRPr="008A7491">
        <w:rPr>
          <w:rFonts w:eastAsia="Open Sans"/>
          <w:b/>
          <w:bCs/>
          <w:color w:val="000000"/>
          <w:sz w:val="22"/>
          <w:szCs w:val="22"/>
        </w:rPr>
        <w:t>1.750,-</w:t>
      </w:r>
      <w:proofErr w:type="gramEnd"/>
      <w:r w:rsidRPr="008A7491">
        <w:rPr>
          <w:rFonts w:eastAsia="Open Sans"/>
          <w:b/>
          <w:bCs/>
          <w:color w:val="000000"/>
          <w:sz w:val="22"/>
          <w:szCs w:val="22"/>
        </w:rPr>
        <w:t xml:space="preserve"> Kč/hodina</w:t>
      </w:r>
      <w:r>
        <w:rPr>
          <w:rFonts w:eastAsia="Open Sans"/>
          <w:color w:val="000000"/>
          <w:sz w:val="22"/>
          <w:szCs w:val="22"/>
        </w:rPr>
        <w:t xml:space="preserve">. Advokát není plátcem DPH. Smluvní strany se dohodly na odměně dle uvedené hodinové sazby. Telefonní hovory uskutečněné mezi Klientem a Advokátem budou účtovány jako poskytnutí právních </w:t>
      </w:r>
      <w:r w:rsidR="003C0E7F">
        <w:rPr>
          <w:rFonts w:eastAsia="Open Sans"/>
          <w:color w:val="000000"/>
          <w:sz w:val="22"/>
          <w:szCs w:val="22"/>
        </w:rPr>
        <w:t>služeb,</w:t>
      </w:r>
      <w:r>
        <w:rPr>
          <w:rFonts w:eastAsia="Open Sans"/>
          <w:color w:val="000000"/>
          <w:sz w:val="22"/>
          <w:szCs w:val="22"/>
        </w:rPr>
        <w:t xml:space="preserve"> pokud přesáhnou půl hodinu. </w:t>
      </w:r>
    </w:p>
    <w:p w14:paraId="5079AFDB" w14:textId="77777777" w:rsidR="00432599" w:rsidRPr="001A469C" w:rsidRDefault="00432599" w:rsidP="00EF0132">
      <w:pPr>
        <w:pStyle w:val="Odstavecseseznamem"/>
        <w:ind w:left="284" w:hanging="284"/>
        <w:jc w:val="both"/>
        <w:rPr>
          <w:rFonts w:eastAsia="Open Sans"/>
          <w:color w:val="000000"/>
          <w:sz w:val="22"/>
          <w:szCs w:val="22"/>
        </w:rPr>
      </w:pPr>
    </w:p>
    <w:p w14:paraId="675C45D0" w14:textId="12B803E9" w:rsidR="00432599" w:rsidRPr="001A469C" w:rsidRDefault="00432599" w:rsidP="00EF0132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lastRenderedPageBreak/>
        <w:t xml:space="preserve">Smluvní strany se dohodly, že Advokát bude Klientovi fakturovat poskytnuté právní služby jednou měsíčně, vždy </w:t>
      </w:r>
      <w:r w:rsidR="00EF0132">
        <w:rPr>
          <w:rFonts w:eastAsia="Open Sans"/>
          <w:color w:val="000000"/>
          <w:sz w:val="22"/>
          <w:szCs w:val="22"/>
        </w:rPr>
        <w:t xml:space="preserve">k 1. dni následujícího měsíce, nejpozději pak </w:t>
      </w:r>
      <w:r w:rsidRPr="001A469C">
        <w:rPr>
          <w:rFonts w:eastAsia="Open Sans"/>
          <w:color w:val="000000"/>
          <w:sz w:val="22"/>
          <w:szCs w:val="22"/>
        </w:rPr>
        <w:t xml:space="preserve">do 15. dne měsíce následujícího po měsíci, za který je fakturováno. Klient je oprávněn rozsah služeb či jejich provedení reklamovat do 5 dnů od doručení faktury, přičemž Advokát je povinen reklamaci Klienta vyřešit do 3 (tří) dnů od zaslané reklamace. </w:t>
      </w:r>
      <w:r w:rsidR="00EF0132">
        <w:rPr>
          <w:rFonts w:eastAsia="Open Sans"/>
          <w:color w:val="000000"/>
          <w:sz w:val="22"/>
          <w:szCs w:val="22"/>
        </w:rPr>
        <w:t xml:space="preserve">Splatnost faktur činí patnáct kalendářních dní. </w:t>
      </w:r>
      <w:r w:rsidR="003C0E7F">
        <w:rPr>
          <w:rFonts w:eastAsia="Open Sans"/>
          <w:color w:val="000000"/>
          <w:sz w:val="22"/>
          <w:szCs w:val="22"/>
        </w:rPr>
        <w:t xml:space="preserve">Přílohou faktury bude přehled úkonů a času právních služeb. </w:t>
      </w:r>
    </w:p>
    <w:p w14:paraId="59EF33EC" w14:textId="77777777" w:rsidR="00432599" w:rsidRPr="001A469C" w:rsidRDefault="00432599" w:rsidP="00EF0132">
      <w:pPr>
        <w:ind w:left="284" w:hanging="284"/>
        <w:jc w:val="both"/>
        <w:rPr>
          <w:rFonts w:eastAsia="Open Sans"/>
          <w:color w:val="000000"/>
          <w:sz w:val="22"/>
          <w:szCs w:val="22"/>
        </w:rPr>
      </w:pPr>
    </w:p>
    <w:p w14:paraId="48A7CC23" w14:textId="7EF0F789" w:rsidR="00432599" w:rsidRPr="001A469C" w:rsidRDefault="00432599" w:rsidP="00EF0132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 xml:space="preserve">V případě, že odměna přesáhne </w:t>
      </w:r>
      <w:proofErr w:type="gramStart"/>
      <w:r w:rsidR="008A7491">
        <w:rPr>
          <w:rFonts w:eastAsia="Open Sans"/>
          <w:color w:val="000000"/>
          <w:sz w:val="22"/>
          <w:szCs w:val="22"/>
        </w:rPr>
        <w:t>10</w:t>
      </w:r>
      <w:r w:rsidRPr="001A469C">
        <w:rPr>
          <w:rFonts w:eastAsia="Open Sans"/>
          <w:color w:val="000000"/>
          <w:sz w:val="22"/>
          <w:szCs w:val="22"/>
        </w:rPr>
        <w:t>.</w:t>
      </w:r>
      <w:r w:rsidR="00EF0132">
        <w:rPr>
          <w:rFonts w:eastAsia="Open Sans"/>
          <w:color w:val="000000"/>
          <w:sz w:val="22"/>
          <w:szCs w:val="22"/>
        </w:rPr>
        <w:t>50</w:t>
      </w:r>
      <w:r w:rsidR="008A7491">
        <w:rPr>
          <w:rFonts w:eastAsia="Open Sans"/>
          <w:color w:val="000000"/>
          <w:sz w:val="22"/>
          <w:szCs w:val="22"/>
        </w:rPr>
        <w:t>0</w:t>
      </w:r>
      <w:r w:rsidRPr="001A469C">
        <w:rPr>
          <w:rFonts w:eastAsia="Open Sans"/>
          <w:color w:val="000000"/>
          <w:sz w:val="22"/>
          <w:szCs w:val="22"/>
        </w:rPr>
        <w:t>,-</w:t>
      </w:r>
      <w:proofErr w:type="gramEnd"/>
      <w:r w:rsidRPr="001A469C">
        <w:rPr>
          <w:rFonts w:eastAsia="Open Sans"/>
          <w:color w:val="000000"/>
          <w:sz w:val="22"/>
          <w:szCs w:val="22"/>
        </w:rPr>
        <w:t xml:space="preserve"> Kč v rámci jednoho měsíce, bude Advokát Klienta bezprostředně kontaktovat a budou mezi smluvními stranami dohodnuty další podmínky spolupráce a odměny Advokáta.  </w:t>
      </w:r>
    </w:p>
    <w:p w14:paraId="028C4F80" w14:textId="77777777" w:rsidR="00432599" w:rsidRPr="001A469C" w:rsidRDefault="00432599" w:rsidP="00EF0132">
      <w:pPr>
        <w:rPr>
          <w:rFonts w:eastAsia="Open Sans"/>
          <w:b/>
          <w:bCs/>
          <w:color w:val="000000"/>
          <w:sz w:val="22"/>
          <w:szCs w:val="22"/>
        </w:rPr>
      </w:pPr>
    </w:p>
    <w:p w14:paraId="5BD2A529" w14:textId="77777777" w:rsidR="00432599" w:rsidRPr="001A469C" w:rsidRDefault="00432599" w:rsidP="00432599">
      <w:pPr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III.</w:t>
      </w:r>
    </w:p>
    <w:p w14:paraId="7A17868C" w14:textId="748FECA9" w:rsidR="00432599" w:rsidRPr="00EF0132" w:rsidRDefault="00432599" w:rsidP="00EF0132">
      <w:pPr>
        <w:spacing w:after="120"/>
        <w:ind w:left="283" w:hanging="283"/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Obecná ustanovení</w:t>
      </w:r>
    </w:p>
    <w:p w14:paraId="73919893" w14:textId="77777777" w:rsidR="00432599" w:rsidRPr="001A469C" w:rsidRDefault="00432599" w:rsidP="00EF0132">
      <w:pPr>
        <w:pStyle w:val="Odstavecseseznamem"/>
        <w:numPr>
          <w:ilvl w:val="0"/>
          <w:numId w:val="3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Advokát poskytuje služby přísně právního charakteru a neodpovídá za jakákoliv obchodní a jiná rozhodnutí Klienta.</w:t>
      </w:r>
    </w:p>
    <w:p w14:paraId="33973903" w14:textId="77777777" w:rsidR="00432599" w:rsidRPr="001A469C" w:rsidRDefault="00432599" w:rsidP="00EF0132">
      <w:pPr>
        <w:ind w:left="284" w:hanging="284"/>
        <w:jc w:val="both"/>
        <w:rPr>
          <w:rFonts w:eastAsia="Open Sans"/>
          <w:color w:val="000000"/>
          <w:sz w:val="22"/>
          <w:szCs w:val="22"/>
        </w:rPr>
      </w:pPr>
    </w:p>
    <w:p w14:paraId="4B72FA70" w14:textId="77777777" w:rsidR="00432599" w:rsidRPr="001A469C" w:rsidRDefault="00432599" w:rsidP="00EF0132">
      <w:pPr>
        <w:pStyle w:val="Odstavecseseznamem"/>
        <w:numPr>
          <w:ilvl w:val="0"/>
          <w:numId w:val="3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Advokát je odpovědný za všechny právní služby poskytnuté Klientovi a je povinen při poskytování právních služeb postupovat s veškerou odbornou péčí.</w:t>
      </w:r>
    </w:p>
    <w:p w14:paraId="14FE6611" w14:textId="77777777" w:rsidR="00432599" w:rsidRPr="001A469C" w:rsidRDefault="00432599" w:rsidP="00EF0132">
      <w:pPr>
        <w:ind w:left="284" w:hanging="284"/>
        <w:jc w:val="both"/>
        <w:rPr>
          <w:rFonts w:eastAsia="Open Sans"/>
          <w:color w:val="000000"/>
          <w:sz w:val="22"/>
          <w:szCs w:val="22"/>
        </w:rPr>
      </w:pPr>
    </w:p>
    <w:p w14:paraId="7E9E69AC" w14:textId="77777777" w:rsidR="00432599" w:rsidRPr="001A469C" w:rsidRDefault="00432599" w:rsidP="00EF0132">
      <w:pPr>
        <w:pStyle w:val="Odstavecseseznamem"/>
        <w:numPr>
          <w:ilvl w:val="0"/>
          <w:numId w:val="3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Před započetím a po celou dobu poskytování právních služeb podle této smlouvy se Advokát zavazuje konzultovat s Klientem postup tak, aby bylo dosaženo časového, efektivního a účinného výsledku.</w:t>
      </w:r>
    </w:p>
    <w:p w14:paraId="1E48E0F9" w14:textId="77777777" w:rsidR="00432599" w:rsidRPr="001A469C" w:rsidRDefault="00432599" w:rsidP="00EF0132">
      <w:pPr>
        <w:ind w:left="284" w:hanging="284"/>
        <w:jc w:val="both"/>
        <w:rPr>
          <w:rFonts w:eastAsia="Open Sans"/>
          <w:color w:val="000000"/>
          <w:sz w:val="22"/>
          <w:szCs w:val="22"/>
        </w:rPr>
      </w:pPr>
    </w:p>
    <w:p w14:paraId="6CEB831A" w14:textId="02D4CFCD" w:rsidR="00432599" w:rsidRPr="001A469C" w:rsidRDefault="00432599" w:rsidP="00EF0132">
      <w:pPr>
        <w:pStyle w:val="Odstavecseseznamem"/>
        <w:numPr>
          <w:ilvl w:val="0"/>
          <w:numId w:val="3"/>
        </w:numPr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 xml:space="preserve">Klient se zavazuje poskytovat dostatečné informace </w:t>
      </w:r>
      <w:r w:rsidR="00EF0132" w:rsidRPr="001A469C">
        <w:rPr>
          <w:rFonts w:eastAsia="Open Sans"/>
          <w:color w:val="000000"/>
          <w:sz w:val="22"/>
          <w:szCs w:val="22"/>
        </w:rPr>
        <w:t>a materiály</w:t>
      </w:r>
      <w:r w:rsidRPr="001A469C">
        <w:rPr>
          <w:rFonts w:eastAsia="Open Sans"/>
          <w:color w:val="000000"/>
          <w:sz w:val="22"/>
          <w:szCs w:val="22"/>
        </w:rPr>
        <w:t>, které Advokát potřebuje k efektivnímu poskytování právních služeb.</w:t>
      </w:r>
    </w:p>
    <w:p w14:paraId="5072B1A1" w14:textId="77777777" w:rsidR="00432599" w:rsidRPr="001A469C" w:rsidRDefault="00432599" w:rsidP="008A7491">
      <w:pPr>
        <w:rPr>
          <w:rFonts w:eastAsia="Open Sans"/>
          <w:b/>
          <w:bCs/>
          <w:color w:val="000000"/>
          <w:sz w:val="22"/>
          <w:szCs w:val="22"/>
        </w:rPr>
      </w:pPr>
    </w:p>
    <w:p w14:paraId="5B154E25" w14:textId="0534487C" w:rsidR="00432599" w:rsidRPr="001A469C" w:rsidRDefault="008A7491" w:rsidP="00432599">
      <w:pPr>
        <w:ind w:left="360" w:hanging="360"/>
        <w:jc w:val="center"/>
        <w:rPr>
          <w:rFonts w:eastAsia="Open Sans"/>
          <w:b/>
          <w:bCs/>
          <w:color w:val="000000"/>
          <w:sz w:val="22"/>
          <w:szCs w:val="22"/>
        </w:rPr>
      </w:pPr>
      <w:r>
        <w:rPr>
          <w:rFonts w:eastAsia="Open Sans"/>
          <w:b/>
          <w:bCs/>
          <w:color w:val="000000"/>
          <w:sz w:val="22"/>
          <w:szCs w:val="22"/>
        </w:rPr>
        <w:t>I</w:t>
      </w:r>
      <w:r w:rsidR="00432599" w:rsidRPr="001A469C">
        <w:rPr>
          <w:rFonts w:eastAsia="Open Sans"/>
          <w:b/>
          <w:bCs/>
          <w:color w:val="000000"/>
          <w:sz w:val="22"/>
          <w:szCs w:val="22"/>
        </w:rPr>
        <w:t>V.</w:t>
      </w:r>
    </w:p>
    <w:p w14:paraId="1DE635E1" w14:textId="3DF52374" w:rsidR="00432599" w:rsidRPr="008A7491" w:rsidRDefault="008A7491" w:rsidP="008A7491">
      <w:pPr>
        <w:spacing w:after="120"/>
        <w:jc w:val="center"/>
        <w:rPr>
          <w:rFonts w:eastAsia="Open Sans"/>
          <w:b/>
          <w:bCs/>
          <w:color w:val="000000"/>
          <w:sz w:val="22"/>
          <w:szCs w:val="22"/>
        </w:rPr>
      </w:pPr>
      <w:r>
        <w:rPr>
          <w:rFonts w:eastAsia="Open Sans"/>
          <w:b/>
          <w:bCs/>
          <w:color w:val="000000"/>
          <w:sz w:val="22"/>
          <w:szCs w:val="22"/>
        </w:rPr>
        <w:t>D</w:t>
      </w:r>
      <w:r w:rsidR="00432599" w:rsidRPr="001A469C">
        <w:rPr>
          <w:rFonts w:eastAsia="Open Sans"/>
          <w:b/>
          <w:bCs/>
          <w:color w:val="000000"/>
          <w:sz w:val="22"/>
          <w:szCs w:val="22"/>
        </w:rPr>
        <w:t>ůvěrnost informací</w:t>
      </w:r>
    </w:p>
    <w:p w14:paraId="19DF8D82" w14:textId="2DF1E7DC" w:rsidR="00432599" w:rsidRPr="001A469C" w:rsidRDefault="00432599" w:rsidP="008A7491">
      <w:pPr>
        <w:ind w:left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 xml:space="preserve">Pokud není sjednáno písemně jinak, žádná ze smluvních stran není oprávněna zveřejnit jakoukoliv informaci ohledně druhé strany, ohledně služeb a činností poskytovaných stranami nebo jakékoliv jiné informace, které strany získaly v průběhu spolupráce. Jakákoliv informace svěřená Advokátovi bude považována za přísně důvěrnou. </w:t>
      </w:r>
    </w:p>
    <w:p w14:paraId="05A7BCD7" w14:textId="77777777" w:rsidR="008A7491" w:rsidRDefault="008A7491" w:rsidP="008A7491">
      <w:pPr>
        <w:rPr>
          <w:rFonts w:eastAsia="Open Sans"/>
          <w:b/>
          <w:bCs/>
          <w:color w:val="000000"/>
          <w:sz w:val="22"/>
          <w:szCs w:val="22"/>
        </w:rPr>
      </w:pPr>
    </w:p>
    <w:p w14:paraId="4C99B7F4" w14:textId="41CD5D91" w:rsidR="00432599" w:rsidRPr="001A469C" w:rsidRDefault="00432599" w:rsidP="00432599">
      <w:pPr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V.</w:t>
      </w:r>
    </w:p>
    <w:p w14:paraId="7C8EC65C" w14:textId="328CC181" w:rsidR="00432599" w:rsidRPr="008A7491" w:rsidRDefault="00432599" w:rsidP="008A7491">
      <w:pPr>
        <w:spacing w:after="120"/>
        <w:jc w:val="center"/>
        <w:rPr>
          <w:rFonts w:eastAsia="Open Sans"/>
          <w:b/>
          <w:bCs/>
          <w:color w:val="000000"/>
          <w:sz w:val="22"/>
          <w:szCs w:val="22"/>
        </w:rPr>
      </w:pPr>
      <w:r w:rsidRPr="001A469C">
        <w:rPr>
          <w:rFonts w:eastAsia="Open Sans"/>
          <w:b/>
          <w:bCs/>
          <w:color w:val="000000"/>
          <w:sz w:val="22"/>
          <w:szCs w:val="22"/>
        </w:rPr>
        <w:t>Závěrečná ustanovení</w:t>
      </w:r>
    </w:p>
    <w:p w14:paraId="336BB8D0" w14:textId="2CC007A5" w:rsidR="00432599" w:rsidRPr="008A7491" w:rsidRDefault="00432599" w:rsidP="008A7491">
      <w:pPr>
        <w:pStyle w:val="Odstavecseseznamem"/>
        <w:ind w:left="284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 xml:space="preserve">Obsah této smlouvy může být měněn jen dohodou obou smluvních </w:t>
      </w:r>
      <w:r w:rsidR="008A7491" w:rsidRPr="001A469C">
        <w:rPr>
          <w:rFonts w:eastAsia="Open Sans"/>
          <w:color w:val="000000"/>
          <w:sz w:val="22"/>
          <w:szCs w:val="22"/>
        </w:rPr>
        <w:t>stran,</w:t>
      </w:r>
      <w:r w:rsidRPr="001A469C">
        <w:rPr>
          <w:rFonts w:eastAsia="Open Sans"/>
          <w:color w:val="000000"/>
          <w:sz w:val="22"/>
          <w:szCs w:val="22"/>
        </w:rPr>
        <w:t xml:space="preserve"> a to vždy toliko písemnými dodatky. </w:t>
      </w:r>
      <w:r w:rsidRPr="008A7491">
        <w:rPr>
          <w:rFonts w:eastAsia="Open Sans"/>
          <w:color w:val="000000"/>
          <w:sz w:val="22"/>
          <w:szCs w:val="22"/>
        </w:rPr>
        <w:t>Smlouva je platná a účinná dnem podpisu poslední smluvní stranou.</w:t>
      </w:r>
      <w:r w:rsidR="008A7491">
        <w:rPr>
          <w:rFonts w:eastAsia="Open Sans"/>
          <w:color w:val="000000"/>
          <w:sz w:val="22"/>
          <w:szCs w:val="22"/>
        </w:rPr>
        <w:t xml:space="preserve"> </w:t>
      </w:r>
      <w:r w:rsidRPr="008A7491">
        <w:rPr>
          <w:rFonts w:eastAsia="Open Sans"/>
          <w:color w:val="000000"/>
          <w:sz w:val="22"/>
          <w:szCs w:val="22"/>
        </w:rPr>
        <w:t>Smlouva se vyhotovuje ve dvou stejnopisech vlastnoručně signovaných odpovědnými zástupci obou smluvních stran, z nichž každé smluvní straně přísluší po jednom vyhotovení.</w:t>
      </w:r>
    </w:p>
    <w:p w14:paraId="469DC618" w14:textId="77777777" w:rsidR="00432599" w:rsidRPr="001A469C" w:rsidRDefault="00432599" w:rsidP="00432599">
      <w:pPr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 </w:t>
      </w:r>
    </w:p>
    <w:p w14:paraId="08A5D929" w14:textId="77777777" w:rsidR="00432599" w:rsidRPr="001A469C" w:rsidRDefault="00432599" w:rsidP="00432599">
      <w:pPr>
        <w:jc w:val="both"/>
        <w:rPr>
          <w:rFonts w:eastAsia="Open Sans"/>
          <w:color w:val="000000"/>
          <w:sz w:val="22"/>
          <w:szCs w:val="22"/>
        </w:rPr>
      </w:pPr>
    </w:p>
    <w:p w14:paraId="5D889EAF" w14:textId="6DCBDA89" w:rsidR="00432599" w:rsidRPr="001A469C" w:rsidRDefault="00432599" w:rsidP="00432599">
      <w:pPr>
        <w:ind w:left="567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>V Praze dne</w:t>
      </w:r>
      <w:r w:rsidR="008B10C9">
        <w:rPr>
          <w:rFonts w:eastAsia="Open Sans"/>
          <w:color w:val="000000"/>
          <w:sz w:val="22"/>
          <w:szCs w:val="22"/>
        </w:rPr>
        <w:t xml:space="preserve"> 7.11.2024</w:t>
      </w:r>
      <w:r w:rsidRPr="001A469C">
        <w:rPr>
          <w:rFonts w:eastAsia="Open Sans"/>
          <w:color w:val="000000"/>
          <w:sz w:val="22"/>
          <w:szCs w:val="22"/>
        </w:rPr>
        <w:tab/>
        <w:t xml:space="preserve">      </w:t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  <w:t xml:space="preserve">         </w:t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  <w:t xml:space="preserve">                  V Praze dne</w:t>
      </w:r>
    </w:p>
    <w:p w14:paraId="5D3C8088" w14:textId="77777777" w:rsidR="00432599" w:rsidRPr="001A469C" w:rsidRDefault="00432599" w:rsidP="00432599">
      <w:pPr>
        <w:ind w:left="567"/>
        <w:jc w:val="both"/>
        <w:rPr>
          <w:rFonts w:eastAsia="Open Sans"/>
          <w:color w:val="000000"/>
          <w:sz w:val="22"/>
          <w:szCs w:val="22"/>
        </w:rPr>
      </w:pPr>
    </w:p>
    <w:p w14:paraId="751BBCE4" w14:textId="77777777" w:rsidR="00432599" w:rsidRPr="001A469C" w:rsidRDefault="00432599" w:rsidP="00432599">
      <w:pPr>
        <w:ind w:left="567"/>
        <w:jc w:val="both"/>
        <w:rPr>
          <w:rFonts w:eastAsia="Open Sans"/>
          <w:color w:val="000000"/>
          <w:sz w:val="22"/>
          <w:szCs w:val="22"/>
        </w:rPr>
      </w:pPr>
      <w:r w:rsidRPr="001A469C">
        <w:rPr>
          <w:rFonts w:eastAsia="Open Sans"/>
          <w:color w:val="000000"/>
          <w:sz w:val="22"/>
          <w:szCs w:val="22"/>
        </w:rPr>
        <w:t xml:space="preserve">Advokát: </w:t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</w:r>
      <w:r w:rsidRPr="001A469C">
        <w:rPr>
          <w:rFonts w:eastAsia="Open Sans"/>
          <w:color w:val="000000"/>
          <w:sz w:val="22"/>
          <w:szCs w:val="22"/>
        </w:rPr>
        <w:tab/>
        <w:t xml:space="preserve">    Klient:</w:t>
      </w:r>
    </w:p>
    <w:p w14:paraId="2AE62DEF" w14:textId="77777777" w:rsidR="00432599" w:rsidRPr="001A469C" w:rsidRDefault="00432599" w:rsidP="008A7491">
      <w:pPr>
        <w:jc w:val="both"/>
        <w:rPr>
          <w:rFonts w:eastAsia="Open Sans"/>
          <w:color w:val="000000"/>
          <w:sz w:val="22"/>
          <w:szCs w:val="22"/>
        </w:rPr>
      </w:pPr>
    </w:p>
    <w:p w14:paraId="5B7D004A" w14:textId="77777777" w:rsidR="00432599" w:rsidRDefault="00432599" w:rsidP="00432599">
      <w:pPr>
        <w:ind w:left="567"/>
        <w:jc w:val="both"/>
        <w:rPr>
          <w:rFonts w:eastAsia="Open Sans"/>
          <w:color w:val="000000"/>
          <w:sz w:val="22"/>
          <w:szCs w:val="22"/>
        </w:rPr>
      </w:pPr>
    </w:p>
    <w:p w14:paraId="44CCF087" w14:textId="77777777" w:rsidR="008A7491" w:rsidRPr="001A469C" w:rsidRDefault="008A7491" w:rsidP="00432599">
      <w:pPr>
        <w:ind w:left="567"/>
        <w:jc w:val="both"/>
        <w:rPr>
          <w:rFonts w:eastAsia="Open Sans"/>
          <w:color w:val="000000"/>
          <w:sz w:val="22"/>
          <w:szCs w:val="22"/>
        </w:rPr>
      </w:pPr>
    </w:p>
    <w:tbl>
      <w:tblPr>
        <w:tblW w:w="0" w:type="auto"/>
        <w:tblInd w:w="506" w:type="dxa"/>
        <w:tblLook w:val="01E0" w:firstRow="1" w:lastRow="1" w:firstColumn="1" w:lastColumn="1" w:noHBand="0" w:noVBand="0"/>
      </w:tblPr>
      <w:tblGrid>
        <w:gridCol w:w="4854"/>
        <w:gridCol w:w="4744"/>
      </w:tblGrid>
      <w:tr w:rsidR="00432599" w:rsidRPr="001A469C" w14:paraId="4C918AD0" w14:textId="77777777" w:rsidTr="00432599">
        <w:tc>
          <w:tcPr>
            <w:tcW w:w="4605" w:type="dxa"/>
            <w:shd w:val="clear" w:color="auto" w:fill="auto"/>
          </w:tcPr>
          <w:p w14:paraId="6581083F" w14:textId="77777777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  <w:r w:rsidRPr="001A469C">
              <w:rPr>
                <w:rFonts w:eastAsia="Open Sans"/>
                <w:color w:val="000000"/>
                <w:sz w:val="22"/>
                <w:szCs w:val="22"/>
              </w:rPr>
              <w:t>_____________________________________</w:t>
            </w:r>
          </w:p>
          <w:p w14:paraId="22265246" w14:textId="4BD9B30C" w:rsidR="00432599" w:rsidRPr="008A7491" w:rsidRDefault="00432599" w:rsidP="00432599">
            <w:pPr>
              <w:ind w:left="567"/>
              <w:jc w:val="both"/>
              <w:rPr>
                <w:rFonts w:eastAsia="Open Sans"/>
                <w:b/>
                <w:bCs/>
                <w:color w:val="000000"/>
                <w:sz w:val="22"/>
                <w:szCs w:val="22"/>
              </w:rPr>
            </w:pPr>
            <w:r w:rsidRPr="008A7491">
              <w:rPr>
                <w:rFonts w:eastAsia="Open Sans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8A7491" w:rsidRPr="008A7491">
              <w:rPr>
                <w:rFonts w:eastAsia="Open Sans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8A7491">
              <w:rPr>
                <w:rFonts w:eastAsia="Open Sans"/>
                <w:b/>
                <w:bCs/>
                <w:color w:val="000000"/>
                <w:sz w:val="22"/>
                <w:szCs w:val="22"/>
              </w:rPr>
              <w:t xml:space="preserve"> Mgr. Anna Koller</w:t>
            </w:r>
          </w:p>
          <w:p w14:paraId="332F04CC" w14:textId="77777777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DD7D6E2" w14:textId="77777777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  <w:r w:rsidRPr="001A469C">
              <w:rPr>
                <w:rFonts w:eastAsia="Open Sans"/>
                <w:color w:val="000000"/>
                <w:sz w:val="22"/>
                <w:szCs w:val="22"/>
              </w:rPr>
              <w:t>____________________________________</w:t>
            </w:r>
          </w:p>
          <w:p w14:paraId="4C5B6E99" w14:textId="4848D483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  <w:r w:rsidRPr="001A469C">
              <w:rPr>
                <w:rFonts w:eastAsia="Open Sans"/>
                <w:color w:val="000000"/>
                <w:sz w:val="22"/>
                <w:szCs w:val="22"/>
              </w:rPr>
              <w:t xml:space="preserve">             </w:t>
            </w:r>
            <w:r w:rsidR="008A7491">
              <w:rPr>
                <w:rFonts w:eastAsia="Open Sans"/>
                <w:color w:val="000000"/>
                <w:sz w:val="22"/>
                <w:szCs w:val="22"/>
              </w:rPr>
              <w:t xml:space="preserve">        </w:t>
            </w:r>
            <w:r w:rsidR="008A7491" w:rsidRPr="001A469C">
              <w:rPr>
                <w:rFonts w:eastAsia="Open Sans"/>
                <w:b/>
                <w:bCs/>
                <w:color w:val="000000"/>
                <w:sz w:val="22"/>
                <w:szCs w:val="22"/>
              </w:rPr>
              <w:t>Památník ticha</w:t>
            </w:r>
          </w:p>
          <w:p w14:paraId="6AAEBCE5" w14:textId="29975FBB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  <w:r w:rsidRPr="001A469C">
              <w:rPr>
                <w:rFonts w:eastAsia="Open Sans"/>
                <w:color w:val="000000"/>
                <w:sz w:val="22"/>
                <w:szCs w:val="22"/>
              </w:rPr>
              <w:t xml:space="preserve">   </w:t>
            </w:r>
            <w:r w:rsidR="008A7491">
              <w:rPr>
                <w:rFonts w:eastAsia="Open Sans"/>
                <w:color w:val="000000"/>
                <w:sz w:val="22"/>
                <w:szCs w:val="22"/>
              </w:rPr>
              <w:t xml:space="preserve">        </w:t>
            </w:r>
            <w:r w:rsidRPr="001A469C">
              <w:rPr>
                <w:rFonts w:eastAsia="Open Sans"/>
                <w:color w:val="000000"/>
                <w:sz w:val="22"/>
                <w:szCs w:val="22"/>
              </w:rPr>
              <w:t xml:space="preserve"> </w:t>
            </w:r>
            <w:r w:rsidR="008A7491">
              <w:rPr>
                <w:rFonts w:eastAsia="Open Sans"/>
                <w:color w:val="000000"/>
                <w:sz w:val="22"/>
                <w:szCs w:val="22"/>
              </w:rPr>
              <w:t xml:space="preserve">Pavlína Šulcová, ředitelka </w:t>
            </w:r>
          </w:p>
        </w:tc>
      </w:tr>
      <w:tr w:rsidR="00432599" w:rsidRPr="001A469C" w14:paraId="5C4D8449" w14:textId="77777777" w:rsidTr="00432599">
        <w:tc>
          <w:tcPr>
            <w:tcW w:w="4605" w:type="dxa"/>
            <w:shd w:val="clear" w:color="auto" w:fill="auto"/>
          </w:tcPr>
          <w:p w14:paraId="06871D71" w14:textId="77777777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8811D4B" w14:textId="77777777" w:rsidR="00432599" w:rsidRPr="001A469C" w:rsidRDefault="00432599" w:rsidP="00432599">
            <w:pPr>
              <w:ind w:left="567"/>
              <w:jc w:val="both"/>
              <w:rPr>
                <w:rFonts w:eastAsia="Open Sans"/>
                <w:color w:val="000000"/>
                <w:sz w:val="22"/>
                <w:szCs w:val="22"/>
              </w:rPr>
            </w:pPr>
          </w:p>
        </w:tc>
      </w:tr>
    </w:tbl>
    <w:p w14:paraId="2C5606B6" w14:textId="77777777" w:rsidR="00432599" w:rsidRPr="001A469C" w:rsidRDefault="00432599">
      <w:pPr>
        <w:rPr>
          <w:sz w:val="22"/>
          <w:szCs w:val="22"/>
        </w:rPr>
      </w:pPr>
    </w:p>
    <w:sectPr w:rsidR="00432599" w:rsidRPr="001A469C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CBA5" w14:textId="77777777" w:rsidR="00931E06" w:rsidRDefault="00931E06">
      <w:r>
        <w:separator/>
      </w:r>
    </w:p>
  </w:endnote>
  <w:endnote w:type="continuationSeparator" w:id="0">
    <w:p w14:paraId="6052E446" w14:textId="77777777" w:rsidR="00931E06" w:rsidRDefault="0093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4CAA" w14:textId="2C147ACF" w:rsidR="005A09A4" w:rsidRDefault="00A423D7" w:rsidP="00BC4810">
    <w:pPr>
      <w:pStyle w:val="Zpat"/>
      <w:pBdr>
        <w:top w:val="single" w:sz="4" w:space="0" w:color="808080"/>
      </w:pBdr>
      <w:jc w:val="right"/>
      <w:rPr>
        <w:rFonts w:ascii="Arial" w:hAnsi="Arial" w:cs="Arial"/>
        <w:color w:val="808080"/>
        <w:sz w:val="13"/>
        <w:szCs w:val="13"/>
      </w:rPr>
    </w:pPr>
    <w:r>
      <w:rPr>
        <w:rFonts w:ascii="Arial" w:hAnsi="Arial" w:cs="Arial"/>
        <w:color w:val="808080"/>
        <w:sz w:val="13"/>
        <w:szCs w:val="13"/>
      </w:rPr>
      <w:t xml:space="preserve">Senovážné náměstí 1464/6 ■ 110 00, Praha 1 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B1D2" w14:textId="77777777" w:rsidR="00931E06" w:rsidRDefault="00931E06">
      <w:r>
        <w:separator/>
      </w:r>
    </w:p>
  </w:footnote>
  <w:footnote w:type="continuationSeparator" w:id="0">
    <w:p w14:paraId="44A4FA98" w14:textId="77777777" w:rsidR="00931E06" w:rsidRDefault="0093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602F" w14:textId="3E792B04" w:rsidR="005A09A4" w:rsidRDefault="00A423D7">
    <w:pPr>
      <w:pStyle w:val="Zhlav"/>
    </w:pPr>
    <w:r>
      <w:rPr>
        <w:noProof/>
        <w:lang w:eastAsia="cs-CZ"/>
      </w:rPr>
      <w:drawing>
        <wp:inline distT="0" distB="0" distL="0" distR="0" wp14:anchorId="0FCB1555" wp14:editId="4974160A">
          <wp:extent cx="1333500" cy="850208"/>
          <wp:effectExtent l="0" t="0" r="0" b="0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9227" cy="866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8DCD1" w14:textId="77777777" w:rsidR="005A09A4" w:rsidRDefault="005A09A4">
    <w:pPr>
      <w:pStyle w:val="Zhlav"/>
    </w:pPr>
  </w:p>
  <w:p w14:paraId="441C0D6D" w14:textId="77777777" w:rsidR="005A09A4" w:rsidRDefault="005A09A4">
    <w:pPr>
      <w:pStyle w:val="Zhlav"/>
      <w:pBdr>
        <w:bottom w:val="single" w:sz="4" w:space="0" w:color="808080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1105"/>
    <w:multiLevelType w:val="hybridMultilevel"/>
    <w:tmpl w:val="95763D92"/>
    <w:lvl w:ilvl="0" w:tplc="66D0A752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47AA"/>
    <w:multiLevelType w:val="hybridMultilevel"/>
    <w:tmpl w:val="50B82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417A9"/>
    <w:multiLevelType w:val="hybridMultilevel"/>
    <w:tmpl w:val="0DF01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715A"/>
    <w:multiLevelType w:val="hybridMultilevel"/>
    <w:tmpl w:val="A4B2E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45326">
    <w:abstractNumId w:val="0"/>
  </w:num>
  <w:num w:numId="2" w16cid:durableId="914122089">
    <w:abstractNumId w:val="1"/>
  </w:num>
  <w:num w:numId="3" w16cid:durableId="907617871">
    <w:abstractNumId w:val="3"/>
  </w:num>
  <w:num w:numId="4" w16cid:durableId="33187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AE"/>
    <w:rsid w:val="00055BF3"/>
    <w:rsid w:val="00195F19"/>
    <w:rsid w:val="001A469C"/>
    <w:rsid w:val="003C0E7F"/>
    <w:rsid w:val="00432599"/>
    <w:rsid w:val="00464B09"/>
    <w:rsid w:val="004A6AA3"/>
    <w:rsid w:val="005A09A4"/>
    <w:rsid w:val="005C2012"/>
    <w:rsid w:val="00610304"/>
    <w:rsid w:val="00670B1E"/>
    <w:rsid w:val="00701144"/>
    <w:rsid w:val="008A7491"/>
    <w:rsid w:val="008B10C9"/>
    <w:rsid w:val="00931E06"/>
    <w:rsid w:val="00960A91"/>
    <w:rsid w:val="009B12DD"/>
    <w:rsid w:val="00A13AA8"/>
    <w:rsid w:val="00A423D7"/>
    <w:rsid w:val="00B23DEA"/>
    <w:rsid w:val="00B34119"/>
    <w:rsid w:val="00B41CAE"/>
    <w:rsid w:val="00BC4810"/>
    <w:rsid w:val="00C058D7"/>
    <w:rsid w:val="00D03DCA"/>
    <w:rsid w:val="00D26EEE"/>
    <w:rsid w:val="00D748EB"/>
    <w:rsid w:val="00E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EA4C"/>
  <w15:docId w15:val="{392E0F0F-8E6B-8242-96A9-346A52F9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1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2DD"/>
    <w:rPr>
      <w:rFonts w:ascii="Tahoma" w:eastAsia="Times New Roman" w:hAnsi="Tahoma" w:cs="Tahoma"/>
      <w:sz w:val="16"/>
      <w:szCs w:val="16"/>
      <w:lang w:val="cs-CZ" w:bidi="ar-SA"/>
    </w:rPr>
  </w:style>
  <w:style w:type="paragraph" w:styleId="Nzev">
    <w:name w:val="Title"/>
    <w:basedOn w:val="Normln"/>
    <w:next w:val="Podnadpis"/>
    <w:link w:val="NzevChar"/>
    <w:qFormat/>
    <w:rsid w:val="00432599"/>
    <w:pPr>
      <w:jc w:val="center"/>
    </w:pPr>
    <w:rPr>
      <w:b/>
      <w:bCs/>
      <w:sz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432599"/>
    <w:rPr>
      <w:rFonts w:ascii="Times New Roman" w:eastAsia="Times New Roman" w:hAnsi="Times New Roman" w:cs="Times New Roman"/>
      <w:b/>
      <w:bCs/>
      <w:sz w:val="36"/>
      <w:lang w:val="x-none" w:eastAsia="ar-SA" w:bidi="ar-SA"/>
    </w:rPr>
  </w:style>
  <w:style w:type="paragraph" w:styleId="Odstavecseseznamem">
    <w:name w:val="List Paragraph"/>
    <w:basedOn w:val="Normln"/>
    <w:uiPriority w:val="34"/>
    <w:qFormat/>
    <w:rsid w:val="00432599"/>
    <w:pPr>
      <w:suppressAutoHyphens w:val="0"/>
      <w:ind w:left="720"/>
      <w:contextualSpacing/>
    </w:pPr>
    <w:rPr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2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32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Dolejská</dc:creator>
  <cp:lastModifiedBy>Helena Březinová</cp:lastModifiedBy>
  <cp:revision>2</cp:revision>
  <cp:lastPrinted>2018-08-10T01:14:00Z</cp:lastPrinted>
  <dcterms:created xsi:type="dcterms:W3CDTF">2025-02-17T17:21:00Z</dcterms:created>
  <dcterms:modified xsi:type="dcterms:W3CDTF">2025-02-17T17:21:00Z</dcterms:modified>
  <dc:language>en-US</dc:language>
</cp:coreProperties>
</file>