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FCD3" w14:textId="77777777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0617B68A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 xml:space="preserve">č. </w:t>
      </w:r>
      <w:r w:rsidR="00217D96" w:rsidRPr="00217D96">
        <w:rPr>
          <w:rFonts w:cs="Arial"/>
          <w:b/>
        </w:rPr>
        <w:t>D/3605/2024/STR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Default="002321A0" w:rsidP="002321A0">
            <w:pPr>
              <w:pStyle w:val="Bezmezer"/>
              <w:spacing w:line="276" w:lineRule="auto"/>
            </w:pPr>
            <w: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3324EBFD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5A313B">
              <w:t>Ing. Radim Holiš</w:t>
            </w:r>
            <w:r w:rsidRPr="00BC0BE0">
              <w:t xml:space="preserve">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0DA51495" w14:textId="77777777" w:rsidR="00CB3EE5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CB3EE5">
              <w:rPr>
                <w:rFonts w:cs="Arial"/>
                <w:szCs w:val="20"/>
              </w:rPr>
              <w:t xml:space="preserve">Česká spořitelna, a.s. </w:t>
            </w:r>
            <w:proofErr w:type="spellStart"/>
            <w:r w:rsidR="00CB3EE5">
              <w:rPr>
                <w:rFonts w:cs="Arial"/>
                <w:szCs w:val="20"/>
              </w:rPr>
              <w:t>č.ú</w:t>
            </w:r>
            <w:proofErr w:type="spellEnd"/>
            <w:r w:rsidR="00CB3EE5">
              <w:rPr>
                <w:rFonts w:cs="Arial"/>
                <w:szCs w:val="20"/>
              </w:rPr>
              <w:t>. 1827552/0800</w:t>
            </w:r>
            <w:r w:rsidR="00CB3EE5" w:rsidRPr="00BC0BE0">
              <w:t xml:space="preserve"> </w:t>
            </w:r>
          </w:p>
          <w:p w14:paraId="27616957" w14:textId="24EC05BE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043E9E2B" w14:textId="77777777" w:rsidR="007128AC" w:rsidRPr="005E3FFE" w:rsidRDefault="007128AC" w:rsidP="007128A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Cs w:val="20"/>
              </w:rPr>
              <w:t>Luhačovské</w:t>
            </w:r>
            <w:proofErr w:type="spellEnd"/>
            <w:r>
              <w:rPr>
                <w:rFonts w:cs="Arial"/>
                <w:b/>
                <w:szCs w:val="20"/>
              </w:rPr>
              <w:t xml:space="preserve"> Zálesí, o.p.s.</w:t>
            </w:r>
          </w:p>
          <w:p w14:paraId="71469B34" w14:textId="77777777" w:rsidR="007128AC" w:rsidRPr="00BC0BE0" w:rsidRDefault="007128AC" w:rsidP="007128AC">
            <w:pPr>
              <w:pStyle w:val="Bezmezer"/>
              <w:spacing w:line="276" w:lineRule="auto"/>
            </w:pPr>
            <w:r w:rsidRPr="00BC0BE0">
              <w:t>sídlo:</w:t>
            </w:r>
            <w:r>
              <w:t> </w:t>
            </w:r>
            <w:r>
              <w:rPr>
                <w:rFonts w:cs="Arial"/>
                <w:szCs w:val="20"/>
              </w:rPr>
              <w:t>Osvobození 25, 763 21 Slavičín</w:t>
            </w:r>
          </w:p>
          <w:p w14:paraId="3CBD13F3" w14:textId="77777777" w:rsidR="007128AC" w:rsidRPr="0077026D" w:rsidRDefault="007128AC" w:rsidP="007128A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typ příjemce:</w:t>
            </w:r>
            <w:r>
              <w:t> </w:t>
            </w:r>
            <w:r>
              <w:rPr>
                <w:rFonts w:cs="Arial"/>
                <w:szCs w:val="20"/>
              </w:rPr>
              <w:t>obecně prospěšná společnost</w:t>
            </w:r>
          </w:p>
          <w:p w14:paraId="3CB32712" w14:textId="77777777" w:rsidR="007128AC" w:rsidRPr="0077026D" w:rsidRDefault="007128AC" w:rsidP="007128A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>
              <w:t> </w:t>
            </w:r>
            <w:r>
              <w:rPr>
                <w:rFonts w:cs="Arial"/>
                <w:szCs w:val="20"/>
              </w:rPr>
              <w:t>27735109</w:t>
            </w:r>
          </w:p>
          <w:p w14:paraId="3FEEB68E" w14:textId="77777777" w:rsidR="007128AC" w:rsidRPr="00BC0BE0" w:rsidRDefault="007128AC" w:rsidP="007128AC">
            <w:pPr>
              <w:pStyle w:val="Bezmezer"/>
              <w:spacing w:line="276" w:lineRule="auto"/>
            </w:pPr>
            <w:r>
              <w:t>bankovní spojení: </w:t>
            </w:r>
            <w:r>
              <w:rPr>
                <w:rFonts w:cs="Arial"/>
                <w:szCs w:val="20"/>
              </w:rPr>
              <w:t xml:space="preserve">Komerční banka, a.s., </w:t>
            </w:r>
            <w:proofErr w:type="spellStart"/>
            <w:r>
              <w:rPr>
                <w:rFonts w:cs="Arial"/>
                <w:szCs w:val="20"/>
              </w:rPr>
              <w:t>č.ú</w:t>
            </w:r>
            <w:proofErr w:type="spellEnd"/>
            <w:r>
              <w:rPr>
                <w:rFonts w:cs="Arial"/>
                <w:szCs w:val="20"/>
              </w:rPr>
              <w:t>. 35-9669950287/0100</w:t>
            </w:r>
          </w:p>
          <w:p w14:paraId="43DE3755" w14:textId="77777777" w:rsidR="007128AC" w:rsidRDefault="007128AC" w:rsidP="007128AC">
            <w:pPr>
              <w:pStyle w:val="Bezmezer"/>
              <w:spacing w:line="276" w:lineRule="auto"/>
              <w:rPr>
                <w:rFonts w:cs="Arial"/>
              </w:rPr>
            </w:pPr>
            <w:r>
              <w:t xml:space="preserve">zapsaný </w:t>
            </w:r>
            <w:proofErr w:type="gramStart"/>
            <w:r>
              <w:t xml:space="preserve">u </w:t>
            </w:r>
            <w:r w:rsidRPr="00F23774">
              <w:rPr>
                <w:rFonts w:cs="Arial"/>
              </w:rPr>
              <w:t xml:space="preserve"> KS</w:t>
            </w:r>
            <w:proofErr w:type="gramEnd"/>
            <w:r w:rsidRPr="00F23774">
              <w:rPr>
                <w:rFonts w:cs="Arial"/>
              </w:rPr>
              <w:t xml:space="preserve"> v </w:t>
            </w:r>
            <w:r>
              <w:rPr>
                <w:rFonts w:cs="Arial"/>
              </w:rPr>
              <w:t>Brně</w:t>
            </w:r>
            <w:r w:rsidRPr="00F23774">
              <w:rPr>
                <w:rFonts w:cs="Arial"/>
              </w:rPr>
              <w:t>, oddíl</w:t>
            </w:r>
            <w:r>
              <w:rPr>
                <w:rFonts w:cs="Arial"/>
              </w:rPr>
              <w:t xml:space="preserve"> O</w:t>
            </w:r>
            <w:r w:rsidRPr="00F23774">
              <w:rPr>
                <w:rFonts w:cs="Arial"/>
              </w:rPr>
              <w:t xml:space="preserve"> vložka</w:t>
            </w:r>
            <w:r>
              <w:rPr>
                <w:rFonts w:cs="Arial"/>
              </w:rPr>
              <w:t xml:space="preserve"> 329</w:t>
            </w:r>
          </w:p>
          <w:p w14:paraId="3EFD983D" w14:textId="77777777" w:rsidR="007128AC" w:rsidRPr="00E82920" w:rsidRDefault="007128AC" w:rsidP="007128AC">
            <w:pPr>
              <w:pStyle w:val="Bezmezer"/>
              <w:spacing w:line="276" w:lineRule="auto"/>
            </w:pPr>
            <w:r>
              <w:t>zastoupen: </w:t>
            </w:r>
            <w:r>
              <w:rPr>
                <w:rFonts w:cs="Arial"/>
                <w:szCs w:val="20"/>
              </w:rPr>
              <w:t>Ing. Marek Prachař, ředitel</w:t>
            </w:r>
          </w:p>
          <w:p w14:paraId="27F8DE20" w14:textId="21C62644" w:rsidR="002321A0" w:rsidRDefault="007128AC" w:rsidP="007128AC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12B68E22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701171">
        <w:t xml:space="preserve">1.000.000 </w:t>
      </w:r>
      <w:r w:rsidRPr="0013520D">
        <w:t>Kč, (slovy:</w:t>
      </w:r>
      <w:r w:rsidR="002321A0">
        <w:t> </w:t>
      </w:r>
      <w:proofErr w:type="spellStart"/>
      <w:r w:rsidR="00701171">
        <w:t>jedenmiliónkorunčeských</w:t>
      </w:r>
      <w:proofErr w:type="spellEnd"/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proofErr w:type="gramStart"/>
      <w:r w:rsidR="00701171">
        <w:rPr>
          <w:b/>
        </w:rPr>
        <w:t>70</w:t>
      </w:r>
      <w:r w:rsidRPr="003D6A1A">
        <w:rPr>
          <w:b/>
        </w:rPr>
        <w:t>%</w:t>
      </w:r>
      <w:proofErr w:type="gramEnd"/>
      <w:r w:rsidRPr="003D6A1A">
        <w:rPr>
          <w:b/>
        </w:rPr>
        <w:t xml:space="preserve"> celkových způsobilých výdajů</w:t>
      </w:r>
      <w:r w:rsidRPr="0013520D">
        <w:t xml:space="preserve"> projektu na realizaci projektu</w:t>
      </w:r>
      <w:r>
        <w:t>:</w:t>
      </w:r>
      <w:r w:rsidR="00297661">
        <w:t xml:space="preserve"> </w:t>
      </w:r>
      <w:r w:rsidR="009D168F">
        <w:t>„</w:t>
      </w:r>
      <w:r w:rsidR="009D168F">
        <w:rPr>
          <w:rFonts w:cs="Arial"/>
        </w:rPr>
        <w:t xml:space="preserve">Destinační management Zlínsko a </w:t>
      </w:r>
      <w:proofErr w:type="spellStart"/>
      <w:r w:rsidR="009D168F">
        <w:rPr>
          <w:rFonts w:cs="Arial"/>
        </w:rPr>
        <w:t>Luhačovicko</w:t>
      </w:r>
      <w:proofErr w:type="spellEnd"/>
      <w:r w:rsidR="009D168F">
        <w:rPr>
          <w:rFonts w:cs="Arial"/>
        </w:rPr>
        <w:t xml:space="preserve"> 2025 – preferovaná destinace v oblasti cestovního ruchu</w:t>
      </w:r>
      <w:r w:rsidR="009D168F">
        <w:t>“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C45561">
        <w:t>IND/2025/01</w:t>
      </w:r>
      <w:r w:rsidR="00160677">
        <w:t>7</w:t>
      </w:r>
      <w:r w:rsidR="00C45561">
        <w:t>.</w:t>
      </w:r>
      <w:r w:rsidRPr="0013520D">
        <w:t xml:space="preserve"> </w:t>
      </w:r>
    </w:p>
    <w:p w14:paraId="58BD6CA0" w14:textId="11F2E414" w:rsidR="005F67B4" w:rsidRDefault="005F67B4" w:rsidP="005F67B4">
      <w:pPr>
        <w:pStyle w:val="2rove"/>
      </w:pPr>
      <w:r>
        <w:t>Část dotace ve výši max. 700 000,- Kč je základním příspěvkem a část dotace do max. výše 300 000,- Kč je výkonnostním příspěvkem. Příjemce má na základě této smlouvy při splnění podmínek v ní stanovených nárok na základní příspěvek v plné výši. Celková výše výkonnostního příspěvku bude stanovena dle míry plnění parametrů výkonnostního příspěvku. V případě nutnosti zaokrouhlení konečné výše dotace, bude tato zaokrouhlena na celé koruny dolů. Parametry výkonnostního příspěvku včetně míry plnění jsou uvedeny v příloze č. 1 této smlouvy. Příloha č. 1 je nedílnou součástí této smlouvy.</w:t>
      </w:r>
    </w:p>
    <w:p w14:paraId="008B9C8A" w14:textId="27CF0F6A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F757D8">
        <w:t>spolufinancování</w:t>
      </w:r>
      <w:r w:rsidR="007F767B">
        <w:t xml:space="preserve"> </w:t>
      </w:r>
      <w:r w:rsidR="00DF7EB1">
        <w:rPr>
          <w:rFonts w:cs="Arial"/>
        </w:rPr>
        <w:t>mzdových, provozních a marketingových výdajů příjemce v roce 2025.</w:t>
      </w:r>
    </w:p>
    <w:p w14:paraId="2CC0F47C" w14:textId="77777777" w:rsidR="00DB0265" w:rsidRDefault="00DB0265" w:rsidP="00C7203C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45CCEA89" w14:textId="20DEC7DF" w:rsidR="00E14143" w:rsidRDefault="00E14143" w:rsidP="00D32B6A">
      <w:pPr>
        <w:pStyle w:val="2rove"/>
        <w:numPr>
          <w:ilvl w:val="0"/>
          <w:numId w:val="0"/>
        </w:numPr>
        <w:ind w:left="567"/>
      </w:pP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5CC80161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482712">
        <w:t xml:space="preserve"> 1.1.2025</w:t>
      </w:r>
      <w:r w:rsidR="008414F3">
        <w:t>.</w:t>
      </w:r>
      <w:r w:rsidR="00B21DB2">
        <w:t xml:space="preserve"> </w:t>
      </w:r>
    </w:p>
    <w:p w14:paraId="4BA5A893" w14:textId="407934E6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482712">
        <w:t xml:space="preserve"> 31.12.2025.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lastRenderedPageBreak/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334719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334719" w:rsidRPr="001426D2" w14:paraId="61D86D70" w14:textId="77777777" w:rsidTr="00334719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6A77FFBE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1. 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189B0FDE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Podklady pro přípravu tiskové zprávy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0FBC6416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49584874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12</w:t>
            </w:r>
          </w:p>
        </w:tc>
      </w:tr>
      <w:tr w:rsidR="00334719" w:rsidRPr="001426D2" w14:paraId="17E68272" w14:textId="77777777" w:rsidTr="00334719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5AE06746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6DE6E02A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Sledování statistiky návštěvnosti turistických cílů oblasti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4D328F23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27AA1080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10</w:t>
            </w:r>
          </w:p>
        </w:tc>
      </w:tr>
      <w:tr w:rsidR="00334719" w:rsidRPr="001426D2" w14:paraId="1D176CE0" w14:textId="77777777" w:rsidTr="00334719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4247CFB9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52D7B8" w14:textId="57F8C226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>Účast na společných prezentacích, příp. veletrzích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pod záštitou CCRVM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7D3D12C1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2B0565FC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  <w:tr w:rsidR="00334719" w:rsidRPr="001426D2" w14:paraId="59D40CE2" w14:textId="77777777" w:rsidTr="00334719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65FFC1" w14:textId="09262F5F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A117C5C" w14:textId="548D6689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236CD9">
              <w:rPr>
                <w:rFonts w:cs="Arial"/>
                <w:snapToGrid w:val="0"/>
                <w:sz w:val="18"/>
                <w:szCs w:val="18"/>
              </w:rPr>
              <w:t xml:space="preserve">Spolupráce při realizaci </w:t>
            </w:r>
            <w:proofErr w:type="spellStart"/>
            <w:r w:rsidRPr="00236CD9">
              <w:rPr>
                <w:rFonts w:cs="Arial"/>
                <w:snapToGrid w:val="0"/>
                <w:sz w:val="18"/>
                <w:szCs w:val="18"/>
              </w:rPr>
              <w:t>presstripů</w:t>
            </w:r>
            <w:proofErr w:type="spellEnd"/>
            <w:r w:rsidR="006B55BE">
              <w:rPr>
                <w:rFonts w:cs="Arial"/>
                <w:snapToGrid w:val="0"/>
                <w:sz w:val="18"/>
                <w:szCs w:val="18"/>
              </w:rPr>
              <w:t>/</w:t>
            </w:r>
            <w:proofErr w:type="spellStart"/>
            <w:r w:rsidR="006B55BE">
              <w:rPr>
                <w:rFonts w:cs="Arial"/>
                <w:snapToGrid w:val="0"/>
                <w:sz w:val="18"/>
                <w:szCs w:val="18"/>
              </w:rPr>
              <w:t>famtripů</w:t>
            </w:r>
            <w:proofErr w:type="spellEnd"/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DCA8D1" w14:textId="61C4F0DE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B453A22" w14:textId="5B596796" w:rsidR="00334719" w:rsidRPr="001426D2" w:rsidRDefault="00334719" w:rsidP="00334719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</w:tbl>
    <w:p w14:paraId="26B88F3D" w14:textId="70C78694" w:rsidR="008E7B6E" w:rsidRDefault="008E7B6E" w:rsidP="00421D26">
      <w:pPr>
        <w:pStyle w:val="2rove"/>
        <w:numPr>
          <w:ilvl w:val="0"/>
          <w:numId w:val="0"/>
        </w:numPr>
        <w:ind w:left="567"/>
      </w:pP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2FBE814C" w:rsidR="003D1F38" w:rsidRPr="003D6A1A" w:rsidRDefault="00530D1A" w:rsidP="003D1F38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42814B7E" w:rsidR="00313DE9" w:rsidRPr="0013520D" w:rsidRDefault="00530D1A" w:rsidP="00334545">
      <w:pPr>
        <w:pStyle w:val="3rove-kodstrann"/>
        <w:numPr>
          <w:ilvl w:val="0"/>
          <w:numId w:val="0"/>
        </w:numPr>
        <w:ind w:left="567"/>
      </w:pPr>
      <w:r w:rsidRPr="003D6A1A">
        <w:rPr>
          <w:b/>
        </w:rPr>
        <w:t>do 30 pracovních dnů po nabytí účinnosti této smlouvy</w:t>
      </w:r>
      <w:r w:rsidRPr="0013520D">
        <w:t xml:space="preserve"> bude vyplacena </w:t>
      </w:r>
      <w:r w:rsidRPr="003D6A1A">
        <w:rPr>
          <w:b/>
        </w:rPr>
        <w:t>první část</w:t>
      </w:r>
      <w:r w:rsidRPr="0013520D">
        <w:t xml:space="preserve"> dotace</w:t>
      </w:r>
      <w:r w:rsidR="00334545">
        <w:t xml:space="preserve"> </w:t>
      </w:r>
      <w:r w:rsidRPr="0013520D">
        <w:t>ve výši</w:t>
      </w:r>
      <w:r w:rsidR="002321A0">
        <w:t> </w:t>
      </w:r>
      <w:r w:rsidR="00682B49">
        <w:t xml:space="preserve">500.000,- </w:t>
      </w:r>
      <w:r w:rsidRPr="0013520D">
        <w:t>Kč (slovy:</w:t>
      </w:r>
      <w:r w:rsidR="002321A0">
        <w:t> </w:t>
      </w:r>
      <w:proofErr w:type="spellStart"/>
      <w:r w:rsidR="00682B49">
        <w:t>pětsettisíckorunčeských</w:t>
      </w:r>
      <w:proofErr w:type="spellEnd"/>
      <w:r w:rsidRPr="0013520D">
        <w:t xml:space="preserve">), </w:t>
      </w:r>
      <w:r w:rsidRPr="003D6A1A">
        <w:rPr>
          <w:b/>
        </w:rPr>
        <w:t xml:space="preserve">druhá část </w:t>
      </w:r>
      <w:r w:rsidRPr="0013520D">
        <w:t>dotace ve výši</w:t>
      </w:r>
      <w:r w:rsidR="002321A0">
        <w:t> </w:t>
      </w:r>
      <w:proofErr w:type="gramStart"/>
      <w:r w:rsidR="00866773">
        <w:t>200.000,-</w:t>
      </w:r>
      <w:proofErr w:type="gramEnd"/>
      <w:r>
        <w:t xml:space="preserve"> </w:t>
      </w:r>
      <w:r w:rsidRPr="0013520D">
        <w:t>Kč (slovy:</w:t>
      </w:r>
      <w:r w:rsidR="002321A0">
        <w:t> </w:t>
      </w:r>
      <w:proofErr w:type="spellStart"/>
      <w:r w:rsidR="00866773">
        <w:t>dvěstětisíckorunčeských</w:t>
      </w:r>
      <w:proofErr w:type="spellEnd"/>
      <w:r w:rsidRPr="0013520D">
        <w:t xml:space="preserve">) bude vyplacena </w:t>
      </w:r>
      <w:r w:rsidRPr="003D6A1A">
        <w:rPr>
          <w:b/>
        </w:rPr>
        <w:t>v termínu do</w:t>
      </w:r>
      <w:r w:rsidR="002321A0">
        <w:rPr>
          <w:b/>
        </w:rPr>
        <w:t> </w:t>
      </w:r>
      <w:r w:rsidR="00866773">
        <w:rPr>
          <w:b/>
        </w:rPr>
        <w:t>1.</w:t>
      </w:r>
      <w:r w:rsidR="00335E4C">
        <w:rPr>
          <w:b/>
        </w:rPr>
        <w:t>6</w:t>
      </w:r>
      <w:r w:rsidR="00866773">
        <w:rPr>
          <w:b/>
        </w:rPr>
        <w:t>.2025</w:t>
      </w:r>
      <w:r w:rsidR="00912AA6">
        <w:rPr>
          <w:b/>
        </w:rPr>
        <w:t xml:space="preserve">. </w:t>
      </w:r>
      <w:r w:rsidRPr="003D6A1A">
        <w:rPr>
          <w:b/>
        </w:rPr>
        <w:t xml:space="preserve">Zbylých </w:t>
      </w:r>
      <w:r w:rsidR="00D86EC4">
        <w:rPr>
          <w:b/>
        </w:rPr>
        <w:t>30</w:t>
      </w:r>
      <w:r w:rsidR="00D86EC4" w:rsidRPr="003D6A1A">
        <w:rPr>
          <w:b/>
        </w:rPr>
        <w:t xml:space="preserve"> </w:t>
      </w:r>
      <w:r w:rsidRPr="003D6A1A">
        <w:rPr>
          <w:b/>
        </w:rPr>
        <w:t>%</w:t>
      </w:r>
      <w:r w:rsidRPr="0013520D">
        <w:t xml:space="preserve"> z poskytované dotace, tj.</w:t>
      </w:r>
      <w:r w:rsidR="0036448F">
        <w:t xml:space="preserve"> </w:t>
      </w:r>
      <w:proofErr w:type="gramStart"/>
      <w:r w:rsidR="0036448F">
        <w:t xml:space="preserve">maximálně </w:t>
      </w:r>
      <w:r w:rsidR="002321A0">
        <w:t> </w:t>
      </w:r>
      <w:r w:rsidR="00912AA6">
        <w:t>300.000</w:t>
      </w:r>
      <w:proofErr w:type="gramEnd"/>
      <w:r w:rsidR="00912AA6">
        <w:t>,-</w:t>
      </w:r>
      <w:r>
        <w:t xml:space="preserve"> </w:t>
      </w:r>
      <w:r w:rsidRPr="0013520D">
        <w:t>Kč (slovy:</w:t>
      </w:r>
      <w:r w:rsidR="002321A0">
        <w:t> </w:t>
      </w:r>
      <w:proofErr w:type="spellStart"/>
      <w:r w:rsidR="00912AA6">
        <w:t>třistatisíckorunčeských</w:t>
      </w:r>
      <w:proofErr w:type="spellEnd"/>
      <w:r w:rsidRPr="0013520D">
        <w:t xml:space="preserve">), bude příjemci vyplaceno </w:t>
      </w:r>
      <w:r w:rsidRPr="003D6A1A">
        <w:rPr>
          <w:b/>
        </w:rPr>
        <w:t>do 20 pracovních dnů po schválení Závěrečné zprávy</w:t>
      </w:r>
      <w:r w:rsidRPr="0013520D">
        <w:t xml:space="preserve"> s vyúčtováním dotace předložené příjemcem dle </w:t>
      </w:r>
      <w:r w:rsidR="00077168">
        <w:t>čl</w:t>
      </w:r>
      <w:r w:rsidRPr="0013520D">
        <w:t>. 4.</w:t>
      </w:r>
      <w:r w:rsidR="00F575F2">
        <w:t>4</w:t>
      </w:r>
      <w:r w:rsidRPr="0013520D">
        <w:t xml:space="preserve">. </w:t>
      </w:r>
    </w:p>
    <w:p w14:paraId="555ADB30" w14:textId="15BC47A4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474496">
        <w:t xml:space="preserve"> </w:t>
      </w:r>
      <w:proofErr w:type="gramStart"/>
      <w:r w:rsidR="00474496">
        <w:t>1.4</w:t>
      </w:r>
      <w:r w:rsidR="0043085A">
        <w:t>28.572,-</w:t>
      </w:r>
      <w:proofErr w:type="gramEnd"/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43CB9DC0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5035DA13" w:rsidR="00CB78A2" w:rsidRDefault="00CB78A2" w:rsidP="00C7203C">
      <w:pPr>
        <w:pStyle w:val="2rove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2321A0">
        <w:t> </w:t>
      </w:r>
      <w:r w:rsidR="000B5BAF">
        <w:t>strategického rozvoje kraje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>zprávu</w:t>
      </w:r>
      <w:r w:rsidR="001D6F6C">
        <w:rPr>
          <w:b/>
        </w:rPr>
        <w:t xml:space="preserve"> </w:t>
      </w:r>
      <w:r w:rsidR="001D6F6C">
        <w:rPr>
          <w:bCs/>
        </w:rPr>
        <w:t>prostřednictvím datové schránky nebo v listinné podobě</w:t>
      </w:r>
      <w:r w:rsidRPr="003D6A1A">
        <w:rPr>
          <w:b/>
        </w:rPr>
        <w:t>, a to nejpozději do</w:t>
      </w:r>
      <w:r w:rsidR="002321A0">
        <w:rPr>
          <w:b/>
        </w:rPr>
        <w:t> </w:t>
      </w:r>
      <w:r w:rsidR="00C121DB">
        <w:rPr>
          <w:b/>
        </w:rPr>
        <w:t xml:space="preserve">2.3.2026. </w:t>
      </w:r>
    </w:p>
    <w:p w14:paraId="21DE23B6" w14:textId="233B7EDA" w:rsidR="00A439DD" w:rsidRDefault="00A439DD" w:rsidP="00701E25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F0094C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39A70CDB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na vyžádání</w:t>
      </w:r>
      <w:r w:rsidR="00F96795">
        <w:t>.</w:t>
      </w:r>
      <w:r>
        <w:t xml:space="preserve"> </w:t>
      </w:r>
    </w:p>
    <w:p w14:paraId="5EB47DE6" w14:textId="4E9387B3" w:rsidR="005B1088" w:rsidRDefault="00357941" w:rsidP="00C7203C">
      <w:pPr>
        <w:pStyle w:val="2rove"/>
      </w:pPr>
      <w:r w:rsidRPr="00774F80">
        <w:t xml:space="preserve">V případě, že poskytovatel neshledá v předložené Závěrečné zprávě nedostatky či nesrovnalosti, schválí ji do </w:t>
      </w:r>
      <w:r w:rsidR="002C4F41">
        <w:t>60</w:t>
      </w:r>
      <w:r w:rsidRPr="00774F80">
        <w:t xml:space="preserve">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0CC9BE77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56ED83CF" w14:textId="42176A4A" w:rsidR="006A5C32" w:rsidRDefault="006A5C32" w:rsidP="00C7203C">
      <w:pPr>
        <w:pStyle w:val="2rove"/>
      </w:pPr>
      <w:bookmarkStart w:id="0" w:name="_Hlk160012845"/>
      <w:r>
        <w:lastRenderedPageBreak/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proofErr w:type="gramStart"/>
      <w:r w:rsidR="00351C89" w:rsidRPr="00351C89">
        <w:t>36052024</w:t>
      </w:r>
      <w:r>
        <w:t xml:space="preserve"> </w:t>
      </w:r>
      <w:r w:rsidR="00351C89">
        <w:t>.</w:t>
      </w:r>
      <w:proofErr w:type="gramEnd"/>
    </w:p>
    <w:bookmarkEnd w:id="0"/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2CC1F38C" w:rsidR="00B007CA" w:rsidRDefault="00D64AB1" w:rsidP="00FA4BF3">
      <w:pPr>
        <w:pStyle w:val="2rove"/>
      </w:pPr>
      <w:r w:rsidRPr="006117E1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56D64BAD" w14:textId="44E7B731" w:rsidR="00BD6C23" w:rsidRPr="00BD6C23" w:rsidRDefault="00430948" w:rsidP="00771A67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  <w:r w:rsidR="00C93792">
        <w:t xml:space="preserve"> </w:t>
      </w:r>
    </w:p>
    <w:p w14:paraId="630E5E47" w14:textId="11AC28A6" w:rsidR="00BD6C23" w:rsidRDefault="00BD6C23" w:rsidP="0017738B">
      <w:pPr>
        <w:pStyle w:val="3rove-trval"/>
      </w:pPr>
      <w:r>
        <w:t xml:space="preserve">v čase a místě neobvyklé mzdy a platy, </w:t>
      </w:r>
    </w:p>
    <w:p w14:paraId="4F58C904" w14:textId="038EB1DD" w:rsidR="00BD6C23" w:rsidRDefault="00BD6C23" w:rsidP="0017738B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apod</w:t>
      </w:r>
      <w:r w:rsidRPr="00641673">
        <w:t>.</w:t>
      </w:r>
      <w:proofErr w:type="gramStart"/>
      <w:r w:rsidRPr="00641673">
        <w:t>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  <w:r w:rsidR="00215CBD">
        <w:rPr>
          <w:iCs/>
          <w:color w:val="5B9BD5" w:themeColor="accent1"/>
          <w:sz w:val="16"/>
          <w:szCs w:val="16"/>
        </w:rPr>
        <w:t xml:space="preserve"> </w:t>
      </w:r>
      <w:r w:rsidR="00215CBD">
        <w:rPr>
          <w:rFonts w:cs="Arial"/>
          <w:szCs w:val="20"/>
        </w:rPr>
        <w:t>s</w:t>
      </w:r>
      <w:proofErr w:type="gramEnd"/>
      <w:r w:rsidR="00215CBD">
        <w:rPr>
          <w:rFonts w:cs="Arial"/>
          <w:szCs w:val="20"/>
        </w:rPr>
        <w:t xml:space="preserve"> výjimkou stravenek a </w:t>
      </w:r>
      <w:proofErr w:type="spellStart"/>
      <w:r w:rsidR="00215CBD">
        <w:rPr>
          <w:rFonts w:cs="Arial"/>
          <w:szCs w:val="20"/>
        </w:rPr>
        <w:t>stravenkového</w:t>
      </w:r>
      <w:proofErr w:type="spellEnd"/>
      <w:r w:rsidR="00215CBD">
        <w:rPr>
          <w:rFonts w:cs="Arial"/>
          <w:szCs w:val="20"/>
        </w:rPr>
        <w:t xml:space="preserve"> paušálu,</w:t>
      </w:r>
    </w:p>
    <w:p w14:paraId="1C247B24" w14:textId="77777777" w:rsidR="00BD6C23" w:rsidRDefault="00BD6C23" w:rsidP="00CF1D37">
      <w:pPr>
        <w:pStyle w:val="3rove-trval"/>
      </w:pPr>
      <w:r w:rsidRPr="00BB690E">
        <w:t xml:space="preserve">výdaje na pořádání workshopů, teambuildingů, výjezdních </w:t>
      </w:r>
      <w:proofErr w:type="gramStart"/>
      <w:r w:rsidRPr="00BB690E">
        <w:t>zasedání,</w:t>
      </w:r>
      <w:proofErr w:type="gramEnd"/>
      <w:r w:rsidRPr="00BB690E">
        <w:t xml:space="preserve"> apod.</w:t>
      </w:r>
      <w:r>
        <w:t>,</w:t>
      </w:r>
    </w:p>
    <w:p w14:paraId="3E94E201" w14:textId="1ADB24CE" w:rsidR="00BD6C23" w:rsidRDefault="00BD6C23" w:rsidP="00C37053">
      <w:pPr>
        <w:pStyle w:val="3rove-trval"/>
      </w:pPr>
      <w:r w:rsidRPr="00BB690E">
        <w:t>výdaje na školení a kurzy</w:t>
      </w:r>
      <w:r>
        <w:t>,</w:t>
      </w:r>
      <w:r w:rsidR="003D3D3C">
        <w:t xml:space="preserve"> které nesouvisí s účelem, na který je dotace poskytována,</w:t>
      </w:r>
    </w:p>
    <w:p w14:paraId="70AF169A" w14:textId="77777777" w:rsidR="00BD6C23" w:rsidRDefault="00BD6C23" w:rsidP="00C37053">
      <w:pPr>
        <w:pStyle w:val="3rove-trval"/>
      </w:pPr>
      <w:r w:rsidRPr="00BB690E">
        <w:t>dlužný úrok, pokuty a finanční sankce</w:t>
      </w:r>
      <w:r>
        <w:t>,</w:t>
      </w:r>
    </w:p>
    <w:p w14:paraId="080314C6" w14:textId="71259FB9" w:rsidR="00BD6C23" w:rsidRDefault="00BD6C23" w:rsidP="00C37053">
      <w:pPr>
        <w:pStyle w:val="3rove-trval"/>
      </w:pPr>
      <w:r w:rsidRPr="00BB690E">
        <w:t>výdaje na přípravné studie nebo jiné přípravné činnosti vč. zpracování žádosti o</w:t>
      </w:r>
      <w:r w:rsidR="002321A0">
        <w:t> </w:t>
      </w:r>
      <w:r w:rsidRPr="00BB690E">
        <w:t>poskytnutí dotace</w:t>
      </w:r>
      <w:r>
        <w:t>,</w:t>
      </w:r>
    </w:p>
    <w:p w14:paraId="7940A919" w14:textId="73BAAF97" w:rsidR="00BD6C23" w:rsidRDefault="00BD6C23" w:rsidP="00C37053">
      <w:pPr>
        <w:pStyle w:val="3rove-trval"/>
      </w:pPr>
      <w:r w:rsidRPr="00BB690E">
        <w:t>nákupy pozemků nebo budov</w:t>
      </w:r>
      <w:r>
        <w:t>,</w:t>
      </w:r>
    </w:p>
    <w:p w14:paraId="40A414A0" w14:textId="24E47F9D" w:rsidR="00BD6C23" w:rsidRDefault="00BD6C23" w:rsidP="00C37053">
      <w:pPr>
        <w:pStyle w:val="3rove-trval"/>
      </w:pPr>
      <w:r w:rsidRPr="00BB690E">
        <w:t>pořízení nebo technické zhodnocení dlouhodobého hmotného a nehmotného majetku</w:t>
      </w:r>
      <w:r w:rsidR="00EE7942">
        <w:t xml:space="preserve"> </w:t>
      </w:r>
      <w:r w:rsidR="00EE7942" w:rsidRPr="003666F4">
        <w:t>(</w:t>
      </w:r>
      <w:r w:rsidR="003666F4" w:rsidRPr="003666F4">
        <w:t>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</w:t>
      </w:r>
      <w:r w:rsidR="00EE7942" w:rsidRPr="003666F4">
        <w:t>)</w:t>
      </w:r>
      <w:r w:rsidRPr="003666F4">
        <w:t>,</w:t>
      </w:r>
    </w:p>
    <w:p w14:paraId="71B8115E" w14:textId="77777777" w:rsidR="00BD6C23" w:rsidRDefault="00BD6C23" w:rsidP="00C37053">
      <w:pPr>
        <w:pStyle w:val="3rove-trval"/>
      </w:pPr>
      <w:r w:rsidRPr="00BB690E">
        <w:t xml:space="preserve">pořízení věcí (majetek, </w:t>
      </w:r>
      <w:proofErr w:type="gramStart"/>
      <w:r w:rsidRPr="00BB690E">
        <w:t>materiál,</w:t>
      </w:r>
      <w:proofErr w:type="gramEnd"/>
      <w:r w:rsidRPr="00BB690E">
        <w:t xml:space="preserve"> atd.), jejichž doba použitelnosti je delší než 1 rok (drobný dlouhodobý hmotný a nehmotný majetek)</w:t>
      </w:r>
      <w:r>
        <w:t>,</w:t>
      </w:r>
    </w:p>
    <w:p w14:paraId="3D7F3BC9" w14:textId="3C2C9D0A" w:rsidR="00BD6C23" w:rsidRDefault="00BD6C23" w:rsidP="00C37053">
      <w:pPr>
        <w:pStyle w:val="3rove-trval"/>
      </w:pPr>
      <w:r w:rsidRPr="00BB690E">
        <w:t>oprava majetku</w:t>
      </w:r>
      <w:r>
        <w:t>,</w:t>
      </w:r>
    </w:p>
    <w:p w14:paraId="40E70BA9" w14:textId="77777777" w:rsidR="00BD6C23" w:rsidRDefault="00BD6C23" w:rsidP="00C37053">
      <w:pPr>
        <w:pStyle w:val="3rove-trval"/>
      </w:pPr>
      <w:r w:rsidRPr="00BB690E">
        <w:t>účetně nedoložitelné výdaje</w:t>
      </w:r>
      <w:r>
        <w:t>,</w:t>
      </w:r>
    </w:p>
    <w:p w14:paraId="7AB7294F" w14:textId="3678CE19" w:rsidR="00BD6C23" w:rsidRDefault="00BD6C23" w:rsidP="00C37053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7F31CAE7" w14:textId="77777777" w:rsidR="005E7D0D" w:rsidRPr="007E01CD" w:rsidRDefault="005E7D0D" w:rsidP="005E7D0D">
      <w:pPr>
        <w:pStyle w:val="3rove-trval"/>
      </w:pPr>
      <w:r w:rsidRPr="00B944A7">
        <w:t xml:space="preserve">výdaje na pohoštění, s výjimkou pohoštění </w:t>
      </w:r>
      <w:r>
        <w:t xml:space="preserve">poskytovaného v rámci </w:t>
      </w:r>
      <w:r w:rsidRPr="00B944A7">
        <w:t xml:space="preserve">veletrhů a prezentačních akci, které jsou definovány jako </w:t>
      </w:r>
      <w:r w:rsidRPr="00D948DE">
        <w:t>monitorovací indikátory v čl. 3.1 smlouvy</w:t>
      </w:r>
      <w:r>
        <w:t xml:space="preserve"> a v rámci pracovních jednání pro členy destinační společnosti či valné hromady.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646D8E6C" w14:textId="0E2B780B" w:rsidR="00B24D28" w:rsidRDefault="00B24D28" w:rsidP="00963551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2321A0">
        <w:t> </w:t>
      </w:r>
      <w:r w:rsidR="004B6331">
        <w:t>přidané hodnoty, ve znění pozdějších předpisů (dále jen „</w:t>
      </w:r>
      <w:r w:rsidR="004B6331" w:rsidRPr="00641673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Default="00B24D28" w:rsidP="00C37053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7738CF1B" w14:textId="77777777" w:rsidR="00B24D28" w:rsidRDefault="00B24D28" w:rsidP="00C37053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596E42FB" w14:textId="77777777" w:rsidR="00B24D28" w:rsidRDefault="00B24D28" w:rsidP="00C37053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C37053">
      <w:pPr>
        <w:pStyle w:val="3rove-trval"/>
      </w:pPr>
      <w:r>
        <w:lastRenderedPageBreak/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605E1541" w:rsidR="00B24D28" w:rsidRDefault="00B24D28" w:rsidP="00C37053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2321A0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1DBED47F" w:rsidR="00B24D28" w:rsidRDefault="00B24D28" w:rsidP="00C37053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4B876FB0" w14:textId="77777777" w:rsidR="00963551" w:rsidRDefault="00B24D28" w:rsidP="00963551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1BDA49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4198546" w14:textId="09399136" w:rsidR="00A233FD" w:rsidRPr="00BB1A69" w:rsidRDefault="00A233FD" w:rsidP="00BB1A69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BB1A69">
        <w:t>.</w:t>
      </w:r>
    </w:p>
    <w:p w14:paraId="1F265EF1" w14:textId="7B80D68F" w:rsidR="00133D3D" w:rsidRDefault="00133D3D" w:rsidP="00133D3D">
      <w:pPr>
        <w:pStyle w:val="2rove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2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</w:t>
      </w:r>
      <w:r w:rsidR="00832B0A">
        <w:rPr>
          <w:rFonts w:cs="Arial"/>
          <w:szCs w:val="20"/>
        </w:rPr>
        <w:t>.</w:t>
      </w:r>
      <w:r>
        <w:t xml:space="preserve"> </w:t>
      </w:r>
    </w:p>
    <w:p w14:paraId="121ABF5A" w14:textId="74264FC5" w:rsidR="00A233FD" w:rsidRDefault="00A233FD" w:rsidP="00C37053">
      <w:pPr>
        <w:pStyle w:val="2rove"/>
      </w:pPr>
      <w:r>
        <w:t>Příjemce bere na vědomí, že dotace poskytnutá dle této smlouvy je</w:t>
      </w:r>
    </w:p>
    <w:p w14:paraId="272B88FC" w14:textId="2F039C8D" w:rsidR="00A233FD" w:rsidRDefault="005269E1" w:rsidP="000F684C">
      <w:pPr>
        <w:pStyle w:val="3rove-kodstrann"/>
        <w:numPr>
          <w:ilvl w:val="0"/>
          <w:numId w:val="0"/>
        </w:numPr>
        <w:ind w:left="567"/>
      </w:pPr>
      <w:r w:rsidRPr="00B43670">
        <w:rPr>
          <w:b/>
        </w:rPr>
        <w:t>p</w:t>
      </w:r>
      <w:r w:rsidR="00A233FD" w:rsidRPr="00B43670">
        <w:rPr>
          <w:b/>
        </w:rPr>
        <w:t>odporou de minimis</w:t>
      </w:r>
      <w:r w:rsidR="00A233FD">
        <w:t xml:space="preserve"> ve smyslu</w:t>
      </w:r>
      <w:r w:rsidR="00A233FD" w:rsidRPr="00A233FD">
        <w:t xml:space="preserve"> </w:t>
      </w:r>
      <w:r w:rsidR="00291B5F" w:rsidRPr="00291B5F">
        <w:t>Nařízení Komise (EU) 2023/2831 ze dne 13. prosince 2023 o použití článků 107 a 108 Smlouvy o fungování Evropské unie na podporu de minimis.</w:t>
      </w:r>
      <w:r w:rsidR="00D87383" w:rsidRPr="0099201B">
        <w:t xml:space="preserve"> V souvislosti s</w:t>
      </w:r>
      <w:r w:rsidR="002321A0">
        <w:t> </w:t>
      </w:r>
      <w:r w:rsidR="00D87383" w:rsidRPr="0099201B">
        <w:t>podporou de minimis se příjemce zavazuje, že v případě, že v období tří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o této skutečnosti a</w:t>
      </w:r>
      <w:r w:rsidR="002321A0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BCDC84C" w:rsidR="00703656" w:rsidRDefault="00703656" w:rsidP="00133D3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133D3D" w:rsidRPr="00151ED9">
          <w:rPr>
            <w:rStyle w:val="Hypertextovodkaz"/>
          </w:rPr>
          <w:t>https://zlinskykraj.cz/logo-zlinskeho-kraje</w:t>
        </w:r>
      </w:hyperlink>
      <w:r w:rsidRPr="00703656">
        <w:t xml:space="preserve">. </w:t>
      </w:r>
    </w:p>
    <w:p w14:paraId="4499F679" w14:textId="5DF6C1C2" w:rsidR="00703656" w:rsidRDefault="00E367AD" w:rsidP="00C37053">
      <w:pPr>
        <w:pStyle w:val="2rove"/>
      </w:pPr>
      <w:r>
        <w:t xml:space="preserve">Příjemce je povinen opatřit veškeré dokumenty související s realizací projektu (tiskové zprávy, plakáty, letáky, brožury, webové stránky, prezentace apod.) logem reprezentujícím turistický </w:t>
      </w:r>
      <w:r>
        <w:lastRenderedPageBreak/>
        <w:t>region Zlínského kraje - „Východní Morava“ a</w:t>
      </w:r>
      <w:r w:rsidRPr="001B2995">
        <w:t xml:space="preserve"> </w:t>
      </w:r>
      <w:r>
        <w:t>v případech, kde je to možné i logem Zlínského kraje a/nebo formulací: „Název akce“ je financována/spolufinancována Zlínským krajem.</w:t>
      </w:r>
    </w:p>
    <w:p w14:paraId="32636990" w14:textId="13DF90AB" w:rsidR="00C92705" w:rsidRDefault="00C92705" w:rsidP="00092117">
      <w:pPr>
        <w:pStyle w:val="2rove"/>
      </w:pPr>
      <w:r>
        <w:t>Příjemce je dále povinen prezentovat poskytovatele s</w:t>
      </w:r>
      <w:r w:rsidR="005108D5">
        <w:t> </w:t>
      </w:r>
      <w:r>
        <w:t>využitím</w:t>
      </w:r>
      <w:r w:rsidR="005108D5">
        <w:t xml:space="preserve"> </w:t>
      </w:r>
      <w:r>
        <w:t xml:space="preserve">alespoň 2 </w:t>
      </w:r>
      <w:r w:rsidR="00D53684">
        <w:t xml:space="preserve">z těchto </w:t>
      </w:r>
      <w:r>
        <w:t xml:space="preserve">prostředků komunikace, které doloží v Závěrečné </w:t>
      </w:r>
      <w:r w:rsidR="00FB265A">
        <w:t>zprávě:</w:t>
      </w:r>
    </w:p>
    <w:p w14:paraId="4826970D" w14:textId="56E08445" w:rsidR="000228C3" w:rsidRDefault="000228C3" w:rsidP="00C37053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C37053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C37053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C37053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798998D9" w14:textId="21E29252" w:rsidR="001E5A62" w:rsidRPr="00C37053" w:rsidRDefault="000228C3" w:rsidP="001F5E68">
      <w:pPr>
        <w:pStyle w:val="3rove-trval"/>
        <w:rPr>
          <w:rStyle w:val="Kvbruaodstrann"/>
        </w:rPr>
      </w:pPr>
      <w:r w:rsidRPr="00A960B0">
        <w:t>webové stránky (doloží se odkazem na příslušné stránky s uvedením, kdy byla informace uveřejněna)</w:t>
      </w:r>
      <w:r w:rsidR="00504BB8">
        <w:t>.</w:t>
      </w:r>
      <w:r w:rsidR="001F5E68">
        <w:t xml:space="preserve"> 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A8B0260" w:rsidR="002D215A" w:rsidRPr="00D11E31" w:rsidRDefault="002D215A" w:rsidP="00C37053">
      <w:pPr>
        <w:pStyle w:val="3rove-trval"/>
      </w:pPr>
      <w:r w:rsidRPr="00D11E31">
        <w:t xml:space="preserve">dojde k nenaplnění </w:t>
      </w:r>
      <w:r w:rsidR="00B33930">
        <w:t xml:space="preserve">jednotlivého </w:t>
      </w:r>
      <w:r w:rsidRPr="00D11E31">
        <w:t>monit</w:t>
      </w:r>
      <w:r>
        <w:t>orovacího indikátoru dle čl. 3.</w:t>
      </w:r>
      <w:r w:rsidR="00B33930">
        <w:t>1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26BADC" w14:textId="4C58B5B7" w:rsidR="002D215A" w:rsidRPr="00B60582" w:rsidRDefault="002D215A" w:rsidP="00C37053">
      <w:pPr>
        <w:pStyle w:val="3rove-trval"/>
      </w:pPr>
      <w:r>
        <w:t xml:space="preserve"> </w:t>
      </w:r>
      <w:r w:rsidRPr="00D11E31">
        <w:t>příjemce poruší pravidla veřejné podpory dle čl. 5.</w:t>
      </w:r>
      <w:r w:rsidR="00133D3D">
        <w:t>10</w:t>
      </w:r>
      <w:r w:rsidRPr="00D11E31">
        <w:t xml:space="preserve">. 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322E72BB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6120A4">
        <w:t xml:space="preserve"> 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lastRenderedPageBreak/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382B89EA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t>Změny podmínek smlouvy</w:t>
      </w:r>
    </w:p>
    <w:p w14:paraId="3F8984DB" w14:textId="07130DCF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za podmínky zachování smyslu a účelu projektu. Nepodstatné změny projektu je příjemce povinen </w:t>
      </w:r>
      <w:r w:rsidR="00646B74">
        <w:t>prostřednictvím datové schránky nebo v listinné podobě</w:t>
      </w:r>
      <w:r w:rsidR="00D06902">
        <w:t xml:space="preserve"> </w:t>
      </w:r>
      <w:r w:rsidR="004A3A15">
        <w:t>oznámit poskytovateli bez zbytečného odkladu, nejpozději v Závěrečné zprávě. Nepodstatnými změnami jsou</w:t>
      </w:r>
      <w:r>
        <w:t>:</w:t>
      </w:r>
    </w:p>
    <w:p w14:paraId="19BAA672" w14:textId="61B33379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0D31B4">
        <w:t>,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224A0CC5" w:rsidR="00D9597D" w:rsidRPr="00EB1154" w:rsidRDefault="00747C54" w:rsidP="00C37053">
      <w:pPr>
        <w:pStyle w:val="3rove-trval"/>
      </w:pPr>
      <w:r>
        <w:t>změna názvu příjemce</w:t>
      </w:r>
      <w:r w:rsidR="000D31B4">
        <w:t>,</w:t>
      </w:r>
    </w:p>
    <w:p w14:paraId="02717BA8" w14:textId="3969BD16" w:rsidR="00747C54" w:rsidRDefault="00747C54" w:rsidP="00C37053">
      <w:pPr>
        <w:pStyle w:val="3rove-trval"/>
      </w:pPr>
      <w:r>
        <w:t>změna názvu projektu při zachování účelu a všech ostatních parametrů projektu,</w:t>
      </w:r>
    </w:p>
    <w:p w14:paraId="0F10FFA5" w14:textId="77777777" w:rsidR="00D9597D" w:rsidRDefault="00D9597D" w:rsidP="00C37053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29A3B1D8" w14:textId="68BB7C9E" w:rsidR="00D9597D" w:rsidRDefault="007A3EEB" w:rsidP="008C41E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8C41EC">
        <w:t>.</w:t>
      </w:r>
    </w:p>
    <w:p w14:paraId="47FDFC6B" w14:textId="2448ECC0" w:rsidR="005651A6" w:rsidRDefault="005651A6" w:rsidP="00C37053">
      <w:pPr>
        <w:pStyle w:val="2rove"/>
      </w:pPr>
      <w:r>
        <w:t>Změnu bankovního spojení oznámí příjemce poskytova</w:t>
      </w:r>
      <w:r w:rsidR="007A3EEB">
        <w:t xml:space="preserve">teli </w:t>
      </w:r>
      <w:r w:rsidR="00095D78">
        <w:t>prostřednictvím datové schránky nebo v listinné podobě</w:t>
      </w:r>
      <w:r w:rsidR="007A3EEB">
        <w:t xml:space="preserve">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48A8054A" w:rsidR="005651A6" w:rsidRDefault="00DE64D6" w:rsidP="00C37053">
      <w:pPr>
        <w:pStyle w:val="2rove"/>
      </w:pPr>
      <w:r>
        <w:t xml:space="preserve">V </w:t>
      </w:r>
      <w:r w:rsidRPr="001C3D21">
        <w:t xml:space="preserve">případě podstatných změn projektu musí příjemce </w:t>
      </w:r>
      <w:r w:rsidR="00EA0A2B">
        <w:t>prostřednictvím datové schránky nebo v listinné podobě</w:t>
      </w:r>
      <w:r w:rsidRPr="001C3D21">
        <w:t xml:space="preserve">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2DC804A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40D7EC01" w14:textId="77777777" w:rsidR="00133D3D" w:rsidRDefault="00133D3D" w:rsidP="00133D3D">
      <w:pPr>
        <w:pStyle w:val="3rove-trval"/>
      </w:pPr>
      <w:r>
        <w:lastRenderedPageBreak/>
        <w:t>prohlášení příjemce dle čl. 5.9 se prokáže jako nepravdivé,</w:t>
      </w:r>
    </w:p>
    <w:p w14:paraId="6EC6B722" w14:textId="3DA0A67B" w:rsidR="00504796" w:rsidRDefault="00504796" w:rsidP="002321A0">
      <w:pPr>
        <w:pStyle w:val="3rove-trval"/>
      </w:pPr>
      <w:r>
        <w:t>poruší pravidla veřejné podpory</w:t>
      </w:r>
      <w:r w:rsidR="00506961">
        <w:t xml:space="preserve"> zejména dle čl. 5.</w:t>
      </w:r>
      <w:r w:rsidR="00133D3D">
        <w:t>10</w:t>
      </w:r>
      <w:r>
        <w:t>,</w:t>
      </w:r>
      <w:r w:rsidR="00EE4740">
        <w:t xml:space="preserve"> 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152FD289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2D266F">
        <w:t> </w:t>
      </w:r>
      <w:r w:rsidRPr="00BC32A3">
        <w:t>nápravě</w:t>
      </w:r>
      <w:r w:rsidR="002D266F">
        <w:t>.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72833ADA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4579EB">
        <w:t>strategického rozvoje kraje, </w:t>
      </w:r>
      <w:proofErr w:type="spellStart"/>
      <w:r w:rsidR="00B153D0">
        <w:t>xxxxxxxxxxxxxxx</w:t>
      </w:r>
      <w:proofErr w:type="spellEnd"/>
      <w:r w:rsidR="004579EB">
        <w:t>,</w:t>
      </w:r>
      <w:r w:rsidR="004579EB" w:rsidRPr="00EC4D55">
        <w:t xml:space="preserve"> </w:t>
      </w:r>
      <w:proofErr w:type="gramStart"/>
      <w:r w:rsidR="004579EB" w:rsidRPr="00EC4D55">
        <w:t>tel.:</w:t>
      </w:r>
      <w:proofErr w:type="spellStart"/>
      <w:r w:rsidR="00B153D0">
        <w:t>xxxxxxxxxxxx</w:t>
      </w:r>
      <w:proofErr w:type="spellEnd"/>
      <w:proofErr w:type="gramEnd"/>
      <w:r w:rsidR="004579EB">
        <w:t xml:space="preserve">, </w:t>
      </w:r>
      <w:r w:rsidR="004579EB" w:rsidRPr="00EC4D55">
        <w:t>e-mail:</w:t>
      </w:r>
      <w:r w:rsidR="004579EB">
        <w:t xml:space="preserve"> </w:t>
      </w:r>
      <w:hyperlink r:id="rId14" w:history="1">
        <w:proofErr w:type="spellStart"/>
        <w:r w:rsidR="00B153D0">
          <w:rPr>
            <w:rStyle w:val="Hypertextovodkaz"/>
          </w:rPr>
          <w:t>xxxxxxxxxxxxxxxxxxxxxxxxxxxx</w:t>
        </w:r>
        <w:proofErr w:type="spellEnd"/>
      </w:hyperlink>
      <w:r w:rsidR="004579EB">
        <w:t xml:space="preserve"> . </w:t>
      </w:r>
      <w:r w:rsidR="004579EB"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lastRenderedPageBreak/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5837BFE6" w:rsidR="00EC4D55" w:rsidRDefault="00CB57BD" w:rsidP="002321A0">
      <w:pPr>
        <w:pStyle w:val="2rove"/>
      </w:pPr>
      <w:r>
        <w:t xml:space="preserve">Smlouva je uzavírána elektronicky. </w:t>
      </w:r>
    </w:p>
    <w:p w14:paraId="2F0D8725" w14:textId="77777777" w:rsidR="00CD00F0" w:rsidRDefault="00794CCF" w:rsidP="002321A0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>uveřejnění smlouvy bude příjemce bezodkladně informován</w:t>
      </w:r>
    </w:p>
    <w:p w14:paraId="63160ED5" w14:textId="0325D161" w:rsidR="00F75253" w:rsidRDefault="00673C84" w:rsidP="002321A0">
      <w:pPr>
        <w:pStyle w:val="2rove"/>
      </w:pPr>
      <w:r w:rsidRPr="00BC32A3">
        <w:t>Tato smlouva nabývá účinnosti dnem zveřejnění v registru smluv</w:t>
      </w:r>
      <w:r w:rsidR="005B2A0B">
        <w:t>.</w:t>
      </w: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75F037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13750B">
        <w:rPr>
          <w:rFonts w:cs="Arial"/>
          <w:szCs w:val="20"/>
        </w:rPr>
        <w:t>Radou Zlínského kraje</w:t>
      </w:r>
    </w:p>
    <w:p w14:paraId="4F7A8297" w14:textId="7DC3224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13750B">
        <w:rPr>
          <w:rFonts w:cs="Arial"/>
          <w:szCs w:val="20"/>
        </w:rPr>
        <w:t xml:space="preserve"> 9.12.2024, č. usnesení: </w:t>
      </w:r>
      <w:r w:rsidR="0013750B" w:rsidRPr="0013750B">
        <w:rPr>
          <w:rFonts w:cs="Arial"/>
          <w:szCs w:val="20"/>
        </w:rPr>
        <w:t>1200/R33/24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B72B3A8" w14:textId="3786DA5B" w:rsidR="00CB57BD" w:rsidRDefault="00CB57BD" w:rsidP="00E82920">
      <w:pPr>
        <w:pStyle w:val="Hlavntextlnksmlouvy"/>
        <w:numPr>
          <w:ilvl w:val="0"/>
          <w:numId w:val="0"/>
        </w:numPr>
        <w:spacing w:line="276" w:lineRule="auto"/>
      </w:pPr>
      <w:r>
        <w:t xml:space="preserve">Zkontroloval: …………… </w:t>
      </w: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24A96082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B153D0">
              <w:t>14.2.2025</w:t>
            </w:r>
          </w:p>
        </w:tc>
        <w:tc>
          <w:tcPr>
            <w:tcW w:w="4531" w:type="dxa"/>
            <w:vAlign w:val="center"/>
          </w:tcPr>
          <w:p w14:paraId="6BD02E02" w14:textId="0354681C" w:rsidR="006A4FA0" w:rsidRDefault="006A4FA0" w:rsidP="00E82920">
            <w:pPr>
              <w:spacing w:line="276" w:lineRule="auto"/>
            </w:pPr>
            <w:r>
              <w:t>V</w:t>
            </w:r>
            <w:r w:rsidR="002321A0">
              <w:t> …</w:t>
            </w:r>
            <w:r w:rsidR="00650291">
              <w:t>……………………</w:t>
            </w:r>
            <w:r>
              <w:t>… dne</w:t>
            </w:r>
            <w:r w:rsidR="002321A0">
              <w:t> </w:t>
            </w:r>
            <w:r w:rsidR="00B153D0">
              <w:t>20.12.2024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77777777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0071665C" w14:textId="77777777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77777777" w:rsidR="006A4FA0" w:rsidRDefault="006A4FA0" w:rsidP="002321A0">
            <w:pPr>
              <w:spacing w:line="276" w:lineRule="auto"/>
              <w:jc w:val="center"/>
            </w:pPr>
            <w:r>
              <w:t>……………………</w:t>
            </w:r>
          </w:p>
          <w:p w14:paraId="2EDC7A34" w14:textId="12CCEA4D" w:rsidR="006A4FA0" w:rsidRDefault="00E44BEC" w:rsidP="00E44BEC">
            <w:pPr>
              <w:spacing w:line="276" w:lineRule="auto"/>
              <w:jc w:val="center"/>
            </w:pPr>
            <w:r>
              <w:t>Ing. Radim Holiš, hejtman</w:t>
            </w:r>
          </w:p>
        </w:tc>
        <w:tc>
          <w:tcPr>
            <w:tcW w:w="4531" w:type="dxa"/>
            <w:vAlign w:val="center"/>
          </w:tcPr>
          <w:p w14:paraId="5B48F8E7" w14:textId="77777777" w:rsidR="006A4FA0" w:rsidRDefault="006A4FA0" w:rsidP="002321A0">
            <w:pPr>
              <w:pStyle w:val="Bezmezer"/>
              <w:spacing w:line="276" w:lineRule="auto"/>
              <w:jc w:val="center"/>
            </w:pPr>
            <w:r>
              <w:t>……………………</w:t>
            </w:r>
          </w:p>
          <w:p w14:paraId="198191DC" w14:textId="1FE83617" w:rsidR="006A4FA0" w:rsidRDefault="0092616F" w:rsidP="002321A0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Ing. Marek Prachař, </w:t>
            </w:r>
            <w:r w:rsidR="00FC33BB">
              <w:rPr>
                <w:rFonts w:cs="Arial"/>
                <w:szCs w:val="20"/>
              </w:rPr>
              <w:t>ředitel</w:t>
            </w:r>
          </w:p>
        </w:tc>
      </w:tr>
    </w:tbl>
    <w:p w14:paraId="316B2CCC" w14:textId="77777777" w:rsidR="009671D4" w:rsidRDefault="009671D4" w:rsidP="00E82920">
      <w:pPr>
        <w:pStyle w:val="Hlavntextlnksmlouvy"/>
        <w:numPr>
          <w:ilvl w:val="0"/>
          <w:numId w:val="0"/>
        </w:numPr>
        <w:spacing w:line="276" w:lineRule="auto"/>
        <w:ind w:left="142"/>
        <w:sectPr w:rsidR="009671D4" w:rsidSect="00DC368F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3EC22B" w14:textId="77777777" w:rsidR="00974355" w:rsidRDefault="00974355" w:rsidP="00974355">
      <w:pPr>
        <w:pStyle w:val="Hlavntextlnksmlouvy"/>
        <w:numPr>
          <w:ilvl w:val="0"/>
          <w:numId w:val="0"/>
        </w:numPr>
        <w:spacing w:line="276" w:lineRule="auto"/>
        <w:ind w:left="567" w:hanging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Příloha č. 1</w:t>
      </w:r>
    </w:p>
    <w:p w14:paraId="70ABC861" w14:textId="77777777" w:rsidR="00974355" w:rsidRPr="00974A49" w:rsidRDefault="00974355" w:rsidP="00974355">
      <w:pPr>
        <w:pStyle w:val="Hlavntextlnksmlouvy"/>
        <w:numPr>
          <w:ilvl w:val="0"/>
          <w:numId w:val="0"/>
        </w:numPr>
        <w:spacing w:line="276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Parametry výkonnostního příspěvku včetně míry plnění</w:t>
      </w:r>
    </w:p>
    <w:tbl>
      <w:tblPr>
        <w:tblpPr w:leftFromText="141" w:rightFromText="141" w:bottomFromText="160" w:vertAnchor="text" w:tblpXSpec="center" w:tblpY="1"/>
        <w:tblOverlap w:val="never"/>
        <w:tblW w:w="148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803"/>
        <w:gridCol w:w="850"/>
        <w:gridCol w:w="851"/>
        <w:gridCol w:w="8"/>
        <w:gridCol w:w="704"/>
        <w:gridCol w:w="851"/>
        <w:gridCol w:w="999"/>
        <w:gridCol w:w="846"/>
        <w:gridCol w:w="712"/>
        <w:gridCol w:w="995"/>
        <w:gridCol w:w="9"/>
        <w:gridCol w:w="841"/>
        <w:gridCol w:w="709"/>
        <w:gridCol w:w="990"/>
        <w:gridCol w:w="1985"/>
        <w:gridCol w:w="29"/>
      </w:tblGrid>
      <w:tr w:rsidR="00974355" w14:paraId="72C064FD" w14:textId="77777777" w:rsidTr="00A030B9">
        <w:trPr>
          <w:trHeight w:val="400"/>
        </w:trPr>
        <w:tc>
          <w:tcPr>
            <w:tcW w:w="2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32C80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Parametry výkonnostního příspěvku</w:t>
            </w:r>
          </w:p>
        </w:tc>
        <w:tc>
          <w:tcPr>
            <w:tcW w:w="251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B3ED65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Nulové plnění</w:t>
            </w:r>
          </w:p>
        </w:tc>
        <w:tc>
          <w:tcPr>
            <w:tcW w:w="255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4B15EB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Minimální plnění</w:t>
            </w:r>
          </w:p>
        </w:tc>
        <w:tc>
          <w:tcPr>
            <w:tcW w:w="25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38A3751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Částečné plnění</w:t>
            </w:r>
          </w:p>
        </w:tc>
        <w:tc>
          <w:tcPr>
            <w:tcW w:w="25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878ECC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Plné plnění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14E2A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Zdroj dat </w:t>
            </w:r>
          </w:p>
        </w:tc>
      </w:tr>
      <w:tr w:rsidR="00974355" w14:paraId="6A0EC7A7" w14:textId="77777777" w:rsidTr="00A030B9">
        <w:trPr>
          <w:gridAfter w:val="1"/>
          <w:wAfter w:w="29" w:type="dxa"/>
          <w:trHeight w:val="711"/>
        </w:trPr>
        <w:tc>
          <w:tcPr>
            <w:tcW w:w="271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EF45E7" w14:textId="77777777" w:rsidR="00974355" w:rsidRDefault="00974355" w:rsidP="00A030B9">
            <w:pPr>
              <w:spacing w:after="0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4B59A2D5" w14:textId="77777777" w:rsidR="00974355" w:rsidRPr="008E739A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48C89F25" w14:textId="77777777" w:rsidR="00974355" w:rsidRPr="008E739A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538E1925" w14:textId="77777777" w:rsidR="00974355" w:rsidRPr="008E739A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677DF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%-ní podíl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výkonnost.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E739A">
              <w:rPr>
                <w:rFonts w:eastAsia="Times New Roman" w:cs="Arial"/>
                <w:b/>
                <w:bCs/>
                <w:color w:val="000000"/>
                <w:spacing w:val="-6"/>
                <w:sz w:val="17"/>
                <w:szCs w:val="17"/>
                <w:lang w:eastAsia="cs-CZ"/>
              </w:rPr>
              <w:t>příspěvku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57C77D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</w:t>
            </w:r>
            <w:r w:rsidRPr="008E739A">
              <w:rPr>
                <w:rFonts w:eastAsia="Times New Roman" w:cs="Arial"/>
                <w:b/>
                <w:bCs/>
                <w:color w:val="000000"/>
                <w:spacing w:val="-6"/>
                <w:sz w:val="17"/>
                <w:szCs w:val="17"/>
                <w:lang w:eastAsia="cs-CZ"/>
              </w:rPr>
              <w:t>příspěvek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008CFC0D" w14:textId="77777777" w:rsidR="00974355" w:rsidRPr="008E739A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3BAE38F1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25CB549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77E38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%-ní podíl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výkonnost.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E739A">
              <w:rPr>
                <w:rFonts w:eastAsia="Times New Roman" w:cs="Arial"/>
                <w:b/>
                <w:bCs/>
                <w:color w:val="000000"/>
                <w:spacing w:val="-6"/>
                <w:sz w:val="17"/>
                <w:szCs w:val="17"/>
                <w:lang w:eastAsia="cs-CZ"/>
              </w:rPr>
              <w:t>příspěvku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610D1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543ECFD1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08B756D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7C8AA49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8D05A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%-ní podíl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výkonnost.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E739A">
              <w:rPr>
                <w:rFonts w:eastAsia="Times New Roman" w:cs="Arial"/>
                <w:b/>
                <w:bCs/>
                <w:color w:val="000000"/>
                <w:spacing w:val="-6"/>
                <w:sz w:val="16"/>
                <w:szCs w:val="16"/>
                <w:lang w:eastAsia="cs-CZ"/>
              </w:rPr>
              <w:t>příspěvku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E000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1133B8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Hodnota</w:t>
            </w:r>
          </w:p>
          <w:p w14:paraId="39E0362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  <w:p w14:paraId="6989B31B" w14:textId="77777777" w:rsidR="00974355" w:rsidRPr="008E739A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kritéria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8FD3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%-ní podíl výkonnost. </w:t>
            </w:r>
            <w:r w:rsidRPr="008E739A">
              <w:rPr>
                <w:rFonts w:eastAsia="Times New Roman" w:cs="Arial"/>
                <w:b/>
                <w:bCs/>
                <w:color w:val="000000"/>
                <w:spacing w:val="-6"/>
                <w:sz w:val="15"/>
                <w:szCs w:val="15"/>
                <w:lang w:eastAsia="cs-CZ"/>
              </w:rPr>
              <w:t>příspěvku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6B16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E739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výkonnostní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příspěvek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 Kč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D0530D" w14:textId="77777777" w:rsidR="00974355" w:rsidRDefault="00974355" w:rsidP="00A030B9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974355" w14:paraId="47085F92" w14:textId="77777777" w:rsidTr="00A030B9">
        <w:trPr>
          <w:gridAfter w:val="1"/>
          <w:wAfter w:w="29" w:type="dxa"/>
          <w:trHeight w:val="984"/>
        </w:trPr>
        <w:tc>
          <w:tcPr>
            <w:tcW w:w="27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0E38C5" w14:textId="77777777" w:rsidR="00974355" w:rsidRPr="0027681D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Realizace/předložení projektů s financováním </w:t>
            </w:r>
            <w:proofErr w:type="gramStart"/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  evropských</w:t>
            </w:r>
            <w:proofErr w:type="gramEnd"/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 nebo </w:t>
            </w:r>
          </w:p>
          <w:p w14:paraId="40A4B502" w14:textId="77777777" w:rsidR="00974355" w:rsidRPr="0027681D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národních zdrojů realizovaných/ předložených žádostí v roce 202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5</w:t>
            </w: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 nebo </w:t>
            </w:r>
          </w:p>
          <w:p w14:paraId="09C0E698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27681D"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partnerství s finančním plněním při realizaci projektu z evropských nebo národních zdrojů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 xml:space="preserve"> v roce 2025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1907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9DC0A2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397DF6C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3071C348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75D6C7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16B36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ED234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1352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1A1FC2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E53CD2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0ED6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FC19D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364E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3583971D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449043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50343D5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7F21769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ANO</w:t>
            </w:r>
          </w:p>
          <w:p w14:paraId="41CF45BD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 projekt-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3373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8%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9B409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80.000 Kč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C978F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02F1E11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0AA1593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AE7F05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5EFCFCC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ANO</w:t>
            </w:r>
          </w:p>
          <w:p w14:paraId="2A79FB71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Více než 1 projekt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FEAC8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10%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CEAE2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100.000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B2007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smlouva s poskytovatelem dotace/rozhodnutí o přidělení dotace s uvedením termínu realizace projektu / potvrzení o předložení žádosti </w:t>
            </w:r>
          </w:p>
        </w:tc>
      </w:tr>
      <w:tr w:rsidR="00974355" w14:paraId="58F3A2BD" w14:textId="77777777" w:rsidTr="00A030B9">
        <w:trPr>
          <w:gridAfter w:val="1"/>
          <w:wAfter w:w="29" w:type="dxa"/>
          <w:trHeight w:val="1104"/>
        </w:trPr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473244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Výše spolufinancování DMO na činnost / projekty ze soukromých zdrojů (finanční prostředky přijaté v roce 2025)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0267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0B0227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Méně než 25 000 Kč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27A9B7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A6B3F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CB97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56FC2BAF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25 000 Kč </w:t>
            </w:r>
          </w:p>
          <w:p w14:paraId="2324AB8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– </w:t>
            </w:r>
          </w:p>
          <w:p w14:paraId="50D4EA1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50 000 Kč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D62A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3,30%</w:t>
            </w:r>
            <w:proofErr w:type="gram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38B50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33 000 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5374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</w:t>
            </w:r>
          </w:p>
          <w:p w14:paraId="02A6EDC0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50 000 Kč </w:t>
            </w:r>
          </w:p>
          <w:p w14:paraId="58FB866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– </w:t>
            </w:r>
          </w:p>
          <w:p w14:paraId="445F612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100 000 Kč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EAB2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6,60%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7B5EF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66 000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162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077CFB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</w:t>
            </w:r>
          </w:p>
          <w:p w14:paraId="6F691DD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100 000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747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10%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9FB04F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100.000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B6738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výkazy z účetnictví </w:t>
            </w:r>
            <w:r>
              <w:rPr>
                <w:rFonts w:eastAsia="Times New Roman" w:cs="Arial"/>
                <w:sz w:val="18"/>
                <w:szCs w:val="18"/>
                <w:lang w:eastAsia="cs-CZ"/>
              </w:rPr>
              <w:br/>
              <w:t>organizace</w:t>
            </w:r>
          </w:p>
        </w:tc>
      </w:tr>
      <w:tr w:rsidR="00974355" w14:paraId="78834250" w14:textId="77777777" w:rsidTr="00A030B9">
        <w:trPr>
          <w:gridAfter w:val="1"/>
          <w:wAfter w:w="29" w:type="dxa"/>
          <w:trHeight w:val="1105"/>
        </w:trPr>
        <w:tc>
          <w:tcPr>
            <w:tcW w:w="27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723E0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Zvýšení počtu členů destinační společnosti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br/>
              <w:t>(vstupní hodnota k 31.12.2024 a cílová hodnota k 31.12.2025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7FB7A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37A74C8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Méně než </w:t>
            </w:r>
          </w:p>
          <w:p w14:paraId="282F2B96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7E5D8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96CD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40E74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4CF5FFC3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1461BBAD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2 - 3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9B8A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3,30%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0BFB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33  000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48C839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  <w:p w14:paraId="0335F147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  <w:p w14:paraId="4775D79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4 - 6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D40F9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6,60%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1244A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66 000 Kč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E1B83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6A64796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</w:pPr>
          </w:p>
          <w:p w14:paraId="2B93694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cs-CZ"/>
              </w:rPr>
              <w:t>Více než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B5782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10%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98FA5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>100-000 Kč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85C21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sz w:val="18"/>
                <w:szCs w:val="18"/>
                <w:lang w:eastAsia="cs-CZ"/>
              </w:rPr>
              <w:t xml:space="preserve">Dokumenty prokazující členství (smlouvy, rozhodnutí, stanovy </w:t>
            </w: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… )</w:t>
            </w:r>
            <w:proofErr w:type="gramEnd"/>
          </w:p>
        </w:tc>
      </w:tr>
      <w:tr w:rsidR="00974355" w14:paraId="76CD59EF" w14:textId="77777777" w:rsidTr="00A030B9">
        <w:trPr>
          <w:gridAfter w:val="1"/>
          <w:wAfter w:w="29" w:type="dxa"/>
          <w:trHeight w:val="312"/>
        </w:trPr>
        <w:tc>
          <w:tcPr>
            <w:tcW w:w="27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93FF95" w14:textId="77777777" w:rsidR="00974355" w:rsidRDefault="00974355" w:rsidP="00A030B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0CF2B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D88EDE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sz w:val="18"/>
                <w:szCs w:val="18"/>
                <w:lang w:eastAsia="cs-CZ"/>
              </w:rPr>
              <w:t>0%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EDCA5F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94B6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E33F7" w14:textId="77777777" w:rsidR="00974355" w:rsidRPr="008452C8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6,60</w:t>
            </w:r>
            <w:r w:rsidRPr="008452C8">
              <w:rPr>
                <w:rFonts w:eastAsia="Times New Roman" w:cs="Arial"/>
                <w:b/>
                <w:sz w:val="18"/>
                <w:szCs w:val="18"/>
                <w:lang w:eastAsia="cs-CZ"/>
              </w:rPr>
              <w:t>%</w:t>
            </w:r>
            <w:proofErr w:type="gram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2C4F24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66.000 Kč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EBB2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3300C7" w14:textId="77777777" w:rsidR="00974355" w:rsidRPr="00B34577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13,2</w:t>
            </w:r>
            <w:r w:rsidRPr="00B34577">
              <w:rPr>
                <w:rFonts w:eastAsia="Times New Roman" w:cs="Arial"/>
                <w:b/>
                <w:sz w:val="18"/>
                <w:szCs w:val="18"/>
                <w:lang w:eastAsia="cs-CZ"/>
              </w:rPr>
              <w:t>%</w:t>
            </w:r>
            <w:proofErr w:type="gram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1A875" w14:textId="77777777" w:rsidR="00974355" w:rsidRPr="00B34577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212.000 Kč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88C5C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D88EC" w14:textId="77777777" w:rsidR="00974355" w:rsidRPr="00B34577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30%</w:t>
            </w:r>
            <w:proofErr w:type="gram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ACE55" w14:textId="77777777" w:rsidR="00974355" w:rsidRDefault="00974355" w:rsidP="00A030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  <w:t>300 000 Kč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1A4B73" w14:textId="77777777" w:rsidR="00974355" w:rsidRDefault="00974355" w:rsidP="00A03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6518D56D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9671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E134" w14:textId="77777777" w:rsidR="007F3086" w:rsidRDefault="007F3086" w:rsidP="00324D78">
      <w:pPr>
        <w:spacing w:after="0" w:line="240" w:lineRule="auto"/>
      </w:pPr>
      <w:r>
        <w:separator/>
      </w:r>
    </w:p>
  </w:endnote>
  <w:endnote w:type="continuationSeparator" w:id="0">
    <w:p w14:paraId="0167308B" w14:textId="77777777" w:rsidR="007F3086" w:rsidRDefault="007F3086" w:rsidP="00324D78">
      <w:pPr>
        <w:spacing w:after="0" w:line="240" w:lineRule="auto"/>
      </w:pPr>
      <w:r>
        <w:continuationSeparator/>
      </w:r>
    </w:p>
  </w:endnote>
  <w:endnote w:type="continuationNotice" w:id="1">
    <w:p w14:paraId="09F89076" w14:textId="77777777" w:rsidR="007F3086" w:rsidRDefault="007F3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943CDBE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D3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0F45" w14:textId="77777777" w:rsidR="007F3086" w:rsidRDefault="007F3086" w:rsidP="00324D78">
      <w:pPr>
        <w:spacing w:after="0" w:line="240" w:lineRule="auto"/>
      </w:pPr>
      <w:r>
        <w:separator/>
      </w:r>
    </w:p>
  </w:footnote>
  <w:footnote w:type="continuationSeparator" w:id="0">
    <w:p w14:paraId="37CBA69E" w14:textId="77777777" w:rsidR="007F3086" w:rsidRDefault="007F3086" w:rsidP="00324D78">
      <w:pPr>
        <w:spacing w:after="0" w:line="240" w:lineRule="auto"/>
      </w:pPr>
      <w:r>
        <w:continuationSeparator/>
      </w:r>
    </w:p>
  </w:footnote>
  <w:footnote w:type="continuationNotice" w:id="1">
    <w:p w14:paraId="64430911" w14:textId="77777777" w:rsidR="007F3086" w:rsidRDefault="007F30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534923765">
    <w:abstractNumId w:val="2"/>
  </w:num>
  <w:num w:numId="2" w16cid:durableId="891503902">
    <w:abstractNumId w:val="4"/>
  </w:num>
  <w:num w:numId="3" w16cid:durableId="1083450741">
    <w:abstractNumId w:val="2"/>
  </w:num>
  <w:num w:numId="4" w16cid:durableId="849299699">
    <w:abstractNumId w:val="2"/>
  </w:num>
  <w:num w:numId="5" w16cid:durableId="793207960">
    <w:abstractNumId w:val="2"/>
  </w:num>
  <w:num w:numId="6" w16cid:durableId="1125468896">
    <w:abstractNumId w:val="2"/>
  </w:num>
  <w:num w:numId="7" w16cid:durableId="174078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178376">
    <w:abstractNumId w:val="2"/>
  </w:num>
  <w:num w:numId="9" w16cid:durableId="368729167">
    <w:abstractNumId w:val="2"/>
  </w:num>
  <w:num w:numId="10" w16cid:durableId="412505794">
    <w:abstractNumId w:val="2"/>
  </w:num>
  <w:num w:numId="11" w16cid:durableId="1377386801">
    <w:abstractNumId w:val="2"/>
  </w:num>
  <w:num w:numId="12" w16cid:durableId="38869522">
    <w:abstractNumId w:val="0"/>
  </w:num>
  <w:num w:numId="13" w16cid:durableId="1337420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77209784">
    <w:abstractNumId w:val="3"/>
  </w:num>
  <w:num w:numId="15" w16cid:durableId="162616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046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252449">
    <w:abstractNumId w:val="2"/>
  </w:num>
  <w:num w:numId="18" w16cid:durableId="1845851367">
    <w:abstractNumId w:val="2"/>
  </w:num>
  <w:num w:numId="19" w16cid:durableId="398479444">
    <w:abstractNumId w:val="2"/>
  </w:num>
  <w:num w:numId="20" w16cid:durableId="112515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37"/>
    <w:rsid w:val="0003487A"/>
    <w:rsid w:val="000417D8"/>
    <w:rsid w:val="0005319A"/>
    <w:rsid w:val="0005501A"/>
    <w:rsid w:val="0006272D"/>
    <w:rsid w:val="00077168"/>
    <w:rsid w:val="00090713"/>
    <w:rsid w:val="00095D78"/>
    <w:rsid w:val="00095DF0"/>
    <w:rsid w:val="00097AA1"/>
    <w:rsid w:val="000A6E68"/>
    <w:rsid w:val="000B0AC2"/>
    <w:rsid w:val="000B11E0"/>
    <w:rsid w:val="000B5BAF"/>
    <w:rsid w:val="000B7FE5"/>
    <w:rsid w:val="000C3F33"/>
    <w:rsid w:val="000C5740"/>
    <w:rsid w:val="000D1E07"/>
    <w:rsid w:val="000D31A2"/>
    <w:rsid w:val="000D31B4"/>
    <w:rsid w:val="000E7D0E"/>
    <w:rsid w:val="000F684C"/>
    <w:rsid w:val="000F686B"/>
    <w:rsid w:val="00111495"/>
    <w:rsid w:val="00114376"/>
    <w:rsid w:val="00116E6A"/>
    <w:rsid w:val="00123AD3"/>
    <w:rsid w:val="00126170"/>
    <w:rsid w:val="00133D3D"/>
    <w:rsid w:val="00136A61"/>
    <w:rsid w:val="0013750B"/>
    <w:rsid w:val="001422DD"/>
    <w:rsid w:val="0014635F"/>
    <w:rsid w:val="00146375"/>
    <w:rsid w:val="001575B6"/>
    <w:rsid w:val="00160677"/>
    <w:rsid w:val="00165E3A"/>
    <w:rsid w:val="001727DF"/>
    <w:rsid w:val="0017738B"/>
    <w:rsid w:val="00177FB1"/>
    <w:rsid w:val="00185DE1"/>
    <w:rsid w:val="001C2B6C"/>
    <w:rsid w:val="001C4D9E"/>
    <w:rsid w:val="001C6112"/>
    <w:rsid w:val="001D227C"/>
    <w:rsid w:val="001D6F6C"/>
    <w:rsid w:val="001E11F1"/>
    <w:rsid w:val="001E22BF"/>
    <w:rsid w:val="001E5A62"/>
    <w:rsid w:val="001F53B9"/>
    <w:rsid w:val="001F5E68"/>
    <w:rsid w:val="002031A5"/>
    <w:rsid w:val="002065FF"/>
    <w:rsid w:val="00210067"/>
    <w:rsid w:val="00211237"/>
    <w:rsid w:val="00214E04"/>
    <w:rsid w:val="00215CBD"/>
    <w:rsid w:val="00217D96"/>
    <w:rsid w:val="00220F80"/>
    <w:rsid w:val="00222CBA"/>
    <w:rsid w:val="00223423"/>
    <w:rsid w:val="002321A0"/>
    <w:rsid w:val="00232DA9"/>
    <w:rsid w:val="002413BD"/>
    <w:rsid w:val="00251DFE"/>
    <w:rsid w:val="00253134"/>
    <w:rsid w:val="00254F2A"/>
    <w:rsid w:val="00256275"/>
    <w:rsid w:val="002563AC"/>
    <w:rsid w:val="00281988"/>
    <w:rsid w:val="00282F08"/>
    <w:rsid w:val="00287043"/>
    <w:rsid w:val="00291B5F"/>
    <w:rsid w:val="00297661"/>
    <w:rsid w:val="002A0B26"/>
    <w:rsid w:val="002A56F2"/>
    <w:rsid w:val="002B066D"/>
    <w:rsid w:val="002B1861"/>
    <w:rsid w:val="002B1A10"/>
    <w:rsid w:val="002B4723"/>
    <w:rsid w:val="002C00E2"/>
    <w:rsid w:val="002C4F41"/>
    <w:rsid w:val="002C5090"/>
    <w:rsid w:val="002D215A"/>
    <w:rsid w:val="002D266F"/>
    <w:rsid w:val="002F1710"/>
    <w:rsid w:val="003042E9"/>
    <w:rsid w:val="00306C0D"/>
    <w:rsid w:val="0030743E"/>
    <w:rsid w:val="00313590"/>
    <w:rsid w:val="00313D8B"/>
    <w:rsid w:val="00313DE9"/>
    <w:rsid w:val="00324D78"/>
    <w:rsid w:val="00334545"/>
    <w:rsid w:val="00334719"/>
    <w:rsid w:val="00335E4C"/>
    <w:rsid w:val="00340702"/>
    <w:rsid w:val="00340B35"/>
    <w:rsid w:val="00351C89"/>
    <w:rsid w:val="00357941"/>
    <w:rsid w:val="0036448F"/>
    <w:rsid w:val="003659F7"/>
    <w:rsid w:val="003666F4"/>
    <w:rsid w:val="00373C3D"/>
    <w:rsid w:val="00374AE6"/>
    <w:rsid w:val="00376A53"/>
    <w:rsid w:val="00381A8A"/>
    <w:rsid w:val="003A2B2E"/>
    <w:rsid w:val="003A399C"/>
    <w:rsid w:val="003B4183"/>
    <w:rsid w:val="003B4F68"/>
    <w:rsid w:val="003C4D8A"/>
    <w:rsid w:val="003D1F38"/>
    <w:rsid w:val="003D35B4"/>
    <w:rsid w:val="003D3D3C"/>
    <w:rsid w:val="003D4418"/>
    <w:rsid w:val="003D6684"/>
    <w:rsid w:val="003D6A1A"/>
    <w:rsid w:val="003D7EC4"/>
    <w:rsid w:val="003E0B86"/>
    <w:rsid w:val="003E3BE0"/>
    <w:rsid w:val="003E3DF1"/>
    <w:rsid w:val="003F1035"/>
    <w:rsid w:val="00412219"/>
    <w:rsid w:val="004131ED"/>
    <w:rsid w:val="00413E11"/>
    <w:rsid w:val="00421D26"/>
    <w:rsid w:val="0043085A"/>
    <w:rsid w:val="00430948"/>
    <w:rsid w:val="00432A5A"/>
    <w:rsid w:val="004340C5"/>
    <w:rsid w:val="004365DE"/>
    <w:rsid w:val="00441B3B"/>
    <w:rsid w:val="00444289"/>
    <w:rsid w:val="00454C62"/>
    <w:rsid w:val="004579EB"/>
    <w:rsid w:val="00474496"/>
    <w:rsid w:val="00482712"/>
    <w:rsid w:val="00485683"/>
    <w:rsid w:val="004872A7"/>
    <w:rsid w:val="004942FC"/>
    <w:rsid w:val="00496893"/>
    <w:rsid w:val="004A3A15"/>
    <w:rsid w:val="004A49A2"/>
    <w:rsid w:val="004B6331"/>
    <w:rsid w:val="004C09D6"/>
    <w:rsid w:val="004D67D0"/>
    <w:rsid w:val="004D7E38"/>
    <w:rsid w:val="004E4E47"/>
    <w:rsid w:val="004F068F"/>
    <w:rsid w:val="004F1656"/>
    <w:rsid w:val="00504796"/>
    <w:rsid w:val="00504BB8"/>
    <w:rsid w:val="00506961"/>
    <w:rsid w:val="005069B4"/>
    <w:rsid w:val="00507B55"/>
    <w:rsid w:val="005108D5"/>
    <w:rsid w:val="005160EE"/>
    <w:rsid w:val="00516C51"/>
    <w:rsid w:val="00524DE4"/>
    <w:rsid w:val="005269E1"/>
    <w:rsid w:val="00530D1A"/>
    <w:rsid w:val="005405D6"/>
    <w:rsid w:val="00546CD8"/>
    <w:rsid w:val="00550DC1"/>
    <w:rsid w:val="0056114B"/>
    <w:rsid w:val="005651A6"/>
    <w:rsid w:val="00567579"/>
    <w:rsid w:val="00567CAC"/>
    <w:rsid w:val="005803A9"/>
    <w:rsid w:val="0058284A"/>
    <w:rsid w:val="00584FAF"/>
    <w:rsid w:val="00586C8E"/>
    <w:rsid w:val="00592774"/>
    <w:rsid w:val="005A313B"/>
    <w:rsid w:val="005A516A"/>
    <w:rsid w:val="005B1088"/>
    <w:rsid w:val="005B2A0B"/>
    <w:rsid w:val="005B3156"/>
    <w:rsid w:val="005C056C"/>
    <w:rsid w:val="005C0FC8"/>
    <w:rsid w:val="005C3F37"/>
    <w:rsid w:val="005C5366"/>
    <w:rsid w:val="005E7D0D"/>
    <w:rsid w:val="005F5EF1"/>
    <w:rsid w:val="005F67B4"/>
    <w:rsid w:val="006033A0"/>
    <w:rsid w:val="00610168"/>
    <w:rsid w:val="006117E1"/>
    <w:rsid w:val="006120A4"/>
    <w:rsid w:val="006128F2"/>
    <w:rsid w:val="006137BD"/>
    <w:rsid w:val="0061796B"/>
    <w:rsid w:val="00620363"/>
    <w:rsid w:val="00623E61"/>
    <w:rsid w:val="00626FA3"/>
    <w:rsid w:val="00641673"/>
    <w:rsid w:val="00642E41"/>
    <w:rsid w:val="00646B74"/>
    <w:rsid w:val="00650291"/>
    <w:rsid w:val="00663A3B"/>
    <w:rsid w:val="00664E5A"/>
    <w:rsid w:val="00673C84"/>
    <w:rsid w:val="00674C5D"/>
    <w:rsid w:val="0067509E"/>
    <w:rsid w:val="00682B49"/>
    <w:rsid w:val="00693C73"/>
    <w:rsid w:val="00694ACD"/>
    <w:rsid w:val="006A2C40"/>
    <w:rsid w:val="006A39C7"/>
    <w:rsid w:val="006A4FA0"/>
    <w:rsid w:val="006A5C32"/>
    <w:rsid w:val="006B55BE"/>
    <w:rsid w:val="006E48D9"/>
    <w:rsid w:val="006F0A9F"/>
    <w:rsid w:val="00701171"/>
    <w:rsid w:val="00703656"/>
    <w:rsid w:val="0071018E"/>
    <w:rsid w:val="007114A8"/>
    <w:rsid w:val="007128AC"/>
    <w:rsid w:val="007235CF"/>
    <w:rsid w:val="00733BDC"/>
    <w:rsid w:val="00740741"/>
    <w:rsid w:val="00747C54"/>
    <w:rsid w:val="00756C92"/>
    <w:rsid w:val="00760945"/>
    <w:rsid w:val="00766DAA"/>
    <w:rsid w:val="0077026D"/>
    <w:rsid w:val="00771A67"/>
    <w:rsid w:val="007850AC"/>
    <w:rsid w:val="00794512"/>
    <w:rsid w:val="00794C12"/>
    <w:rsid w:val="00794CCF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F3086"/>
    <w:rsid w:val="007F3815"/>
    <w:rsid w:val="007F767B"/>
    <w:rsid w:val="008024B4"/>
    <w:rsid w:val="0081667A"/>
    <w:rsid w:val="008209BF"/>
    <w:rsid w:val="00832B0A"/>
    <w:rsid w:val="00836085"/>
    <w:rsid w:val="008366B8"/>
    <w:rsid w:val="008414F3"/>
    <w:rsid w:val="00846F07"/>
    <w:rsid w:val="00860737"/>
    <w:rsid w:val="00864DD2"/>
    <w:rsid w:val="00865166"/>
    <w:rsid w:val="00866773"/>
    <w:rsid w:val="00867936"/>
    <w:rsid w:val="00870EEC"/>
    <w:rsid w:val="008732C3"/>
    <w:rsid w:val="0088567B"/>
    <w:rsid w:val="008861B6"/>
    <w:rsid w:val="00887BFA"/>
    <w:rsid w:val="00890E4B"/>
    <w:rsid w:val="00892807"/>
    <w:rsid w:val="008A6407"/>
    <w:rsid w:val="008B3CAE"/>
    <w:rsid w:val="008C41EC"/>
    <w:rsid w:val="008C55EA"/>
    <w:rsid w:val="008D0B91"/>
    <w:rsid w:val="008D11BF"/>
    <w:rsid w:val="008D1EBC"/>
    <w:rsid w:val="008D374D"/>
    <w:rsid w:val="008E75C2"/>
    <w:rsid w:val="008E7B6E"/>
    <w:rsid w:val="00900A2A"/>
    <w:rsid w:val="009021DC"/>
    <w:rsid w:val="00911D65"/>
    <w:rsid w:val="00912AA6"/>
    <w:rsid w:val="009139D6"/>
    <w:rsid w:val="00921CB8"/>
    <w:rsid w:val="0092616F"/>
    <w:rsid w:val="00927879"/>
    <w:rsid w:val="00930026"/>
    <w:rsid w:val="00940CE8"/>
    <w:rsid w:val="009465C0"/>
    <w:rsid w:val="009514A5"/>
    <w:rsid w:val="009609DE"/>
    <w:rsid w:val="009631A7"/>
    <w:rsid w:val="00963551"/>
    <w:rsid w:val="009671D4"/>
    <w:rsid w:val="00971B6C"/>
    <w:rsid w:val="009726C2"/>
    <w:rsid w:val="0097417D"/>
    <w:rsid w:val="00974355"/>
    <w:rsid w:val="009836A8"/>
    <w:rsid w:val="0098396D"/>
    <w:rsid w:val="00990D91"/>
    <w:rsid w:val="0099201B"/>
    <w:rsid w:val="00994172"/>
    <w:rsid w:val="009954FF"/>
    <w:rsid w:val="009A1660"/>
    <w:rsid w:val="009A7B68"/>
    <w:rsid w:val="009B704A"/>
    <w:rsid w:val="009C5298"/>
    <w:rsid w:val="009C62B9"/>
    <w:rsid w:val="009D168F"/>
    <w:rsid w:val="009D6548"/>
    <w:rsid w:val="009E1DBD"/>
    <w:rsid w:val="009E455A"/>
    <w:rsid w:val="00A03A9E"/>
    <w:rsid w:val="00A11E59"/>
    <w:rsid w:val="00A16779"/>
    <w:rsid w:val="00A233FD"/>
    <w:rsid w:val="00A24032"/>
    <w:rsid w:val="00A33037"/>
    <w:rsid w:val="00A35B90"/>
    <w:rsid w:val="00A439DD"/>
    <w:rsid w:val="00A444FE"/>
    <w:rsid w:val="00A517D6"/>
    <w:rsid w:val="00A60A53"/>
    <w:rsid w:val="00A64E56"/>
    <w:rsid w:val="00A66CDB"/>
    <w:rsid w:val="00A67FC9"/>
    <w:rsid w:val="00A75A68"/>
    <w:rsid w:val="00A803D1"/>
    <w:rsid w:val="00A92A6A"/>
    <w:rsid w:val="00A954DB"/>
    <w:rsid w:val="00A96CAC"/>
    <w:rsid w:val="00AB01C1"/>
    <w:rsid w:val="00AB4AFB"/>
    <w:rsid w:val="00AD41BD"/>
    <w:rsid w:val="00AF403C"/>
    <w:rsid w:val="00AF6E5D"/>
    <w:rsid w:val="00AF79E3"/>
    <w:rsid w:val="00B007CA"/>
    <w:rsid w:val="00B036EE"/>
    <w:rsid w:val="00B06852"/>
    <w:rsid w:val="00B153D0"/>
    <w:rsid w:val="00B210BE"/>
    <w:rsid w:val="00B21DB2"/>
    <w:rsid w:val="00B24D28"/>
    <w:rsid w:val="00B33930"/>
    <w:rsid w:val="00B43670"/>
    <w:rsid w:val="00B56AC2"/>
    <w:rsid w:val="00B57038"/>
    <w:rsid w:val="00B60582"/>
    <w:rsid w:val="00B64E1E"/>
    <w:rsid w:val="00B7467E"/>
    <w:rsid w:val="00B75396"/>
    <w:rsid w:val="00BB1A69"/>
    <w:rsid w:val="00BB1F5D"/>
    <w:rsid w:val="00BD1A8B"/>
    <w:rsid w:val="00BD2867"/>
    <w:rsid w:val="00BD6C23"/>
    <w:rsid w:val="00BD792D"/>
    <w:rsid w:val="00BE049C"/>
    <w:rsid w:val="00BE0BEA"/>
    <w:rsid w:val="00BE199A"/>
    <w:rsid w:val="00BE1FEE"/>
    <w:rsid w:val="00BE451E"/>
    <w:rsid w:val="00BE64AC"/>
    <w:rsid w:val="00BF1854"/>
    <w:rsid w:val="00BF23F2"/>
    <w:rsid w:val="00C069A0"/>
    <w:rsid w:val="00C121DB"/>
    <w:rsid w:val="00C201D2"/>
    <w:rsid w:val="00C23F57"/>
    <w:rsid w:val="00C276DF"/>
    <w:rsid w:val="00C306FE"/>
    <w:rsid w:val="00C37053"/>
    <w:rsid w:val="00C41132"/>
    <w:rsid w:val="00C42B90"/>
    <w:rsid w:val="00C45561"/>
    <w:rsid w:val="00C62A7D"/>
    <w:rsid w:val="00C64D04"/>
    <w:rsid w:val="00C658A0"/>
    <w:rsid w:val="00C66338"/>
    <w:rsid w:val="00C70342"/>
    <w:rsid w:val="00C71644"/>
    <w:rsid w:val="00C7203C"/>
    <w:rsid w:val="00C736EB"/>
    <w:rsid w:val="00C81F2E"/>
    <w:rsid w:val="00C92705"/>
    <w:rsid w:val="00C93792"/>
    <w:rsid w:val="00C93DFE"/>
    <w:rsid w:val="00CA5BA2"/>
    <w:rsid w:val="00CA6054"/>
    <w:rsid w:val="00CB1B5B"/>
    <w:rsid w:val="00CB3EE5"/>
    <w:rsid w:val="00CB57BD"/>
    <w:rsid w:val="00CB78A2"/>
    <w:rsid w:val="00CC6CBC"/>
    <w:rsid w:val="00CD00F0"/>
    <w:rsid w:val="00CD15CD"/>
    <w:rsid w:val="00CD2022"/>
    <w:rsid w:val="00CD2C76"/>
    <w:rsid w:val="00CD55DD"/>
    <w:rsid w:val="00CD6632"/>
    <w:rsid w:val="00CE1DC5"/>
    <w:rsid w:val="00CF1D37"/>
    <w:rsid w:val="00CF3007"/>
    <w:rsid w:val="00CF3AEF"/>
    <w:rsid w:val="00D0470B"/>
    <w:rsid w:val="00D067FC"/>
    <w:rsid w:val="00D06902"/>
    <w:rsid w:val="00D078EC"/>
    <w:rsid w:val="00D11E31"/>
    <w:rsid w:val="00D143CD"/>
    <w:rsid w:val="00D32B6A"/>
    <w:rsid w:val="00D449CF"/>
    <w:rsid w:val="00D479B7"/>
    <w:rsid w:val="00D53684"/>
    <w:rsid w:val="00D62FDD"/>
    <w:rsid w:val="00D64AB1"/>
    <w:rsid w:val="00D65F4F"/>
    <w:rsid w:val="00D77279"/>
    <w:rsid w:val="00D81B61"/>
    <w:rsid w:val="00D81DAF"/>
    <w:rsid w:val="00D81E06"/>
    <w:rsid w:val="00D86174"/>
    <w:rsid w:val="00D86EC4"/>
    <w:rsid w:val="00D87383"/>
    <w:rsid w:val="00D9597D"/>
    <w:rsid w:val="00DB0265"/>
    <w:rsid w:val="00DB2509"/>
    <w:rsid w:val="00DB617F"/>
    <w:rsid w:val="00DC297B"/>
    <w:rsid w:val="00DC368F"/>
    <w:rsid w:val="00DC46B6"/>
    <w:rsid w:val="00DE1A8D"/>
    <w:rsid w:val="00DE5507"/>
    <w:rsid w:val="00DE64D6"/>
    <w:rsid w:val="00DE6C50"/>
    <w:rsid w:val="00DE70AD"/>
    <w:rsid w:val="00DF1379"/>
    <w:rsid w:val="00DF7EB1"/>
    <w:rsid w:val="00E11474"/>
    <w:rsid w:val="00E14143"/>
    <w:rsid w:val="00E14690"/>
    <w:rsid w:val="00E16AC2"/>
    <w:rsid w:val="00E24859"/>
    <w:rsid w:val="00E26389"/>
    <w:rsid w:val="00E35B80"/>
    <w:rsid w:val="00E367AD"/>
    <w:rsid w:val="00E44BEC"/>
    <w:rsid w:val="00E52928"/>
    <w:rsid w:val="00E57923"/>
    <w:rsid w:val="00E61FF0"/>
    <w:rsid w:val="00E6702D"/>
    <w:rsid w:val="00E80EA9"/>
    <w:rsid w:val="00E81330"/>
    <w:rsid w:val="00E82920"/>
    <w:rsid w:val="00E84126"/>
    <w:rsid w:val="00E8594B"/>
    <w:rsid w:val="00E86D26"/>
    <w:rsid w:val="00EA0A2B"/>
    <w:rsid w:val="00EA1D72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F0094C"/>
    <w:rsid w:val="00F13C74"/>
    <w:rsid w:val="00F14810"/>
    <w:rsid w:val="00F158CC"/>
    <w:rsid w:val="00F16E33"/>
    <w:rsid w:val="00F17028"/>
    <w:rsid w:val="00F2157F"/>
    <w:rsid w:val="00F26AF6"/>
    <w:rsid w:val="00F31DD2"/>
    <w:rsid w:val="00F351E6"/>
    <w:rsid w:val="00F3780D"/>
    <w:rsid w:val="00F40D13"/>
    <w:rsid w:val="00F43D0C"/>
    <w:rsid w:val="00F46DDB"/>
    <w:rsid w:val="00F50470"/>
    <w:rsid w:val="00F575F2"/>
    <w:rsid w:val="00F71A22"/>
    <w:rsid w:val="00F75253"/>
    <w:rsid w:val="00F757D8"/>
    <w:rsid w:val="00F82245"/>
    <w:rsid w:val="00F838BE"/>
    <w:rsid w:val="00F8398D"/>
    <w:rsid w:val="00F90976"/>
    <w:rsid w:val="00F918FF"/>
    <w:rsid w:val="00F96795"/>
    <w:rsid w:val="00FA07C1"/>
    <w:rsid w:val="00FA3071"/>
    <w:rsid w:val="00FA6404"/>
    <w:rsid w:val="00FB0E5C"/>
    <w:rsid w:val="00FB0F5F"/>
    <w:rsid w:val="00FB265A"/>
    <w:rsid w:val="00FC1D25"/>
    <w:rsid w:val="00FC2E44"/>
    <w:rsid w:val="00FC33BB"/>
    <w:rsid w:val="00FD1DA8"/>
    <w:rsid w:val="00FE0BEF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monika.dankova@zlinskykraj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28B26-9D44-4CE7-9B14-199F315E3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9</Pages>
  <Words>3916</Words>
  <Characters>23106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Daňková Monika</cp:lastModifiedBy>
  <cp:revision>2</cp:revision>
  <dcterms:created xsi:type="dcterms:W3CDTF">2025-02-17T14:10:00Z</dcterms:created>
  <dcterms:modified xsi:type="dcterms:W3CDTF">2025-02-17T14:10:00Z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