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4C9" w:rsidRDefault="00712144">
      <w:pPr>
        <w:spacing w:line="1" w:lineRule="exact"/>
      </w:pPr>
      <w:r>
        <w:rPr>
          <w:noProof/>
        </w:rPr>
        <w:drawing>
          <wp:anchor distT="0" distB="0" distL="114300" distR="114300" simplePos="0" relativeHeight="125829378" behindDoc="0" locked="0" layoutInCell="1" allowOverlap="1">
            <wp:simplePos x="0" y="0"/>
            <wp:positionH relativeFrom="page">
              <wp:posOffset>852805</wp:posOffset>
            </wp:positionH>
            <wp:positionV relativeFrom="paragraph">
              <wp:posOffset>79375</wp:posOffset>
            </wp:positionV>
            <wp:extent cx="396240" cy="66421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396240" cy="664210"/>
                    </a:xfrm>
                    <a:prstGeom prst="rect">
                      <a:avLst/>
                    </a:prstGeom>
                  </pic:spPr>
                </pic:pic>
              </a:graphicData>
            </a:graphic>
          </wp:anchor>
        </w:drawing>
      </w:r>
    </w:p>
    <w:p w:rsidR="002F54C9" w:rsidRDefault="00712144">
      <w:pPr>
        <w:pStyle w:val="Bodytext10"/>
        <w:tabs>
          <w:tab w:val="right" w:pos="2810"/>
        </w:tabs>
        <w:spacing w:line="240" w:lineRule="auto"/>
        <w:rPr>
          <w:sz w:val="15"/>
          <w:szCs w:val="15"/>
        </w:rPr>
      </w:pPr>
      <w:r>
        <w:rPr>
          <w:rStyle w:val="Bodytext1"/>
          <w:sz w:val="15"/>
          <w:szCs w:val="15"/>
        </w:rPr>
        <w:t>Zákaznické číslo:</w:t>
      </w:r>
      <w:r>
        <w:rPr>
          <w:rStyle w:val="Bodytext1"/>
          <w:sz w:val="15"/>
          <w:szCs w:val="15"/>
        </w:rPr>
        <w:tab/>
      </w:r>
      <w:r>
        <w:rPr>
          <w:rStyle w:val="Bodytext1"/>
          <w:b/>
          <w:bCs/>
          <w:sz w:val="15"/>
          <w:szCs w:val="15"/>
        </w:rPr>
        <w:t>5150078265</w:t>
      </w:r>
    </w:p>
    <w:p w:rsidR="002F54C9" w:rsidRDefault="00712144">
      <w:pPr>
        <w:pStyle w:val="Bodytext10"/>
        <w:tabs>
          <w:tab w:val="right" w:pos="2810"/>
        </w:tabs>
        <w:spacing w:line="240" w:lineRule="auto"/>
        <w:rPr>
          <w:sz w:val="15"/>
          <w:szCs w:val="15"/>
        </w:rPr>
      </w:pPr>
      <w:r>
        <w:rPr>
          <w:rStyle w:val="Bodytext1"/>
          <w:sz w:val="15"/>
          <w:szCs w:val="15"/>
        </w:rPr>
        <w:t>Číslo smlouvy:</w:t>
      </w:r>
      <w:r>
        <w:rPr>
          <w:rStyle w:val="Bodytext1"/>
          <w:sz w:val="15"/>
          <w:szCs w:val="15"/>
        </w:rPr>
        <w:tab/>
      </w:r>
      <w:r>
        <w:rPr>
          <w:rStyle w:val="Bodytext1"/>
          <w:b/>
          <w:bCs/>
          <w:sz w:val="15"/>
          <w:szCs w:val="15"/>
        </w:rPr>
        <w:t>9553377241</w:t>
      </w:r>
    </w:p>
    <w:p w:rsidR="002F54C9" w:rsidRDefault="00712144">
      <w:pPr>
        <w:pStyle w:val="Bodytext10"/>
        <w:tabs>
          <w:tab w:val="right" w:pos="2810"/>
        </w:tabs>
        <w:spacing w:line="240" w:lineRule="auto"/>
        <w:rPr>
          <w:sz w:val="15"/>
          <w:szCs w:val="15"/>
        </w:rPr>
      </w:pPr>
      <w:r>
        <w:rPr>
          <w:rStyle w:val="Bodytext1"/>
          <w:sz w:val="15"/>
          <w:szCs w:val="15"/>
        </w:rPr>
        <w:t>Číslo místa spotřeby:</w:t>
      </w:r>
      <w:r>
        <w:rPr>
          <w:rStyle w:val="Bodytext1"/>
          <w:sz w:val="15"/>
          <w:szCs w:val="15"/>
        </w:rPr>
        <w:tab/>
      </w:r>
      <w:r>
        <w:rPr>
          <w:rStyle w:val="Bodytext1"/>
          <w:b/>
          <w:bCs/>
          <w:sz w:val="15"/>
          <w:szCs w:val="15"/>
        </w:rPr>
        <w:t>3100512749</w:t>
      </w:r>
    </w:p>
    <w:p w:rsidR="002F54C9" w:rsidRDefault="00EC25BB">
      <w:pPr>
        <w:pStyle w:val="Heading110"/>
        <w:keepNext/>
        <w:keepLines/>
        <w:sectPr w:rsidR="002F54C9">
          <w:footerReference w:type="default" r:id="rId8"/>
          <w:pgSz w:w="11900" w:h="16840"/>
          <w:pgMar w:top="748" w:right="875" w:bottom="269" w:left="2788" w:header="320" w:footer="3" w:gutter="0"/>
          <w:pgNumType w:start="11"/>
          <w:cols w:num="2" w:space="2618"/>
          <w:noEndnote/>
          <w:docGrid w:linePitch="360"/>
        </w:sectPr>
      </w:pPr>
      <w:bookmarkStart w:id="0" w:name="bookmark0"/>
      <w:proofErr w:type="spellStart"/>
      <w:proofErr w:type="gramStart"/>
      <w:r>
        <w:rPr>
          <w:rStyle w:val="Heading11"/>
          <w:b/>
          <w:bCs/>
          <w:i/>
          <w:iCs/>
          <w:lang w:val="cs-CZ" w:eastAsia="cs-CZ" w:bidi="cs-CZ"/>
        </w:rPr>
        <w:t>e.</w:t>
      </w:r>
      <w:r w:rsidR="00712144">
        <w:rPr>
          <w:rStyle w:val="Heading11"/>
          <w:b/>
          <w:bCs/>
          <w:i/>
          <w:iCs/>
          <w:lang w:val="cs-CZ" w:eastAsia="cs-CZ" w:bidi="cs-CZ"/>
        </w:rPr>
        <w:t>on</w:t>
      </w:r>
      <w:bookmarkEnd w:id="0"/>
      <w:proofErr w:type="spellEnd"/>
      <w:proofErr w:type="gramEnd"/>
    </w:p>
    <w:p w:rsidR="002F54C9" w:rsidRDefault="002F54C9">
      <w:pPr>
        <w:spacing w:line="21" w:lineRule="exact"/>
        <w:rPr>
          <w:sz w:val="2"/>
          <w:szCs w:val="2"/>
        </w:rPr>
      </w:pPr>
    </w:p>
    <w:p w:rsidR="002F54C9" w:rsidRDefault="002F54C9">
      <w:pPr>
        <w:spacing w:line="1" w:lineRule="exact"/>
        <w:sectPr w:rsidR="002F54C9">
          <w:type w:val="continuous"/>
          <w:pgSz w:w="11900" w:h="16840"/>
          <w:pgMar w:top="635" w:right="0" w:bottom="382" w:left="0" w:header="0" w:footer="3" w:gutter="0"/>
          <w:cols w:space="720"/>
          <w:noEndnote/>
          <w:docGrid w:linePitch="360"/>
        </w:sectPr>
      </w:pPr>
    </w:p>
    <w:p w:rsidR="002F54C9" w:rsidRDefault="00712144">
      <w:pPr>
        <w:pStyle w:val="Heading310"/>
        <w:keepNext/>
        <w:keepLines/>
        <w:spacing w:after="80" w:line="240" w:lineRule="auto"/>
      </w:pPr>
      <w:bookmarkStart w:id="1" w:name="bookmark2"/>
      <w:r>
        <w:rPr>
          <w:rStyle w:val="Heading31"/>
          <w:b/>
          <w:bCs/>
        </w:rPr>
        <w:t>Smlouva o sdružených službách dodávky elektřiny ze sítě nízkého napětí</w:t>
      </w:r>
      <w:bookmarkEnd w:id="1"/>
    </w:p>
    <w:p w:rsidR="002F54C9" w:rsidRDefault="00712144">
      <w:pPr>
        <w:pStyle w:val="Heading410"/>
        <w:keepNext/>
        <w:keepLines/>
        <w:spacing w:after="280"/>
      </w:pPr>
      <w:bookmarkStart w:id="2" w:name="bookmark4"/>
      <w:r>
        <w:rPr>
          <w:rStyle w:val="Heading41"/>
          <w:rFonts w:ascii="Arial" w:eastAsia="Arial" w:hAnsi="Arial" w:cs="Arial"/>
          <w:color w:val="DE8A85"/>
        </w:rPr>
        <w:t>(dále jen "Smlouva")</w:t>
      </w:r>
      <w:bookmarkEnd w:id="2"/>
    </w:p>
    <w:p w:rsidR="002F54C9" w:rsidRDefault="00712144">
      <w:pPr>
        <w:pStyle w:val="Heading510"/>
        <w:keepNext/>
        <w:keepLines/>
        <w:pBdr>
          <w:bottom w:val="single" w:sz="4" w:space="0" w:color="auto"/>
        </w:pBdr>
        <w:spacing w:after="160" w:line="240" w:lineRule="auto"/>
        <w:jc w:val="both"/>
        <w:rPr>
          <w:sz w:val="15"/>
          <w:szCs w:val="15"/>
        </w:rPr>
      </w:pPr>
      <w:bookmarkStart w:id="3" w:name="bookmark6"/>
      <w:r>
        <w:rPr>
          <w:rStyle w:val="Heading51"/>
          <w:b/>
          <w:bCs/>
          <w:sz w:val="15"/>
          <w:szCs w:val="15"/>
        </w:rPr>
        <w:t>Dodavatel</w:t>
      </w:r>
      <w:bookmarkEnd w:id="3"/>
    </w:p>
    <w:p w:rsidR="002F54C9" w:rsidRDefault="00712144">
      <w:pPr>
        <w:pStyle w:val="Bodytext10"/>
        <w:spacing w:line="240" w:lineRule="auto"/>
        <w:rPr>
          <w:sz w:val="15"/>
          <w:szCs w:val="15"/>
        </w:rPr>
      </w:pPr>
      <w:r>
        <w:rPr>
          <w:rStyle w:val="Bodytext1"/>
          <w:b/>
          <w:bCs/>
          <w:sz w:val="15"/>
          <w:szCs w:val="15"/>
        </w:rPr>
        <w:t xml:space="preserve">E.ON Energie, a.s., F. A. </w:t>
      </w:r>
      <w:proofErr w:type="spellStart"/>
      <w:r>
        <w:rPr>
          <w:rStyle w:val="Bodytext1"/>
          <w:sz w:val="15"/>
          <w:szCs w:val="15"/>
        </w:rPr>
        <w:t>Gerstnera</w:t>
      </w:r>
      <w:proofErr w:type="spellEnd"/>
      <w:r>
        <w:rPr>
          <w:rStyle w:val="Bodytext1"/>
          <w:sz w:val="15"/>
          <w:szCs w:val="15"/>
        </w:rPr>
        <w:t xml:space="preserve"> 2151/6, České Budějovice 7, 370 01 České Budějovice | </w:t>
      </w:r>
      <w:r>
        <w:rPr>
          <w:rStyle w:val="Bodytext1"/>
          <w:sz w:val="15"/>
          <w:szCs w:val="15"/>
        </w:rPr>
        <w:t>IČ: 260782011 DIČ: CZ260782011</w:t>
      </w:r>
    </w:p>
    <w:p w:rsidR="002F54C9" w:rsidRDefault="00712144">
      <w:pPr>
        <w:pStyle w:val="Bodytext10"/>
        <w:spacing w:line="240" w:lineRule="auto"/>
        <w:jc w:val="both"/>
        <w:rPr>
          <w:sz w:val="15"/>
          <w:szCs w:val="15"/>
        </w:rPr>
      </w:pPr>
      <w:r>
        <w:rPr>
          <w:rStyle w:val="Bodytext1"/>
          <w:sz w:val="15"/>
          <w:szCs w:val="15"/>
        </w:rPr>
        <w:t>Obchodní rejstřík u Krajského soudu v Českých Budějovicích oddíl B, vložka 1390</w:t>
      </w:r>
    </w:p>
    <w:p w:rsidR="002F54C9" w:rsidRDefault="00712144">
      <w:pPr>
        <w:pStyle w:val="Bodytext10"/>
        <w:spacing w:line="240" w:lineRule="auto"/>
        <w:jc w:val="both"/>
        <w:rPr>
          <w:sz w:val="15"/>
          <w:szCs w:val="15"/>
        </w:rPr>
      </w:pPr>
      <w:r>
        <w:rPr>
          <w:rStyle w:val="Bodytext1"/>
          <w:sz w:val="15"/>
          <w:szCs w:val="15"/>
        </w:rPr>
        <w:t>Zastoupený E.ON Česká republika, s. r. o. | IČ: 257335911 DIČ: CZ25733591</w:t>
      </w:r>
    </w:p>
    <w:p w:rsidR="002F54C9" w:rsidRDefault="00712144">
      <w:pPr>
        <w:pStyle w:val="Bodytext10"/>
        <w:pBdr>
          <w:bottom w:val="single" w:sz="4" w:space="0" w:color="auto"/>
        </w:pBdr>
        <w:spacing w:after="320" w:line="240" w:lineRule="auto"/>
        <w:jc w:val="both"/>
        <w:rPr>
          <w:sz w:val="15"/>
          <w:szCs w:val="15"/>
        </w:rPr>
      </w:pPr>
      <w:r>
        <w:rPr>
          <w:rStyle w:val="Bodytext1"/>
          <w:sz w:val="15"/>
          <w:szCs w:val="15"/>
        </w:rPr>
        <w:t xml:space="preserve">Kontakt: E.ON Zákaznická linka 800 111 250, </w:t>
      </w:r>
      <w:hyperlink r:id="rId9" w:history="1">
        <w:r>
          <w:rPr>
            <w:rStyle w:val="Bodytext1"/>
            <w:sz w:val="15"/>
            <w:szCs w:val="15"/>
            <w:lang w:val="en-US" w:eastAsia="en-US" w:bidi="en-US"/>
          </w:rPr>
          <w:t>businessline@eon.cz</w:t>
        </w:r>
      </w:hyperlink>
      <w:r>
        <w:rPr>
          <w:rStyle w:val="Bodytext1"/>
          <w:sz w:val="15"/>
          <w:szCs w:val="15"/>
          <w:lang w:val="en-US" w:eastAsia="en-US" w:bidi="en-US"/>
        </w:rPr>
        <w:t xml:space="preserve">, </w:t>
      </w:r>
      <w:hyperlink r:id="rId10" w:history="1">
        <w:r>
          <w:rPr>
            <w:rStyle w:val="Bodytext1"/>
            <w:sz w:val="15"/>
            <w:szCs w:val="15"/>
            <w:lang w:val="en-US" w:eastAsia="en-US" w:bidi="en-US"/>
          </w:rPr>
          <w:t>www.eon.cz</w:t>
        </w:r>
      </w:hyperlink>
    </w:p>
    <w:p w:rsidR="002F54C9" w:rsidRDefault="00712144">
      <w:pPr>
        <w:pStyle w:val="Bodytext10"/>
        <w:pBdr>
          <w:bottom w:val="single" w:sz="4" w:space="0" w:color="auto"/>
        </w:pBdr>
        <w:tabs>
          <w:tab w:val="left" w:pos="4830"/>
        </w:tabs>
        <w:spacing w:after="160" w:line="240" w:lineRule="auto"/>
        <w:jc w:val="both"/>
        <w:rPr>
          <w:sz w:val="15"/>
          <w:szCs w:val="15"/>
        </w:rPr>
      </w:pPr>
      <w:r>
        <w:rPr>
          <w:rStyle w:val="Bodytext1"/>
          <w:color w:val="DE8A85"/>
          <w:sz w:val="15"/>
          <w:szCs w:val="15"/>
        </w:rPr>
        <w:t>Zákazník</w:t>
      </w:r>
      <w:r>
        <w:rPr>
          <w:rStyle w:val="Bodytext1"/>
          <w:color w:val="DE8A85"/>
          <w:sz w:val="15"/>
          <w:szCs w:val="15"/>
        </w:rPr>
        <w:tab/>
      </w:r>
      <w:r>
        <w:rPr>
          <w:rStyle w:val="Bodytext1"/>
          <w:sz w:val="15"/>
          <w:szCs w:val="15"/>
        </w:rPr>
        <w:t xml:space="preserve">Kategorie: </w:t>
      </w:r>
      <w:proofErr w:type="gramStart"/>
      <w:r>
        <w:rPr>
          <w:rStyle w:val="Bodytext1"/>
          <w:sz w:val="15"/>
          <w:szCs w:val="15"/>
        </w:rPr>
        <w:t>Podnikatel - právnická</w:t>
      </w:r>
      <w:proofErr w:type="gramEnd"/>
      <w:r>
        <w:rPr>
          <w:rStyle w:val="Bodytext1"/>
          <w:sz w:val="15"/>
          <w:szCs w:val="15"/>
        </w:rPr>
        <w:t xml:space="preserve"> osoba</w:t>
      </w:r>
    </w:p>
    <w:p w:rsidR="002F54C9" w:rsidRDefault="00712144">
      <w:pPr>
        <w:pStyle w:val="Bodytext10"/>
        <w:spacing w:line="240" w:lineRule="auto"/>
        <w:jc w:val="both"/>
        <w:rPr>
          <w:sz w:val="15"/>
          <w:szCs w:val="15"/>
        </w:rPr>
      </w:pPr>
      <w:r>
        <w:rPr>
          <w:rStyle w:val="Bodytext1"/>
          <w:sz w:val="15"/>
          <w:szCs w:val="15"/>
        </w:rPr>
        <w:t>Název firmy: Krajská nemocnice T. Bati, a. s.</w:t>
      </w:r>
    </w:p>
    <w:p w:rsidR="002F54C9" w:rsidRDefault="00712144">
      <w:pPr>
        <w:pStyle w:val="Bodytext10"/>
        <w:tabs>
          <w:tab w:val="left" w:pos="4830"/>
        </w:tabs>
        <w:spacing w:line="240" w:lineRule="auto"/>
        <w:jc w:val="both"/>
        <w:rPr>
          <w:sz w:val="15"/>
          <w:szCs w:val="15"/>
        </w:rPr>
      </w:pPr>
      <w:r>
        <w:rPr>
          <w:rStyle w:val="Bodytext1"/>
          <w:sz w:val="15"/>
          <w:szCs w:val="15"/>
        </w:rPr>
        <w:t>IČ: 27661989</w:t>
      </w:r>
      <w:r>
        <w:rPr>
          <w:rStyle w:val="Bodytext1"/>
          <w:sz w:val="15"/>
          <w:szCs w:val="15"/>
        </w:rPr>
        <w:tab/>
        <w:t>DIČ: CZ27661989</w:t>
      </w:r>
    </w:p>
    <w:p w:rsidR="002F54C9" w:rsidRDefault="00712144">
      <w:pPr>
        <w:pStyle w:val="Bodytext10"/>
        <w:spacing w:line="240" w:lineRule="auto"/>
        <w:jc w:val="both"/>
        <w:rPr>
          <w:sz w:val="15"/>
          <w:szCs w:val="15"/>
        </w:rPr>
      </w:pPr>
      <w:r>
        <w:rPr>
          <w:rStyle w:val="Bodytext1"/>
          <w:sz w:val="15"/>
          <w:szCs w:val="15"/>
        </w:rPr>
        <w:t xml:space="preserve">Společnost je zapsána v </w:t>
      </w:r>
      <w:r>
        <w:rPr>
          <w:rStyle w:val="Bodytext1"/>
          <w:sz w:val="15"/>
          <w:szCs w:val="15"/>
          <w:lang w:val="en-US" w:eastAsia="en-US" w:bidi="en-US"/>
        </w:rPr>
        <w:t xml:space="preserve">OR </w:t>
      </w:r>
      <w:r>
        <w:rPr>
          <w:rStyle w:val="Bodytext1"/>
          <w:sz w:val="15"/>
          <w:szCs w:val="15"/>
        </w:rPr>
        <w:t xml:space="preserve">uvedeném u KS/ v jiné </w:t>
      </w:r>
      <w:r>
        <w:rPr>
          <w:rStyle w:val="Bodytext1"/>
          <w:sz w:val="15"/>
          <w:szCs w:val="15"/>
        </w:rPr>
        <w:t>evidenci: Obchodní rejstřík u Krajského soudu v Brně oddíl B, vložka 4437</w:t>
      </w:r>
    </w:p>
    <w:p w:rsidR="002F54C9" w:rsidRDefault="00712144">
      <w:pPr>
        <w:pStyle w:val="Bodytext10"/>
        <w:spacing w:line="240" w:lineRule="auto"/>
        <w:jc w:val="both"/>
        <w:rPr>
          <w:sz w:val="15"/>
          <w:szCs w:val="15"/>
        </w:rPr>
      </w:pPr>
      <w:r>
        <w:rPr>
          <w:rStyle w:val="Bodytext1"/>
          <w:sz w:val="15"/>
          <w:szCs w:val="15"/>
        </w:rPr>
        <w:t>Adresa sídla firmy: Havlíčkovo nábřeží 600, 760 01 Zlín</w:t>
      </w:r>
    </w:p>
    <w:p w:rsidR="002F54C9" w:rsidRDefault="00712144">
      <w:pPr>
        <w:pStyle w:val="Bodytext10"/>
        <w:spacing w:line="240" w:lineRule="auto"/>
        <w:jc w:val="both"/>
        <w:rPr>
          <w:sz w:val="15"/>
          <w:szCs w:val="15"/>
        </w:rPr>
      </w:pPr>
      <w:r>
        <w:rPr>
          <w:rStyle w:val="Bodytext1"/>
          <w:sz w:val="15"/>
          <w:szCs w:val="15"/>
        </w:rPr>
        <w:t>Adresa pro doručování: Havlíčkovo nábřeží 600, 760 01 Zlín</w:t>
      </w:r>
    </w:p>
    <w:p w:rsidR="002F54C9" w:rsidRDefault="00712144">
      <w:pPr>
        <w:pStyle w:val="Bodytext10"/>
        <w:pBdr>
          <w:bottom w:val="single" w:sz="4" w:space="0" w:color="auto"/>
        </w:pBdr>
        <w:tabs>
          <w:tab w:val="left" w:pos="4830"/>
        </w:tabs>
        <w:spacing w:after="320" w:line="240" w:lineRule="auto"/>
        <w:jc w:val="both"/>
        <w:rPr>
          <w:sz w:val="15"/>
          <w:szCs w:val="15"/>
        </w:rPr>
      </w:pPr>
      <w:r>
        <w:rPr>
          <w:rStyle w:val="Bodytext1"/>
          <w:sz w:val="15"/>
          <w:szCs w:val="15"/>
        </w:rPr>
        <w:t>E-</w:t>
      </w:r>
      <w:proofErr w:type="spellStart"/>
      <w:r>
        <w:rPr>
          <w:rStyle w:val="Bodytext1"/>
          <w:sz w:val="15"/>
          <w:szCs w:val="15"/>
        </w:rPr>
        <w:t>mail</w:t>
      </w:r>
      <w:r w:rsidR="00EC25BB">
        <w:rPr>
          <w:rStyle w:val="Bodytext1"/>
          <w:sz w:val="15"/>
          <w:szCs w:val="15"/>
        </w:rPr>
        <w:t>xxxxxxxxxxxxxxxxxx</w:t>
      </w:r>
      <w:proofErr w:type="spellEnd"/>
      <w:r>
        <w:rPr>
          <w:rStyle w:val="Bodytext1"/>
          <w:sz w:val="15"/>
          <w:szCs w:val="15"/>
          <w:lang w:val="en-US" w:eastAsia="en-US" w:bidi="en-US"/>
        </w:rPr>
        <w:tab/>
      </w:r>
      <w:r>
        <w:rPr>
          <w:rStyle w:val="Bodytext1"/>
          <w:sz w:val="15"/>
          <w:szCs w:val="15"/>
        </w:rPr>
        <w:t xml:space="preserve">Telefon: </w:t>
      </w:r>
      <w:proofErr w:type="spellStart"/>
      <w:r w:rsidR="00EC25BB">
        <w:rPr>
          <w:rStyle w:val="Bodytext1"/>
          <w:sz w:val="15"/>
          <w:szCs w:val="15"/>
        </w:rPr>
        <w:t>xxxxxxxxxxxxxxxxxxxxxxxxxxxx</w:t>
      </w:r>
      <w:proofErr w:type="spellEnd"/>
    </w:p>
    <w:p w:rsidR="002F54C9" w:rsidRDefault="00712144">
      <w:pPr>
        <w:pStyle w:val="Heading510"/>
        <w:keepNext/>
        <w:keepLines/>
        <w:spacing w:line="300" w:lineRule="auto"/>
        <w:jc w:val="both"/>
        <w:rPr>
          <w:sz w:val="15"/>
          <w:szCs w:val="15"/>
        </w:rPr>
      </w:pPr>
      <w:bookmarkStart w:id="4" w:name="bookmark8"/>
      <w:r>
        <w:rPr>
          <w:rStyle w:val="Heading51"/>
          <w:b/>
          <w:bCs/>
          <w:sz w:val="15"/>
          <w:szCs w:val="15"/>
        </w:rPr>
        <w:t>Předmět a obsah Smlouvy</w:t>
      </w:r>
      <w:bookmarkEnd w:id="4"/>
    </w:p>
    <w:p w:rsidR="002F54C9" w:rsidRDefault="00712144">
      <w:pPr>
        <w:pStyle w:val="Bodytext10"/>
        <w:spacing w:after="220" w:line="300" w:lineRule="auto"/>
        <w:rPr>
          <w:sz w:val="15"/>
          <w:szCs w:val="15"/>
        </w:rPr>
      </w:pPr>
      <w:r>
        <w:rPr>
          <w:rStyle w:val="Bodytext1"/>
          <w:sz w:val="15"/>
          <w:szCs w:val="15"/>
        </w:rPr>
        <w:t>Závazek Dodavatele dodávat Zákazníkovi elektřinu a zajistit na vlastní jméno, na vlastní účet a v potřebném rozsahu související služby v elektroenergetice a současně závazek Dodavatele převzít za Zá</w:t>
      </w:r>
      <w:r>
        <w:rPr>
          <w:rStyle w:val="Bodytext1"/>
          <w:sz w:val="15"/>
          <w:szCs w:val="15"/>
        </w:rPr>
        <w:t>kazníka odpovědnost za odchylku. Závazek Zákazníka zaplatit Dodavateli cenu za dodanou elektřinu a cenu za související služby v elektroenergetice.</w:t>
      </w:r>
    </w:p>
    <w:p w:rsidR="002F54C9" w:rsidRDefault="00712144">
      <w:pPr>
        <w:pStyle w:val="Bodytext10"/>
        <w:pBdr>
          <w:bottom w:val="single" w:sz="4" w:space="0" w:color="auto"/>
        </w:pBdr>
        <w:spacing w:after="160" w:line="300" w:lineRule="auto"/>
        <w:rPr>
          <w:sz w:val="15"/>
          <w:szCs w:val="15"/>
        </w:rPr>
      </w:pPr>
      <w:r>
        <w:rPr>
          <w:rStyle w:val="Bodytext1"/>
          <w:b/>
          <w:bCs/>
          <w:color w:val="DE8A85"/>
          <w:sz w:val="15"/>
          <w:szCs w:val="15"/>
        </w:rPr>
        <w:t>Odběrné místo</w:t>
      </w:r>
    </w:p>
    <w:p w:rsidR="002F54C9" w:rsidRDefault="00712144">
      <w:pPr>
        <w:pStyle w:val="Bodytext10"/>
        <w:spacing w:line="300" w:lineRule="auto"/>
        <w:rPr>
          <w:sz w:val="15"/>
          <w:szCs w:val="15"/>
        </w:rPr>
      </w:pPr>
      <w:r>
        <w:rPr>
          <w:rStyle w:val="Bodytext1"/>
          <w:sz w:val="15"/>
          <w:szCs w:val="15"/>
        </w:rPr>
        <w:t xml:space="preserve">Adresa odběrného místa: </w:t>
      </w:r>
      <w:r>
        <w:rPr>
          <w:rStyle w:val="Bodytext1"/>
          <w:b/>
          <w:bCs/>
          <w:sz w:val="15"/>
          <w:szCs w:val="15"/>
        </w:rPr>
        <w:t>Družstevní 4509, 760 05 Zlín</w:t>
      </w:r>
    </w:p>
    <w:p w:rsidR="002F54C9" w:rsidRDefault="00712144">
      <w:pPr>
        <w:pStyle w:val="Bodytext10"/>
        <w:spacing w:line="300" w:lineRule="auto"/>
        <w:rPr>
          <w:sz w:val="15"/>
          <w:szCs w:val="15"/>
        </w:rPr>
      </w:pPr>
      <w:r>
        <w:rPr>
          <w:rStyle w:val="Bodytext1"/>
          <w:sz w:val="15"/>
          <w:szCs w:val="15"/>
        </w:rPr>
        <w:t>Kód EAN:</w:t>
      </w:r>
      <w:r>
        <w:rPr>
          <w:rStyle w:val="Bodytext1"/>
          <w:b/>
          <w:bCs/>
          <w:sz w:val="15"/>
          <w:szCs w:val="15"/>
        </w:rPr>
        <w:t>859182400202529106</w:t>
      </w:r>
    </w:p>
    <w:p w:rsidR="002F54C9" w:rsidRDefault="00712144">
      <w:pPr>
        <w:pStyle w:val="Bodytext10"/>
        <w:tabs>
          <w:tab w:val="left" w:pos="4830"/>
        </w:tabs>
        <w:spacing w:line="300" w:lineRule="auto"/>
        <w:jc w:val="both"/>
        <w:rPr>
          <w:sz w:val="15"/>
          <w:szCs w:val="15"/>
        </w:rPr>
      </w:pPr>
      <w:r>
        <w:rPr>
          <w:rStyle w:val="Bodytext1"/>
          <w:sz w:val="15"/>
          <w:szCs w:val="15"/>
        </w:rPr>
        <w:t xml:space="preserve">Typ měření: </w:t>
      </w:r>
      <w:r>
        <w:rPr>
          <w:rStyle w:val="Bodytext1"/>
          <w:b/>
          <w:bCs/>
          <w:sz w:val="15"/>
          <w:szCs w:val="15"/>
        </w:rPr>
        <w:t>C</w:t>
      </w:r>
      <w:r>
        <w:rPr>
          <w:rStyle w:val="Bodytext1"/>
          <w:b/>
          <w:bCs/>
          <w:sz w:val="15"/>
          <w:szCs w:val="15"/>
        </w:rPr>
        <w:tab/>
      </w:r>
      <w:r>
        <w:rPr>
          <w:rStyle w:val="Bodytext1"/>
          <w:sz w:val="15"/>
          <w:szCs w:val="15"/>
        </w:rPr>
        <w:t xml:space="preserve">Kategorie měření: </w:t>
      </w:r>
      <w:r>
        <w:rPr>
          <w:rStyle w:val="Bodytext1"/>
          <w:b/>
          <w:bCs/>
          <w:sz w:val="15"/>
          <w:szCs w:val="15"/>
        </w:rPr>
        <w:t>C4</w:t>
      </w:r>
    </w:p>
    <w:p w:rsidR="002F54C9" w:rsidRDefault="00712144">
      <w:pPr>
        <w:pStyle w:val="Bodytext10"/>
        <w:tabs>
          <w:tab w:val="left" w:pos="4830"/>
        </w:tabs>
        <w:spacing w:line="300" w:lineRule="auto"/>
        <w:jc w:val="both"/>
        <w:rPr>
          <w:sz w:val="15"/>
          <w:szCs w:val="15"/>
        </w:rPr>
      </w:pPr>
      <w:r>
        <w:rPr>
          <w:rStyle w:val="Bodytext1"/>
          <w:sz w:val="15"/>
          <w:szCs w:val="15"/>
        </w:rPr>
        <w:t xml:space="preserve">Distribuční sazba: </w:t>
      </w:r>
      <w:r>
        <w:rPr>
          <w:rStyle w:val="Bodytext1"/>
          <w:b/>
          <w:bCs/>
          <w:sz w:val="15"/>
          <w:szCs w:val="15"/>
        </w:rPr>
        <w:t>C02d</w:t>
      </w:r>
      <w:r>
        <w:rPr>
          <w:rStyle w:val="Bodytext1"/>
          <w:b/>
          <w:bCs/>
          <w:sz w:val="15"/>
          <w:szCs w:val="15"/>
        </w:rPr>
        <w:tab/>
      </w:r>
      <w:r>
        <w:rPr>
          <w:rStyle w:val="Bodytext1"/>
          <w:sz w:val="15"/>
          <w:szCs w:val="15"/>
        </w:rPr>
        <w:t xml:space="preserve">Hodnota hlavního jističe: </w:t>
      </w:r>
      <w:r>
        <w:rPr>
          <w:rStyle w:val="Bodytext1"/>
          <w:b/>
          <w:bCs/>
          <w:sz w:val="15"/>
          <w:szCs w:val="15"/>
        </w:rPr>
        <w:t>lx20A</w:t>
      </w:r>
    </w:p>
    <w:p w:rsidR="002F54C9" w:rsidRDefault="00712144">
      <w:pPr>
        <w:pStyle w:val="Bodytext10"/>
        <w:spacing w:after="280" w:line="300" w:lineRule="auto"/>
        <w:jc w:val="both"/>
        <w:rPr>
          <w:sz w:val="15"/>
          <w:szCs w:val="15"/>
        </w:rPr>
      </w:pPr>
      <w:r>
        <w:rPr>
          <w:rStyle w:val="Bodytext1"/>
          <w:sz w:val="15"/>
          <w:szCs w:val="15"/>
        </w:rPr>
        <w:t xml:space="preserve">Předpokládaná roční spotřeba: </w:t>
      </w:r>
      <w:r>
        <w:rPr>
          <w:rStyle w:val="Bodytext1"/>
          <w:b/>
          <w:bCs/>
          <w:sz w:val="15"/>
          <w:szCs w:val="15"/>
        </w:rPr>
        <w:t xml:space="preserve">2,00000 </w:t>
      </w:r>
      <w:proofErr w:type="spellStart"/>
      <w:r>
        <w:rPr>
          <w:rStyle w:val="Bodytext1"/>
          <w:b/>
          <w:bCs/>
          <w:sz w:val="15"/>
          <w:szCs w:val="15"/>
        </w:rPr>
        <w:t>MWh</w:t>
      </w:r>
      <w:proofErr w:type="spellEnd"/>
    </w:p>
    <w:p w:rsidR="002F54C9" w:rsidRDefault="00712144">
      <w:pPr>
        <w:pStyle w:val="Bodytext10"/>
        <w:pBdr>
          <w:bottom w:val="single" w:sz="4" w:space="0" w:color="auto"/>
        </w:pBdr>
        <w:spacing w:after="280" w:line="305" w:lineRule="auto"/>
        <w:rPr>
          <w:sz w:val="15"/>
          <w:szCs w:val="15"/>
        </w:rPr>
      </w:pPr>
      <w:r>
        <w:rPr>
          <w:rStyle w:val="Bodytext1"/>
          <w:sz w:val="15"/>
          <w:szCs w:val="15"/>
        </w:rPr>
        <w:t xml:space="preserve">V případě, že je údaj o typu/kategorii měření nebo hodnotě hlavního jističe nebo distribuční sazbě uvedený v této Smlouvě jiný, než údaj </w:t>
      </w:r>
      <w:r>
        <w:rPr>
          <w:rStyle w:val="Bodytext1"/>
          <w:sz w:val="15"/>
          <w:szCs w:val="15"/>
        </w:rPr>
        <w:t>evidovaný u příslušného provozovatele distribuční soustavy (dále jen "Distributor"), dohodly se smluvní strany, že platí údaj evidovaný Distributorem.</w:t>
      </w:r>
    </w:p>
    <w:p w:rsidR="002F54C9" w:rsidRDefault="00712144">
      <w:pPr>
        <w:pStyle w:val="Heading510"/>
        <w:keepNext/>
        <w:keepLines/>
        <w:spacing w:line="300" w:lineRule="auto"/>
        <w:rPr>
          <w:sz w:val="15"/>
          <w:szCs w:val="15"/>
        </w:rPr>
      </w:pPr>
      <w:bookmarkStart w:id="5" w:name="bookmark10"/>
      <w:r>
        <w:rPr>
          <w:rStyle w:val="Heading51"/>
          <w:b/>
          <w:bCs/>
          <w:sz w:val="15"/>
          <w:szCs w:val="15"/>
        </w:rPr>
        <w:t>Doba platnosti a účinnosti Smlouvy</w:t>
      </w:r>
      <w:bookmarkEnd w:id="5"/>
    </w:p>
    <w:p w:rsidR="002F54C9" w:rsidRDefault="00712144">
      <w:pPr>
        <w:pStyle w:val="Bodytext10"/>
        <w:spacing w:after="220" w:line="300" w:lineRule="auto"/>
        <w:rPr>
          <w:sz w:val="15"/>
          <w:szCs w:val="15"/>
        </w:rPr>
      </w:pPr>
      <w:r>
        <w:rPr>
          <w:rStyle w:val="Bodytext1"/>
          <w:sz w:val="15"/>
          <w:szCs w:val="15"/>
        </w:rPr>
        <w:t>Tato Smlouva je účinná dnem zahájení dodávky. O tomto termínu bude Zák</w:t>
      </w:r>
      <w:r>
        <w:rPr>
          <w:rStyle w:val="Bodytext1"/>
          <w:sz w:val="15"/>
          <w:szCs w:val="15"/>
        </w:rPr>
        <w:t>azník informován dopisem nebo emailem. Smlouva je uzavřena na dobu určitou do 31.1. 2026 (tj. "Základní období"). Po skončení Základního období se Smlouva automaticky prodlouží o 1 rok, a to i opakovaně. Zákazník, který nemá zájem o automatické prodloužení</w:t>
      </w:r>
      <w:r>
        <w:rPr>
          <w:rStyle w:val="Bodytext1"/>
          <w:sz w:val="15"/>
          <w:szCs w:val="15"/>
        </w:rPr>
        <w:t xml:space="preserve"> Smlouvy je oprávněn Smlouvu vypovědět nejpozději 90. den před koncem aktuálního smluvního období, nestanoví-li zákon jinak. Stejné právo má i Dodavatel.</w:t>
      </w:r>
    </w:p>
    <w:p w:rsidR="002F54C9" w:rsidRDefault="00712144">
      <w:pPr>
        <w:pStyle w:val="Heading510"/>
        <w:keepNext/>
        <w:keepLines/>
        <w:spacing w:line="307" w:lineRule="auto"/>
        <w:rPr>
          <w:sz w:val="15"/>
          <w:szCs w:val="15"/>
        </w:rPr>
      </w:pPr>
      <w:bookmarkStart w:id="6" w:name="bookmark12"/>
      <w:r>
        <w:rPr>
          <w:rStyle w:val="Heading51"/>
          <w:b/>
          <w:bCs/>
          <w:sz w:val="15"/>
          <w:szCs w:val="15"/>
        </w:rPr>
        <w:t>Produktová řada a cena</w:t>
      </w:r>
      <w:bookmarkEnd w:id="6"/>
    </w:p>
    <w:p w:rsidR="002F54C9" w:rsidRDefault="00712144">
      <w:pPr>
        <w:pStyle w:val="Bodytext10"/>
        <w:spacing w:line="307" w:lineRule="auto"/>
        <w:jc w:val="both"/>
        <w:rPr>
          <w:sz w:val="15"/>
          <w:szCs w:val="15"/>
        </w:rPr>
      </w:pPr>
      <w:r>
        <w:rPr>
          <w:rStyle w:val="Bodytext1"/>
          <w:sz w:val="15"/>
          <w:szCs w:val="15"/>
        </w:rPr>
        <w:t xml:space="preserve">Produkt dodávky elektřiny: </w:t>
      </w:r>
      <w:r>
        <w:rPr>
          <w:rStyle w:val="Bodytext1"/>
          <w:b/>
          <w:bCs/>
          <w:sz w:val="15"/>
          <w:szCs w:val="15"/>
        </w:rPr>
        <w:t>Standard</w:t>
      </w:r>
    </w:p>
    <w:p w:rsidR="002F54C9" w:rsidRDefault="00712144">
      <w:pPr>
        <w:pStyle w:val="Bodytext10"/>
        <w:spacing w:after="220" w:line="307" w:lineRule="auto"/>
        <w:rPr>
          <w:sz w:val="15"/>
          <w:szCs w:val="15"/>
        </w:rPr>
      </w:pPr>
      <w:r>
        <w:rPr>
          <w:rStyle w:val="Bodytext1"/>
          <w:sz w:val="15"/>
          <w:szCs w:val="15"/>
        </w:rPr>
        <w:t xml:space="preserve">Produktová řada: </w:t>
      </w:r>
      <w:r>
        <w:rPr>
          <w:rStyle w:val="Bodytext1"/>
          <w:b/>
          <w:bCs/>
          <w:sz w:val="15"/>
          <w:szCs w:val="15"/>
        </w:rPr>
        <w:t>Sjednává se produktová řad</w:t>
      </w:r>
      <w:r>
        <w:rPr>
          <w:rStyle w:val="Bodytext1"/>
          <w:b/>
          <w:bCs/>
          <w:sz w:val="15"/>
          <w:szCs w:val="15"/>
        </w:rPr>
        <w:t xml:space="preserve">a </w:t>
      </w:r>
      <w:proofErr w:type="spellStart"/>
      <w:r>
        <w:rPr>
          <w:rStyle w:val="Bodytext1"/>
          <w:b/>
          <w:bCs/>
          <w:sz w:val="15"/>
          <w:szCs w:val="15"/>
        </w:rPr>
        <w:t>StandardPower</w:t>
      </w:r>
      <w:proofErr w:type="spellEnd"/>
      <w:r>
        <w:rPr>
          <w:rStyle w:val="Bodytext1"/>
          <w:b/>
          <w:bCs/>
          <w:sz w:val="15"/>
          <w:szCs w:val="15"/>
        </w:rPr>
        <w:t xml:space="preserve"> a cena za dodávku elektřiny je stanovena Ceníkem </w:t>
      </w:r>
      <w:proofErr w:type="spellStart"/>
      <w:r>
        <w:rPr>
          <w:rStyle w:val="Bodytext1"/>
          <w:b/>
          <w:bCs/>
          <w:sz w:val="15"/>
          <w:szCs w:val="15"/>
        </w:rPr>
        <w:t>StandardPower</w:t>
      </w:r>
      <w:proofErr w:type="spellEnd"/>
      <w:r>
        <w:rPr>
          <w:rStyle w:val="Bodytext1"/>
          <w:b/>
          <w:bCs/>
          <w:sz w:val="15"/>
          <w:szCs w:val="15"/>
        </w:rPr>
        <w:t xml:space="preserve"> přiloženým ke Smlouvě, který je Dodavatel oprávněn kdykoli jednostranně měnit.</w:t>
      </w:r>
    </w:p>
    <w:p w:rsidR="002F54C9" w:rsidRDefault="00712144">
      <w:pPr>
        <w:pStyle w:val="Heading510"/>
        <w:keepNext/>
        <w:keepLines/>
        <w:pBdr>
          <w:bottom w:val="single" w:sz="4" w:space="0" w:color="auto"/>
        </w:pBdr>
        <w:spacing w:after="80" w:line="305" w:lineRule="auto"/>
        <w:rPr>
          <w:sz w:val="15"/>
          <w:szCs w:val="15"/>
        </w:rPr>
      </w:pPr>
      <w:bookmarkStart w:id="7" w:name="bookmark14"/>
      <w:r>
        <w:rPr>
          <w:rStyle w:val="Heading51"/>
          <w:b/>
          <w:bCs/>
          <w:sz w:val="15"/>
          <w:szCs w:val="15"/>
        </w:rPr>
        <w:t>Platební podmínky (Způsob úhrady)</w:t>
      </w:r>
      <w:bookmarkEnd w:id="7"/>
    </w:p>
    <w:p w:rsidR="002F54C9" w:rsidRDefault="00712144">
      <w:pPr>
        <w:pStyle w:val="Bodytext10"/>
        <w:tabs>
          <w:tab w:val="left" w:pos="4830"/>
        </w:tabs>
        <w:spacing w:line="240" w:lineRule="auto"/>
        <w:rPr>
          <w:sz w:val="15"/>
          <w:szCs w:val="15"/>
        </w:rPr>
      </w:pPr>
      <w:r>
        <w:rPr>
          <w:rStyle w:val="Bodytext1"/>
          <w:sz w:val="15"/>
          <w:szCs w:val="15"/>
        </w:rPr>
        <w:t xml:space="preserve">Variabilní symbol: </w:t>
      </w:r>
      <w:r>
        <w:rPr>
          <w:rStyle w:val="Bodytext1"/>
          <w:b/>
          <w:bCs/>
          <w:sz w:val="15"/>
          <w:szCs w:val="15"/>
        </w:rPr>
        <w:t>6401247445</w:t>
      </w:r>
      <w:r>
        <w:rPr>
          <w:rStyle w:val="Bodytext1"/>
          <w:b/>
          <w:bCs/>
          <w:sz w:val="15"/>
          <w:szCs w:val="15"/>
        </w:rPr>
        <w:tab/>
      </w:r>
      <w:r>
        <w:rPr>
          <w:rStyle w:val="Bodytext1"/>
          <w:sz w:val="15"/>
          <w:szCs w:val="15"/>
        </w:rPr>
        <w:t xml:space="preserve">Číslo účtu pro platbu záloh a faktur: </w:t>
      </w:r>
      <w:r>
        <w:rPr>
          <w:rStyle w:val="Bodytext1"/>
          <w:b/>
          <w:bCs/>
          <w:sz w:val="15"/>
          <w:szCs w:val="15"/>
        </w:rPr>
        <w:t>10014-1703621/0100</w:t>
      </w:r>
    </w:p>
    <w:p w:rsidR="002F54C9" w:rsidRDefault="00712144">
      <w:pPr>
        <w:pStyle w:val="Bodytext10"/>
        <w:tabs>
          <w:tab w:val="left" w:pos="4830"/>
        </w:tabs>
        <w:spacing w:line="240" w:lineRule="auto"/>
        <w:rPr>
          <w:sz w:val="15"/>
          <w:szCs w:val="15"/>
        </w:rPr>
      </w:pPr>
      <w:r>
        <w:rPr>
          <w:rStyle w:val="Bodytext1"/>
          <w:sz w:val="15"/>
          <w:szCs w:val="15"/>
        </w:rPr>
        <w:t xml:space="preserve">Výše zálohy do nejbližšího zúčtování: </w:t>
      </w:r>
      <w:r>
        <w:rPr>
          <w:rStyle w:val="Bodytext1"/>
          <w:b/>
          <w:bCs/>
          <w:sz w:val="15"/>
          <w:szCs w:val="15"/>
        </w:rPr>
        <w:t>1 700 Kč</w:t>
      </w:r>
      <w:r>
        <w:rPr>
          <w:rStyle w:val="Bodytext1"/>
          <w:b/>
          <w:bCs/>
          <w:sz w:val="15"/>
          <w:szCs w:val="15"/>
        </w:rPr>
        <w:tab/>
      </w:r>
      <w:r>
        <w:rPr>
          <w:rStyle w:val="Bodytext1"/>
          <w:sz w:val="15"/>
          <w:szCs w:val="15"/>
        </w:rPr>
        <w:t xml:space="preserve">Zálohové období (cyklus záloh): </w:t>
      </w:r>
      <w:r>
        <w:rPr>
          <w:rStyle w:val="Bodytext1"/>
          <w:b/>
          <w:bCs/>
          <w:sz w:val="15"/>
          <w:szCs w:val="15"/>
        </w:rPr>
        <w:t>měsíční</w:t>
      </w:r>
    </w:p>
    <w:p w:rsidR="002F54C9" w:rsidRDefault="00712144">
      <w:pPr>
        <w:pStyle w:val="Bodytext10"/>
        <w:tabs>
          <w:tab w:val="left" w:pos="4830"/>
        </w:tabs>
        <w:spacing w:line="240" w:lineRule="auto"/>
        <w:rPr>
          <w:sz w:val="15"/>
          <w:szCs w:val="15"/>
        </w:rPr>
      </w:pPr>
      <w:r>
        <w:rPr>
          <w:rStyle w:val="Bodytext1"/>
          <w:sz w:val="15"/>
          <w:szCs w:val="15"/>
        </w:rPr>
        <w:t xml:space="preserve">Způsob úhrady faktury: </w:t>
      </w:r>
      <w:r>
        <w:rPr>
          <w:rStyle w:val="Bodytext1"/>
          <w:b/>
          <w:bCs/>
          <w:sz w:val="15"/>
          <w:szCs w:val="15"/>
        </w:rPr>
        <w:t>převod z účtu</w:t>
      </w:r>
      <w:r>
        <w:rPr>
          <w:rStyle w:val="Bodytext1"/>
          <w:b/>
          <w:bCs/>
          <w:sz w:val="15"/>
          <w:szCs w:val="15"/>
        </w:rPr>
        <w:tab/>
      </w:r>
      <w:r>
        <w:rPr>
          <w:rStyle w:val="Bodytext1"/>
          <w:sz w:val="15"/>
          <w:szCs w:val="15"/>
        </w:rPr>
        <w:t xml:space="preserve">Způsob úhrady záloh: </w:t>
      </w:r>
      <w:r>
        <w:rPr>
          <w:rStyle w:val="Bodytext1"/>
          <w:b/>
          <w:bCs/>
          <w:sz w:val="15"/>
          <w:szCs w:val="15"/>
        </w:rPr>
        <w:t>převod z účtu</w:t>
      </w:r>
    </w:p>
    <w:p w:rsidR="002F54C9" w:rsidRDefault="00712144">
      <w:pPr>
        <w:pStyle w:val="Bodytext10"/>
        <w:spacing w:line="240" w:lineRule="auto"/>
        <w:rPr>
          <w:sz w:val="15"/>
          <w:szCs w:val="15"/>
        </w:rPr>
      </w:pPr>
      <w:r>
        <w:rPr>
          <w:rStyle w:val="Bodytext1"/>
          <w:sz w:val="15"/>
          <w:szCs w:val="15"/>
        </w:rPr>
        <w:t xml:space="preserve">Číslo účtu/kód banky Zákazníka: </w:t>
      </w:r>
      <w:r>
        <w:rPr>
          <w:rStyle w:val="Bodytext1"/>
          <w:b/>
          <w:bCs/>
          <w:sz w:val="15"/>
          <w:szCs w:val="15"/>
        </w:rPr>
        <w:t>000000-0</w:t>
      </w:r>
      <w:r>
        <w:rPr>
          <w:rStyle w:val="Bodytext1"/>
          <w:b/>
          <w:bCs/>
          <w:sz w:val="15"/>
          <w:szCs w:val="15"/>
        </w:rPr>
        <w:t>003482762/0800</w:t>
      </w:r>
    </w:p>
    <w:p w:rsidR="002F54C9" w:rsidRDefault="00712144">
      <w:pPr>
        <w:pStyle w:val="Bodytext10"/>
        <w:pBdr>
          <w:bottom w:val="single" w:sz="4" w:space="0" w:color="auto"/>
        </w:pBdr>
        <w:spacing w:after="320" w:line="240" w:lineRule="auto"/>
        <w:rPr>
          <w:sz w:val="15"/>
          <w:szCs w:val="15"/>
        </w:rPr>
      </w:pPr>
      <w:r>
        <w:rPr>
          <w:rStyle w:val="Bodytext1"/>
          <w:sz w:val="15"/>
          <w:szCs w:val="15"/>
        </w:rPr>
        <w:t xml:space="preserve">Způsob zasílání faktur: </w:t>
      </w:r>
      <w:r>
        <w:rPr>
          <w:rStyle w:val="Bodytext1"/>
          <w:b/>
          <w:bCs/>
          <w:sz w:val="15"/>
          <w:szCs w:val="15"/>
        </w:rPr>
        <w:t xml:space="preserve">elektronická faktura v PDF na </w:t>
      </w:r>
      <w:hyperlink r:id="rId11" w:history="1">
        <w:r>
          <w:rPr>
            <w:rStyle w:val="Bodytext1"/>
            <w:b/>
            <w:bCs/>
            <w:sz w:val="15"/>
            <w:szCs w:val="15"/>
            <w:lang w:val="en-US" w:eastAsia="en-US" w:bidi="en-US"/>
          </w:rPr>
          <w:t>e-mailfaktury@bnzlin.cz</w:t>
        </w:r>
      </w:hyperlink>
    </w:p>
    <w:p w:rsidR="002F54C9" w:rsidRDefault="00712144">
      <w:pPr>
        <w:pStyle w:val="Bodytext10"/>
        <w:spacing w:line="305" w:lineRule="auto"/>
        <w:rPr>
          <w:sz w:val="15"/>
          <w:szCs w:val="15"/>
        </w:rPr>
      </w:pPr>
      <w:r>
        <w:rPr>
          <w:rStyle w:val="Bodytext1"/>
          <w:b/>
          <w:bCs/>
          <w:color w:val="DE8A85"/>
          <w:sz w:val="15"/>
          <w:szCs w:val="15"/>
        </w:rPr>
        <w:t>Zvláštní ujednání</w:t>
      </w:r>
    </w:p>
    <w:p w:rsidR="002F54C9" w:rsidRDefault="00712144">
      <w:pPr>
        <w:pStyle w:val="Bodytext10"/>
        <w:spacing w:after="220" w:line="305" w:lineRule="auto"/>
        <w:rPr>
          <w:sz w:val="15"/>
          <w:szCs w:val="15"/>
        </w:rPr>
      </w:pPr>
      <w:r>
        <w:rPr>
          <w:rStyle w:val="Bodytext1"/>
          <w:sz w:val="15"/>
          <w:szCs w:val="15"/>
        </w:rPr>
        <w:t>Změna zákazníka.</w:t>
      </w:r>
    </w:p>
    <w:p w:rsidR="002F54C9" w:rsidRDefault="00712144">
      <w:pPr>
        <w:pStyle w:val="Heading510"/>
        <w:keepNext/>
        <w:keepLines/>
        <w:spacing w:line="305" w:lineRule="auto"/>
        <w:jc w:val="both"/>
        <w:rPr>
          <w:sz w:val="15"/>
          <w:szCs w:val="15"/>
        </w:rPr>
      </w:pPr>
      <w:bookmarkStart w:id="8" w:name="bookmark16"/>
      <w:r>
        <w:rPr>
          <w:rStyle w:val="Heading51"/>
          <w:b/>
          <w:bCs/>
          <w:sz w:val="15"/>
          <w:szCs w:val="15"/>
        </w:rPr>
        <w:t>Podmínky sdružených služeb dodávky elektřiny</w:t>
      </w:r>
      <w:bookmarkEnd w:id="8"/>
    </w:p>
    <w:p w:rsidR="002F54C9" w:rsidRDefault="00712144">
      <w:pPr>
        <w:pStyle w:val="Bodytext10"/>
        <w:spacing w:line="305" w:lineRule="auto"/>
        <w:ind w:left="300" w:firstLine="20"/>
        <w:jc w:val="both"/>
        <w:rPr>
          <w:sz w:val="15"/>
          <w:szCs w:val="15"/>
        </w:rPr>
      </w:pPr>
      <w:r>
        <w:rPr>
          <w:rStyle w:val="Bodytext1"/>
          <w:sz w:val="15"/>
          <w:szCs w:val="15"/>
        </w:rPr>
        <w:t>Smluvní vztahy se dále řídí Obchodními</w:t>
      </w:r>
      <w:r>
        <w:rPr>
          <w:rStyle w:val="Bodytext1"/>
          <w:sz w:val="15"/>
          <w:szCs w:val="15"/>
        </w:rPr>
        <w:t xml:space="preserve"> podmínkami dodávky elektřiny pro odběrná místa připojená z hladiny nízkého napětí (dále jen "OP"), které jsou součástí této Smlouvy, a příslušným ceníkem dle článku "Produktová řada a cena" (dále jen "ceník").</w:t>
      </w:r>
    </w:p>
    <w:p w:rsidR="002F54C9" w:rsidRDefault="00712144">
      <w:pPr>
        <w:pStyle w:val="Bodytext10"/>
        <w:spacing w:line="305" w:lineRule="auto"/>
        <w:ind w:firstLine="320"/>
        <w:rPr>
          <w:sz w:val="15"/>
          <w:szCs w:val="15"/>
        </w:rPr>
      </w:pPr>
      <w:r>
        <w:rPr>
          <w:rStyle w:val="Bodytext1"/>
          <w:sz w:val="15"/>
          <w:szCs w:val="15"/>
        </w:rPr>
        <w:t>Kromě období, pro které je ve Smlouvě cena vý</w:t>
      </w:r>
      <w:r>
        <w:rPr>
          <w:rStyle w:val="Bodytext1"/>
          <w:sz w:val="15"/>
          <w:szCs w:val="15"/>
        </w:rPr>
        <w:t xml:space="preserve">slovně sjednána jako neměnná, má Dodavatel právo cenu za dodávku </w:t>
      </w:r>
      <w:proofErr w:type="gramStart"/>
      <w:r>
        <w:rPr>
          <w:rStyle w:val="Bodytext1"/>
          <w:sz w:val="15"/>
          <w:szCs w:val="15"/>
        </w:rPr>
        <w:t xml:space="preserve">elektřiny </w:t>
      </w:r>
      <w:r>
        <w:rPr>
          <w:rStyle w:val="Bodytext1"/>
          <w:color w:val="5659A5"/>
          <w:sz w:val="15"/>
          <w:szCs w:val="15"/>
        </w:rPr>
        <w:t>.</w:t>
      </w:r>
      <w:proofErr w:type="gramEnd"/>
      <w:r>
        <w:rPr>
          <w:rStyle w:val="Bodytext1"/>
          <w:color w:val="5659A5"/>
          <w:sz w:val="15"/>
          <w:szCs w:val="15"/>
        </w:rPr>
        <w:t xml:space="preserve"> </w:t>
      </w:r>
      <w:r>
        <w:rPr>
          <w:rStyle w:val="Bodytext1"/>
          <w:sz w:val="15"/>
          <w:szCs w:val="15"/>
        </w:rPr>
        <w:t>kdykoli jednostranně změnit, a to zejména z důvodu změny cen na velkoobchodním trhu s energiemi, cen nakupovaných služeb,</w:t>
      </w:r>
    </w:p>
    <w:p w:rsidR="002F54C9" w:rsidRDefault="002F54C9">
      <w:pPr>
        <w:rPr>
          <w:sz w:val="2"/>
          <w:szCs w:val="2"/>
        </w:rPr>
        <w:sectPr w:rsidR="002F54C9">
          <w:type w:val="continuous"/>
          <w:pgSz w:w="11900" w:h="16840"/>
          <w:pgMar w:top="635" w:right="815" w:bottom="382" w:left="1360" w:header="0" w:footer="3" w:gutter="0"/>
          <w:cols w:space="720"/>
          <w:noEndnote/>
          <w:docGrid w:linePitch="360"/>
        </w:sectPr>
      </w:pPr>
    </w:p>
    <w:p w:rsidR="002F54C9" w:rsidRDefault="00712144">
      <w:pPr>
        <w:pStyle w:val="Bodytext10"/>
        <w:spacing w:line="302" w:lineRule="auto"/>
        <w:ind w:left="280"/>
        <w:rPr>
          <w:sz w:val="15"/>
          <w:szCs w:val="15"/>
        </w:rPr>
      </w:pPr>
      <w:r>
        <w:rPr>
          <w:rStyle w:val="Bodytext1"/>
          <w:sz w:val="15"/>
          <w:szCs w:val="15"/>
        </w:rPr>
        <w:lastRenderedPageBreak/>
        <w:t xml:space="preserve">devizového kurzu, legislativy, </w:t>
      </w:r>
      <w:r>
        <w:rPr>
          <w:rStyle w:val="Bodytext1"/>
          <w:sz w:val="15"/>
          <w:szCs w:val="15"/>
        </w:rPr>
        <w:t>nebo z důvodu změny v rozsahu poskytovaných služeb. Dodavatel má právo OP jednostranně kdykoli měnit z důvodů změn legislativy, změn podmínek na trhu s energiemi, nutnosti ošetření rizik smluvního vztahu, inovace poskytovaných služeb či za účelem optimaliz</w:t>
      </w:r>
      <w:r>
        <w:rPr>
          <w:rStyle w:val="Bodytext1"/>
          <w:sz w:val="15"/>
          <w:szCs w:val="15"/>
        </w:rPr>
        <w:t xml:space="preserve">ace právních vztahů se Zákazníkem. Zvýšení ceny za dodávku elektřiny nebo změna OP bude oznámena Zákazníkovi alespoň jedním z následujících způsobů: zasláním dopisu, e-mailu nebo </w:t>
      </w:r>
      <w:proofErr w:type="spellStart"/>
      <w:r>
        <w:rPr>
          <w:rStyle w:val="Bodytext1"/>
          <w:sz w:val="15"/>
          <w:szCs w:val="15"/>
        </w:rPr>
        <w:t>sms</w:t>
      </w:r>
      <w:proofErr w:type="spellEnd"/>
      <w:r>
        <w:rPr>
          <w:rStyle w:val="Bodytext1"/>
          <w:sz w:val="15"/>
          <w:szCs w:val="15"/>
        </w:rPr>
        <w:t xml:space="preserve">, prostřednictvím zákaznického portálu Dodavatele (Energie24), nebo jiným </w:t>
      </w:r>
      <w:r>
        <w:rPr>
          <w:rStyle w:val="Bodytext1"/>
          <w:sz w:val="15"/>
          <w:szCs w:val="15"/>
        </w:rPr>
        <w:t>prokazatelným způsobem, a to nejpozději třicátý den před účinností takové změny. V případě nesouhlasu se změnou OP nebo se zvýšením ceny za dodávku elektřiny má Zákazník právo Smlouvu vypovědět do desátého dne přede dnem účinnosti takové změny, a to ke dni</w:t>
      </w:r>
      <w:r>
        <w:rPr>
          <w:rStyle w:val="Bodytext1"/>
          <w:sz w:val="15"/>
          <w:szCs w:val="15"/>
        </w:rPr>
        <w:t xml:space="preserve"> bezprostředně předcházejícímu den účinnosti takové změny.</w:t>
      </w:r>
    </w:p>
    <w:p w:rsidR="002F54C9" w:rsidRDefault="00712144">
      <w:pPr>
        <w:pStyle w:val="Bodytext10"/>
        <w:spacing w:line="302" w:lineRule="auto"/>
        <w:ind w:left="280"/>
        <w:rPr>
          <w:sz w:val="15"/>
          <w:szCs w:val="15"/>
        </w:rPr>
      </w:pPr>
      <w:r>
        <w:rPr>
          <w:rStyle w:val="Bodytext1"/>
          <w:sz w:val="15"/>
          <w:szCs w:val="15"/>
        </w:rPr>
        <w:t>V případě, že Zákazník neplní platební povinnosti a Dodavatel mu prokazatelně zašle písemnou upomínku, je oprávněn v této souvislosti Zákazníkovi vyúčtovat smluvní pokutu ve výši 200 Kč. Zákazník s</w:t>
      </w:r>
      <w:r>
        <w:rPr>
          <w:rStyle w:val="Bodytext1"/>
          <w:sz w:val="15"/>
          <w:szCs w:val="15"/>
        </w:rPr>
        <w:t>e zavazuje uhradit Dodavateli tuto smluvní pokutu. Zákazník se zavazuje po dobu účinnosti Smlouvy odebírat elektřinu od Dodavatele a dále se zavazuje poskytnout Dodavateli nezbytnou součinnost pro zahájení dodávky, zejména nečinit nic, co by mohlo bránit z</w:t>
      </w:r>
      <w:r>
        <w:rPr>
          <w:rStyle w:val="Bodytext1"/>
          <w:sz w:val="15"/>
          <w:szCs w:val="15"/>
        </w:rPr>
        <w:t>měně dodavatele, s výjimkou zákonných práv Zákazníka. Za porušení kterékoliv z těchto povinností se Zákazník zavazuje zaplatit za každé odběrné místo smluvní pokutu, která se skládá z fixní a flexibilní části. Fixní část činí 500 Kč. Flexibilní část se sta</w:t>
      </w:r>
      <w:r>
        <w:rPr>
          <w:rStyle w:val="Bodytext1"/>
          <w:sz w:val="15"/>
          <w:szCs w:val="15"/>
        </w:rPr>
        <w:t xml:space="preserve">noví násobkem částky 1 250 Kč a počtu kalendářních měsíců, a to i neúplných, zbývajících do konce doby trvání Smlouvy nebo počtu kalendářních měsíců, a to i neúplných, které by uplynuly do skončení Smlouvy na dobu neurčitou, jako kdyby byla v den porušení </w:t>
      </w:r>
      <w:r>
        <w:rPr>
          <w:rStyle w:val="Bodytext1"/>
          <w:sz w:val="15"/>
          <w:szCs w:val="15"/>
        </w:rPr>
        <w:t>povinnosti vypovězena.</w:t>
      </w:r>
    </w:p>
    <w:p w:rsidR="002F54C9" w:rsidRDefault="00712144">
      <w:pPr>
        <w:pStyle w:val="Bodytext10"/>
        <w:spacing w:line="302" w:lineRule="auto"/>
        <w:ind w:left="280"/>
        <w:rPr>
          <w:sz w:val="15"/>
          <w:szCs w:val="15"/>
        </w:rPr>
      </w:pPr>
      <w:r>
        <w:rPr>
          <w:rStyle w:val="Bodytext1"/>
          <w:sz w:val="15"/>
          <w:szCs w:val="15"/>
        </w:rPr>
        <w:t>Zákazník má právo na náhradu za nedodržení kvality dodávky elektřiny a související služby v elektroenergetice a právo na pokutu v případě prodlení s poskytnutím vyúčtování dodávky elektřiny, a to za podmínek stanovených právními před</w:t>
      </w:r>
      <w:r>
        <w:rPr>
          <w:rStyle w:val="Bodytext1"/>
          <w:sz w:val="15"/>
          <w:szCs w:val="15"/>
        </w:rPr>
        <w:t>pisy.</w:t>
      </w:r>
    </w:p>
    <w:p w:rsidR="002F54C9" w:rsidRDefault="00712144">
      <w:pPr>
        <w:pStyle w:val="Bodytext10"/>
        <w:spacing w:after="220" w:line="302" w:lineRule="auto"/>
        <w:ind w:left="280"/>
        <w:rPr>
          <w:sz w:val="15"/>
          <w:szCs w:val="15"/>
        </w:rPr>
      </w:pPr>
      <w:r>
        <w:rPr>
          <w:rStyle w:val="Bodytext1"/>
          <w:sz w:val="15"/>
          <w:szCs w:val="15"/>
        </w:rPr>
        <w:t xml:space="preserve">Zákazník, je-li povinným subjektem dle zákona č. 340/2015 Sb., zákon o registru smluv, v platném znění, se zavazuje v souladu s tímto zákonem uveřejnit Smlouvu prostřednictvím registru smluv, a to nejpozději do 30 dnů od data jejího uzavření. </w:t>
      </w:r>
      <w:proofErr w:type="gramStart"/>
      <w:r>
        <w:rPr>
          <w:rStyle w:val="Bodytext1"/>
          <w:sz w:val="15"/>
          <w:szCs w:val="15"/>
        </w:rPr>
        <w:t>Nedojde</w:t>
      </w:r>
      <w:r>
        <w:rPr>
          <w:rStyle w:val="Bodytext1"/>
          <w:sz w:val="15"/>
          <w:szCs w:val="15"/>
        </w:rPr>
        <w:t xml:space="preserve">- </w:t>
      </w:r>
      <w:proofErr w:type="spellStart"/>
      <w:r>
        <w:rPr>
          <w:rStyle w:val="Bodytext1"/>
          <w:sz w:val="15"/>
          <w:szCs w:val="15"/>
        </w:rPr>
        <w:t>li</w:t>
      </w:r>
      <w:proofErr w:type="spellEnd"/>
      <w:proofErr w:type="gramEnd"/>
      <w:r>
        <w:rPr>
          <w:rStyle w:val="Bodytext1"/>
          <w:sz w:val="15"/>
          <w:szCs w:val="15"/>
        </w:rPr>
        <w:t xml:space="preserve"> k uveřejnění Smlouvy dle předchozí věty, je Dodavatel oprávněn Smlouvu uveřejnit prostřednictvím registru smluv sám, a to včetně veškerých příloh. Smluvní strany souhlasně berou na vědomí, že uveřejněním této Smlouvy prostřednictvím registru smluv nen</w:t>
      </w:r>
      <w:r>
        <w:rPr>
          <w:rStyle w:val="Bodytext1"/>
          <w:sz w:val="15"/>
          <w:szCs w:val="15"/>
        </w:rPr>
        <w:t xml:space="preserve">í porušena zákonná povinnost mlčenlivosti jedné či obou smluvních stran. Smluvní strany se dohodly, že jakékoliv úpravy v uveřejnění smlouvy či </w:t>
      </w:r>
      <w:proofErr w:type="spellStart"/>
      <w:r>
        <w:rPr>
          <w:rStyle w:val="Bodytext1"/>
          <w:sz w:val="15"/>
          <w:szCs w:val="15"/>
        </w:rPr>
        <w:t>metadat</w:t>
      </w:r>
      <w:proofErr w:type="spellEnd"/>
      <w:r>
        <w:rPr>
          <w:rStyle w:val="Bodytext1"/>
          <w:sz w:val="15"/>
          <w:szCs w:val="15"/>
        </w:rPr>
        <w:t xml:space="preserve"> Smlouvy dle zákona o registru smluv bude provádět smluvní strana, která Smlouvu prostřednictvím registru</w:t>
      </w:r>
      <w:r>
        <w:rPr>
          <w:rStyle w:val="Bodytext1"/>
          <w:sz w:val="15"/>
          <w:szCs w:val="15"/>
        </w:rPr>
        <w:t xml:space="preserve"> smluv uveřejnila.</w:t>
      </w:r>
    </w:p>
    <w:p w:rsidR="002F54C9" w:rsidRDefault="00712144">
      <w:pPr>
        <w:pStyle w:val="Bodytext10"/>
        <w:spacing w:line="302" w:lineRule="auto"/>
        <w:rPr>
          <w:sz w:val="15"/>
          <w:szCs w:val="15"/>
        </w:rPr>
      </w:pPr>
      <w:r>
        <w:rPr>
          <w:rStyle w:val="Bodytext1"/>
          <w:color w:val="DE8A85"/>
          <w:sz w:val="15"/>
          <w:szCs w:val="15"/>
        </w:rPr>
        <w:t>Závěrečná ustanovení</w:t>
      </w:r>
    </w:p>
    <w:p w:rsidR="002F54C9" w:rsidRDefault="00712144">
      <w:pPr>
        <w:pStyle w:val="Bodytext10"/>
        <w:spacing w:line="302" w:lineRule="auto"/>
        <w:rPr>
          <w:sz w:val="15"/>
          <w:szCs w:val="15"/>
        </w:rPr>
      </w:pPr>
      <w:r>
        <w:rPr>
          <w:rStyle w:val="Bodytext1"/>
          <w:sz w:val="15"/>
          <w:szCs w:val="15"/>
        </w:rPr>
        <w:t>Osoba oprávněná jednat za Zákazníka bere na vědomí, že její identifikační a kontaktní údaje bude Dodavatel zpracovávat na základě oprávněného zájmu pro účely přípravy, uzavření a plnění Smlouvy se zákazníkem, ochrany</w:t>
      </w:r>
      <w:r>
        <w:rPr>
          <w:rStyle w:val="Bodytext1"/>
          <w:sz w:val="15"/>
          <w:szCs w:val="15"/>
        </w:rPr>
        <w:t xml:space="preserve"> právních nároků a provozních potřeb. Proti takovému zpracování má tato osoba právo kdykoliv podat námitku. Osoba oprávněná jednat za Zákazníka právnickou osobu a Zákazník podnikající fyzická osoba se zavazuje informovat kontaktní osoby o zpracování jejich</w:t>
      </w:r>
      <w:r>
        <w:rPr>
          <w:rStyle w:val="Bodytext1"/>
          <w:sz w:val="15"/>
          <w:szCs w:val="15"/>
        </w:rPr>
        <w:t xml:space="preserve"> osobních údajů. Bližší informace o zpracování osobních údajů jednotlivých osob, včetně způsobu podání námitky, jsou uvedeny na webové stránce </w:t>
      </w:r>
      <w:hyperlink r:id="rId12" w:history="1">
        <w:r>
          <w:rPr>
            <w:rStyle w:val="Bodytext1"/>
            <w:sz w:val="15"/>
            <w:szCs w:val="15"/>
            <w:lang w:val="en-US" w:eastAsia="en-US" w:bidi="en-US"/>
          </w:rPr>
          <w:t>www.eon.cz</w:t>
        </w:r>
      </w:hyperlink>
      <w:r>
        <w:rPr>
          <w:rStyle w:val="Bodytext1"/>
          <w:sz w:val="15"/>
          <w:szCs w:val="15"/>
          <w:lang w:val="en-US" w:eastAsia="en-US" w:bidi="en-US"/>
        </w:rPr>
        <w:t xml:space="preserve">, </w:t>
      </w:r>
      <w:r>
        <w:rPr>
          <w:rStyle w:val="Bodytext1"/>
          <w:sz w:val="15"/>
          <w:szCs w:val="15"/>
        </w:rPr>
        <w:t xml:space="preserve">v sekci Ochrana osobních údajů, v části týkající se jednotlivých </w:t>
      </w:r>
      <w:r>
        <w:rPr>
          <w:rStyle w:val="Bodytext1"/>
          <w:sz w:val="15"/>
          <w:szCs w:val="15"/>
        </w:rPr>
        <w:t>produktů.</w:t>
      </w:r>
    </w:p>
    <w:p w:rsidR="002F54C9" w:rsidRDefault="00712144">
      <w:pPr>
        <w:pStyle w:val="Bodytext10"/>
        <w:spacing w:line="302" w:lineRule="auto"/>
        <w:rPr>
          <w:sz w:val="15"/>
          <w:szCs w:val="15"/>
        </w:rPr>
      </w:pPr>
      <w:r>
        <w:rPr>
          <w:rStyle w:val="Bodytext1"/>
          <w:sz w:val="15"/>
          <w:szCs w:val="15"/>
        </w:rPr>
        <w:t>Smluvní strany se dohodly, že Smlouvu lze uzavřít pouze v listinné podobě. Zákazník prohlašuje, že se s obsahem a významem Smlouvy, OP a ceníku seznámil v dostatečném předstihu a rozumí jeho obsahu.</w:t>
      </w:r>
    </w:p>
    <w:p w:rsidR="002F54C9" w:rsidRDefault="00712144">
      <w:pPr>
        <w:pStyle w:val="Bodytext10"/>
        <w:spacing w:line="302" w:lineRule="auto"/>
        <w:rPr>
          <w:sz w:val="15"/>
          <w:szCs w:val="15"/>
        </w:rPr>
      </w:pPr>
      <w:r>
        <w:rPr>
          <w:rStyle w:val="Bodytext1"/>
          <w:sz w:val="15"/>
          <w:szCs w:val="15"/>
        </w:rPr>
        <w:t>Ujednáním smluvních pokut není dotčen nárok Dod</w:t>
      </w:r>
      <w:r>
        <w:rPr>
          <w:rStyle w:val="Bodytext1"/>
          <w:sz w:val="15"/>
          <w:szCs w:val="15"/>
        </w:rPr>
        <w:t>avatele na náhradu majetkové újmy, nezakazuje-li to zákon.</w:t>
      </w:r>
    </w:p>
    <w:p w:rsidR="002F54C9" w:rsidRDefault="00712144">
      <w:pPr>
        <w:pStyle w:val="Bodytext10"/>
        <w:spacing w:line="302" w:lineRule="auto"/>
        <w:rPr>
          <w:sz w:val="15"/>
          <w:szCs w:val="15"/>
        </w:rPr>
        <w:sectPr w:rsidR="002F54C9">
          <w:footerReference w:type="default" r:id="rId13"/>
          <w:pgSz w:w="11900" w:h="16840"/>
          <w:pgMar w:top="635" w:right="815" w:bottom="382" w:left="1360" w:header="207" w:footer="3" w:gutter="0"/>
          <w:pgNumType w:start="2"/>
          <w:cols w:space="720"/>
          <w:noEndnote/>
          <w:docGrid w:linePitch="360"/>
        </w:sectPr>
      </w:pPr>
      <w:r>
        <w:rPr>
          <w:rStyle w:val="Bodytext1"/>
          <w:sz w:val="15"/>
          <w:szCs w:val="15"/>
        </w:rPr>
        <w:t xml:space="preserve">Vlivem objektivních okolností může dojít k navýšení nákladů Dodavatele na předmět </w:t>
      </w:r>
      <w:r>
        <w:rPr>
          <w:rStyle w:val="Bodytext1"/>
          <w:sz w:val="15"/>
          <w:szCs w:val="15"/>
        </w:rPr>
        <w:t>plnění podle Smlouvy kvůli legislativním nebo cenově-regulačním změnám zavedeným po uzavření této Smlouvy (např. zavedení nových či zvýšení stávajících daní, poplatků, cel, souvisejících s nákupem, dodávkou, dopravou elektřiny). Dodavatel může promítnout z</w:t>
      </w:r>
      <w:r>
        <w:rPr>
          <w:rStyle w:val="Bodytext1"/>
          <w:sz w:val="15"/>
          <w:szCs w:val="15"/>
        </w:rPr>
        <w:t>výšené náklady do ceny elektřiny bez nutnosti uzavření dodatku k této Smlouvě tak, že Dodavatel navýšení ceny písemně oznámí Zákazníkovi, a to včetně účinnosti takové změny (která nebude předcházet účinnosti změny nákladů Dodavatele na předmět plnění podle</w:t>
      </w:r>
      <w:r>
        <w:rPr>
          <w:rStyle w:val="Bodytext1"/>
          <w:sz w:val="15"/>
          <w:szCs w:val="15"/>
        </w:rPr>
        <w:t xml:space="preserve"> této Smlouvy), písemného odůvodnění a vyčíslení.</w:t>
      </w:r>
    </w:p>
    <w:p w:rsidR="002F54C9" w:rsidRDefault="00712144">
      <w:pPr>
        <w:pStyle w:val="Bodytext30"/>
        <w:framePr w:w="144" w:h="518" w:hRule="exact" w:wrap="none" w:hAnchor="page" w:x="200" w:y="1940"/>
        <w:textDirection w:val="btLr"/>
      </w:pPr>
      <w:r>
        <w:rPr>
          <w:rStyle w:val="Bodytext3"/>
        </w:rPr>
        <w:lastRenderedPageBreak/>
        <w:t>23 4 23</w:t>
      </w:r>
    </w:p>
    <w:p w:rsidR="002F54C9" w:rsidRDefault="00712144">
      <w:pPr>
        <w:pStyle w:val="Heading510"/>
        <w:keepNext/>
        <w:keepLines/>
        <w:framePr w:w="9706" w:h="691" w:wrap="none" w:hAnchor="page" w:x="1323" w:y="1"/>
        <w:spacing w:line="307" w:lineRule="auto"/>
        <w:rPr>
          <w:sz w:val="15"/>
          <w:szCs w:val="15"/>
        </w:rPr>
      </w:pPr>
      <w:bookmarkStart w:id="9" w:name="bookmark18"/>
      <w:r>
        <w:rPr>
          <w:rStyle w:val="Heading51"/>
          <w:b/>
          <w:bCs/>
          <w:sz w:val="15"/>
          <w:szCs w:val="15"/>
        </w:rPr>
        <w:t>Prohlášení nového zákazníka</w:t>
      </w:r>
      <w:bookmarkEnd w:id="9"/>
    </w:p>
    <w:p w:rsidR="002F54C9" w:rsidRDefault="00712144">
      <w:pPr>
        <w:pStyle w:val="Bodytext10"/>
        <w:framePr w:w="9706" w:h="691" w:wrap="none" w:hAnchor="page" w:x="1323" w:y="1"/>
        <w:spacing w:line="307" w:lineRule="auto"/>
        <w:rPr>
          <w:sz w:val="15"/>
          <w:szCs w:val="15"/>
        </w:rPr>
      </w:pPr>
      <w:r>
        <w:rPr>
          <w:rStyle w:val="Bodytext1"/>
          <w:sz w:val="15"/>
          <w:szCs w:val="15"/>
        </w:rPr>
        <w:t>Nový zákazník prohlašuje, že je sám vlastníkem, nebo má souhlas vlastníka dotčené nemovitosti k připojení výše uvedeného odběrného místa k distribuční soustavě.</w:t>
      </w:r>
    </w:p>
    <w:p w:rsidR="002F54C9" w:rsidRDefault="00712144">
      <w:pPr>
        <w:pStyle w:val="Bodytext10"/>
        <w:framePr w:w="9715" w:h="5544" w:wrap="none" w:hAnchor="page" w:x="1318" w:y="870"/>
        <w:pBdr>
          <w:bottom w:val="single" w:sz="4" w:space="0" w:color="auto"/>
        </w:pBdr>
        <w:spacing w:after="160" w:line="305" w:lineRule="auto"/>
        <w:rPr>
          <w:sz w:val="15"/>
          <w:szCs w:val="15"/>
        </w:rPr>
      </w:pPr>
      <w:r>
        <w:rPr>
          <w:rStyle w:val="Bodytext1"/>
          <w:b/>
          <w:bCs/>
          <w:color w:val="DE8A85"/>
          <w:sz w:val="15"/>
          <w:szCs w:val="15"/>
        </w:rPr>
        <w:t xml:space="preserve">Plná moc </w:t>
      </w:r>
      <w:r>
        <w:rPr>
          <w:rStyle w:val="Bodytext1"/>
          <w:b/>
          <w:bCs/>
          <w:color w:val="DE8A85"/>
          <w:sz w:val="15"/>
          <w:szCs w:val="15"/>
        </w:rPr>
        <w:t>Zákazníka</w:t>
      </w:r>
    </w:p>
    <w:p w:rsidR="002F54C9" w:rsidRDefault="00712144">
      <w:pPr>
        <w:pStyle w:val="Bodytext10"/>
        <w:framePr w:w="9715" w:h="5544" w:wrap="none" w:hAnchor="page" w:x="1318" w:y="870"/>
        <w:spacing w:line="305" w:lineRule="auto"/>
        <w:rPr>
          <w:sz w:val="15"/>
          <w:szCs w:val="15"/>
        </w:rPr>
      </w:pPr>
      <w:r>
        <w:rPr>
          <w:rStyle w:val="Bodytext1"/>
          <w:sz w:val="15"/>
          <w:szCs w:val="15"/>
        </w:rPr>
        <w:t xml:space="preserve">Název firmy: </w:t>
      </w:r>
      <w:r>
        <w:rPr>
          <w:rStyle w:val="Bodytext1"/>
          <w:b/>
          <w:bCs/>
          <w:sz w:val="15"/>
          <w:szCs w:val="15"/>
        </w:rPr>
        <w:t>Krajská nemocnice T. Bati, a. s.</w:t>
      </w:r>
    </w:p>
    <w:p w:rsidR="002F54C9" w:rsidRDefault="00712144">
      <w:pPr>
        <w:pStyle w:val="Bodytext10"/>
        <w:framePr w:w="9715" w:h="5544" w:wrap="none" w:hAnchor="page" w:x="1318" w:y="870"/>
        <w:tabs>
          <w:tab w:val="left" w:pos="2904"/>
        </w:tabs>
        <w:spacing w:line="305" w:lineRule="auto"/>
        <w:rPr>
          <w:sz w:val="15"/>
          <w:szCs w:val="15"/>
        </w:rPr>
      </w:pPr>
      <w:r>
        <w:rPr>
          <w:rStyle w:val="Bodytext1"/>
          <w:sz w:val="15"/>
          <w:szCs w:val="15"/>
        </w:rPr>
        <w:t xml:space="preserve">IČ: </w:t>
      </w:r>
      <w:r>
        <w:rPr>
          <w:rStyle w:val="Bodytext1"/>
          <w:b/>
          <w:bCs/>
          <w:sz w:val="15"/>
          <w:szCs w:val="15"/>
        </w:rPr>
        <w:t>27661989</w:t>
      </w:r>
      <w:r>
        <w:rPr>
          <w:rStyle w:val="Bodytext1"/>
          <w:b/>
          <w:bCs/>
          <w:sz w:val="15"/>
          <w:szCs w:val="15"/>
        </w:rPr>
        <w:tab/>
      </w:r>
      <w:r>
        <w:rPr>
          <w:rStyle w:val="Bodytext1"/>
          <w:sz w:val="15"/>
          <w:szCs w:val="15"/>
        </w:rPr>
        <w:t xml:space="preserve">DIČ: </w:t>
      </w:r>
      <w:r>
        <w:rPr>
          <w:rStyle w:val="Bodytext1"/>
          <w:b/>
          <w:bCs/>
          <w:sz w:val="15"/>
          <w:szCs w:val="15"/>
        </w:rPr>
        <w:t>CZ27661989</w:t>
      </w:r>
    </w:p>
    <w:p w:rsidR="002F54C9" w:rsidRDefault="00712144">
      <w:pPr>
        <w:pStyle w:val="Bodytext10"/>
        <w:framePr w:w="9715" w:h="5544" w:wrap="none" w:hAnchor="page" w:x="1318" w:y="870"/>
        <w:spacing w:line="305" w:lineRule="auto"/>
        <w:rPr>
          <w:sz w:val="15"/>
          <w:szCs w:val="15"/>
        </w:rPr>
      </w:pPr>
      <w:r>
        <w:rPr>
          <w:rStyle w:val="Bodytext1"/>
          <w:sz w:val="15"/>
          <w:szCs w:val="15"/>
        </w:rPr>
        <w:t xml:space="preserve">Společnost je zapsána v </w:t>
      </w:r>
      <w:r>
        <w:rPr>
          <w:rStyle w:val="Bodytext1"/>
          <w:sz w:val="15"/>
          <w:szCs w:val="15"/>
          <w:lang w:val="en-US" w:eastAsia="en-US" w:bidi="en-US"/>
        </w:rPr>
        <w:t xml:space="preserve">OR </w:t>
      </w:r>
      <w:r>
        <w:rPr>
          <w:rStyle w:val="Bodytext1"/>
          <w:sz w:val="15"/>
          <w:szCs w:val="15"/>
        </w:rPr>
        <w:t xml:space="preserve">uvedeném u KS/ v jiné evidenci: </w:t>
      </w:r>
      <w:r>
        <w:rPr>
          <w:rStyle w:val="Bodytext1"/>
          <w:b/>
          <w:bCs/>
          <w:sz w:val="15"/>
          <w:szCs w:val="15"/>
        </w:rPr>
        <w:t>Obchodní rejstřík u Krajského soudu v Brně oddíl B, vložka 4437</w:t>
      </w:r>
    </w:p>
    <w:p w:rsidR="002F54C9" w:rsidRDefault="00712144">
      <w:pPr>
        <w:pStyle w:val="Bodytext10"/>
        <w:framePr w:w="9715" w:h="5544" w:wrap="none" w:hAnchor="page" w:x="1318" w:y="870"/>
        <w:spacing w:line="305" w:lineRule="auto"/>
        <w:rPr>
          <w:sz w:val="15"/>
          <w:szCs w:val="15"/>
        </w:rPr>
      </w:pPr>
      <w:r>
        <w:rPr>
          <w:rStyle w:val="Bodytext1"/>
          <w:sz w:val="15"/>
          <w:szCs w:val="15"/>
        </w:rPr>
        <w:t xml:space="preserve">Adresa sídla firmy: </w:t>
      </w:r>
      <w:r>
        <w:rPr>
          <w:rStyle w:val="Bodytext1"/>
          <w:b/>
          <w:bCs/>
          <w:sz w:val="15"/>
          <w:szCs w:val="15"/>
        </w:rPr>
        <w:t xml:space="preserve">Havlíčkovo nábřeží 600, 760 </w:t>
      </w:r>
      <w:r>
        <w:rPr>
          <w:rStyle w:val="Bodytext1"/>
          <w:b/>
          <w:bCs/>
          <w:sz w:val="15"/>
          <w:szCs w:val="15"/>
        </w:rPr>
        <w:t>01 Zlín</w:t>
      </w:r>
    </w:p>
    <w:p w:rsidR="002F54C9" w:rsidRDefault="00712144">
      <w:pPr>
        <w:pStyle w:val="Bodytext10"/>
        <w:framePr w:w="9715" w:h="5544" w:wrap="none" w:hAnchor="page" w:x="1318" w:y="870"/>
        <w:pBdr>
          <w:bottom w:val="single" w:sz="4" w:space="0" w:color="auto"/>
        </w:pBdr>
        <w:spacing w:after="120" w:line="305" w:lineRule="auto"/>
        <w:rPr>
          <w:sz w:val="15"/>
          <w:szCs w:val="15"/>
        </w:rPr>
      </w:pPr>
      <w:r>
        <w:rPr>
          <w:rStyle w:val="Bodytext1"/>
          <w:sz w:val="15"/>
          <w:szCs w:val="15"/>
        </w:rPr>
        <w:t xml:space="preserve">Kód EAN: </w:t>
      </w:r>
      <w:r>
        <w:rPr>
          <w:rStyle w:val="Bodytext1"/>
          <w:b/>
          <w:bCs/>
          <w:sz w:val="15"/>
          <w:szCs w:val="15"/>
        </w:rPr>
        <w:t>859182400202529106</w:t>
      </w:r>
    </w:p>
    <w:p w:rsidR="002F54C9" w:rsidRDefault="00712144">
      <w:pPr>
        <w:pStyle w:val="Bodytext10"/>
        <w:framePr w:w="9715" w:h="5544" w:wrap="none" w:hAnchor="page" w:x="1318" w:y="870"/>
        <w:spacing w:line="305" w:lineRule="auto"/>
        <w:rPr>
          <w:sz w:val="15"/>
          <w:szCs w:val="15"/>
        </w:rPr>
      </w:pPr>
      <w:r>
        <w:rPr>
          <w:rStyle w:val="Bodytext1"/>
          <w:sz w:val="15"/>
          <w:szCs w:val="15"/>
        </w:rPr>
        <w:t xml:space="preserve">uděluje tímto plnou moc společnosti E.ON Energie, a.s., F. A. </w:t>
      </w:r>
      <w:proofErr w:type="spellStart"/>
      <w:r>
        <w:rPr>
          <w:rStyle w:val="Bodytext1"/>
          <w:sz w:val="15"/>
          <w:szCs w:val="15"/>
        </w:rPr>
        <w:t>Gerstnera</w:t>
      </w:r>
      <w:proofErr w:type="spellEnd"/>
      <w:r>
        <w:rPr>
          <w:rStyle w:val="Bodytext1"/>
          <w:sz w:val="15"/>
          <w:szCs w:val="15"/>
        </w:rPr>
        <w:t xml:space="preserve"> 2151/6, České Budějovice 7, 370 01 České Budějovice |</w:t>
      </w:r>
    </w:p>
    <w:p w:rsidR="002F54C9" w:rsidRDefault="00712144">
      <w:pPr>
        <w:pStyle w:val="Bodytext10"/>
        <w:framePr w:w="9715" w:h="5544" w:wrap="none" w:hAnchor="page" w:x="1318" w:y="870"/>
        <w:spacing w:line="305" w:lineRule="auto"/>
        <w:rPr>
          <w:sz w:val="15"/>
          <w:szCs w:val="15"/>
        </w:rPr>
      </w:pPr>
      <w:r>
        <w:rPr>
          <w:rStyle w:val="Bodytext1"/>
          <w:sz w:val="15"/>
          <w:szCs w:val="15"/>
        </w:rPr>
        <w:t>IČ: 26078201</w:t>
      </w:r>
    </w:p>
    <w:p w:rsidR="002F54C9" w:rsidRDefault="00712144">
      <w:pPr>
        <w:pStyle w:val="Bodytext10"/>
        <w:framePr w:w="9715" w:h="5544" w:wrap="none" w:hAnchor="page" w:x="1318" w:y="870"/>
        <w:spacing w:line="305" w:lineRule="auto"/>
        <w:rPr>
          <w:sz w:val="15"/>
          <w:szCs w:val="15"/>
        </w:rPr>
      </w:pPr>
      <w:r>
        <w:rPr>
          <w:rStyle w:val="Bodytext1"/>
          <w:sz w:val="15"/>
          <w:szCs w:val="15"/>
        </w:rPr>
        <w:t xml:space="preserve">k zastupování a veškerým právním úkonům souvisejícím s procesem změny dodavatele </w:t>
      </w:r>
      <w:r>
        <w:rPr>
          <w:rStyle w:val="Bodytext1"/>
          <w:sz w:val="15"/>
          <w:szCs w:val="15"/>
        </w:rPr>
        <w:t>elektřiny do výše uvedeného odběrného místa, zejména k:</w:t>
      </w:r>
    </w:p>
    <w:p w:rsidR="002F54C9" w:rsidRDefault="00712144">
      <w:pPr>
        <w:pStyle w:val="Bodytext10"/>
        <w:framePr w:w="9715" w:h="5544" w:wrap="none" w:hAnchor="page" w:x="1318" w:y="870"/>
        <w:spacing w:line="305" w:lineRule="auto"/>
        <w:ind w:left="300"/>
        <w:jc w:val="both"/>
        <w:rPr>
          <w:sz w:val="15"/>
          <w:szCs w:val="15"/>
        </w:rPr>
      </w:pPr>
      <w:r>
        <w:rPr>
          <w:rStyle w:val="Bodytext1"/>
          <w:sz w:val="15"/>
          <w:szCs w:val="15"/>
        </w:rPr>
        <w:t>ukončení smluvních vztahů s dodavateli elektřiny a zprostředkovateli v energetických odvětvích, a to včetně případného zpětvzetí těchto právních úkonů, popřípadě ukončení smluvních vztahů s provozovat</w:t>
      </w:r>
      <w:r>
        <w:rPr>
          <w:rStyle w:val="Bodytext1"/>
          <w:sz w:val="15"/>
          <w:szCs w:val="15"/>
        </w:rPr>
        <w:t>elem distribuční soustavy,</w:t>
      </w:r>
    </w:p>
    <w:p w:rsidR="002F54C9" w:rsidRDefault="00712144">
      <w:pPr>
        <w:pStyle w:val="Bodytext10"/>
        <w:framePr w:w="9715" w:h="5544" w:wrap="none" w:hAnchor="page" w:x="1318" w:y="870"/>
        <w:spacing w:line="305" w:lineRule="auto"/>
        <w:ind w:left="300"/>
        <w:rPr>
          <w:sz w:val="15"/>
          <w:szCs w:val="15"/>
        </w:rPr>
      </w:pPr>
      <w:r>
        <w:rPr>
          <w:rStyle w:val="Bodytext1"/>
          <w:sz w:val="15"/>
          <w:szCs w:val="15"/>
        </w:rPr>
        <w:t>odvolání plných mocí vystavených zákazníkem třetí osobě (zejména dodavateli elektřiny nebo zprostředkovateli) v souvislosti s uzavřením smlouvy, jejímž předmětem je dodávka elektřiny nebo zprostředkování v energetických odvětvích</w:t>
      </w:r>
      <w:r>
        <w:rPr>
          <w:rStyle w:val="Bodytext1"/>
          <w:sz w:val="15"/>
          <w:szCs w:val="15"/>
        </w:rPr>
        <w:t>, a zpětvzetí právních úkonů učiněných takovou třetí osobou,</w:t>
      </w:r>
    </w:p>
    <w:p w:rsidR="002F54C9" w:rsidRDefault="00712144">
      <w:pPr>
        <w:pStyle w:val="Bodytext10"/>
        <w:framePr w:w="9715" w:h="5544" w:wrap="none" w:hAnchor="page" w:x="1318" w:y="870"/>
        <w:spacing w:line="305" w:lineRule="auto"/>
        <w:ind w:left="300"/>
        <w:rPr>
          <w:sz w:val="15"/>
          <w:szCs w:val="15"/>
        </w:rPr>
      </w:pPr>
      <w:r>
        <w:rPr>
          <w:rStyle w:val="Bodytext1"/>
          <w:sz w:val="15"/>
          <w:szCs w:val="15"/>
        </w:rPr>
        <w:t>uzavření či ukončení smlouvy o připojení zařízení Zákazníka pro distribuci a odběr elektřiny umístěného v uvedeném odběrném místě s příslušným provozovatelem distribuční soustavy, a to včetně pří</w:t>
      </w:r>
      <w:r>
        <w:rPr>
          <w:rStyle w:val="Bodytext1"/>
          <w:sz w:val="15"/>
          <w:szCs w:val="15"/>
        </w:rPr>
        <w:t>padného zpětvzetí právních jednání směřujících k uzavření či ukončení této smlouvy,</w:t>
      </w:r>
    </w:p>
    <w:p w:rsidR="002F54C9" w:rsidRDefault="00712144">
      <w:pPr>
        <w:pStyle w:val="Bodytext10"/>
        <w:framePr w:w="9715" w:h="5544" w:wrap="none" w:hAnchor="page" w:x="1318" w:y="870"/>
        <w:spacing w:line="305" w:lineRule="auto"/>
        <w:ind w:left="300"/>
        <w:jc w:val="both"/>
        <w:rPr>
          <w:sz w:val="15"/>
          <w:szCs w:val="15"/>
        </w:rPr>
      </w:pPr>
      <w:r>
        <w:rPr>
          <w:rStyle w:val="Bodytext1"/>
          <w:sz w:val="15"/>
          <w:szCs w:val="15"/>
        </w:rPr>
        <w:t>vyžádání a převzetí od dodavatele elektřiny kopie Smluv o dodávce elektřiny nebo Smluv o sdružených službách dodávky elektřiny uzavřených mezi dodavatelem elektřiny a zákaz</w:t>
      </w:r>
      <w:r>
        <w:rPr>
          <w:rStyle w:val="Bodytext1"/>
          <w:sz w:val="15"/>
          <w:szCs w:val="15"/>
        </w:rPr>
        <w:t>níkem,</w:t>
      </w:r>
    </w:p>
    <w:p w:rsidR="002F54C9" w:rsidRDefault="00712144">
      <w:pPr>
        <w:pStyle w:val="Bodytext10"/>
        <w:framePr w:w="9715" w:h="5544" w:wrap="none" w:hAnchor="page" w:x="1318" w:y="870"/>
        <w:spacing w:after="200" w:line="305" w:lineRule="auto"/>
        <w:ind w:left="300"/>
        <w:rPr>
          <w:sz w:val="15"/>
          <w:szCs w:val="15"/>
        </w:rPr>
      </w:pPr>
      <w:r>
        <w:rPr>
          <w:rStyle w:val="Bodytext1"/>
          <w:sz w:val="15"/>
          <w:szCs w:val="15"/>
        </w:rPr>
        <w:t>vyžádání a převzetí od dodavatele elektřiny nejbližší možná data ukončení smluvních vztahů mezi dodavatelem a zákazníkem, zastupování zákazníka při registraci u společnosti OTE, a.s., IČ: 26463318, Sokolovská 192/79, Karlín, 186 00 Praha 8.</w:t>
      </w:r>
    </w:p>
    <w:p w:rsidR="002F54C9" w:rsidRDefault="00712144">
      <w:pPr>
        <w:pStyle w:val="Bodytext10"/>
        <w:framePr w:w="9715" w:h="5544" w:wrap="none" w:hAnchor="page" w:x="1318" w:y="870"/>
        <w:spacing w:after="140" w:line="305" w:lineRule="auto"/>
        <w:jc w:val="both"/>
        <w:rPr>
          <w:sz w:val="15"/>
          <w:szCs w:val="15"/>
        </w:rPr>
      </w:pPr>
      <w:r>
        <w:rPr>
          <w:rStyle w:val="Bodytext1"/>
          <w:sz w:val="15"/>
          <w:szCs w:val="15"/>
        </w:rPr>
        <w:t>E.ON Ene</w:t>
      </w:r>
      <w:r>
        <w:rPr>
          <w:rStyle w:val="Bodytext1"/>
          <w:sz w:val="15"/>
          <w:szCs w:val="15"/>
        </w:rPr>
        <w:t>rgie, a.s. je oprávněna udělit tuto plnou moc jiné osobě, aby místo ní jednala za Zákazníka.</w:t>
      </w:r>
    </w:p>
    <w:p w:rsidR="002F54C9" w:rsidRDefault="00712144">
      <w:pPr>
        <w:pStyle w:val="Bodytext10"/>
        <w:framePr w:w="1555" w:h="216" w:wrap="none" w:hAnchor="page" w:x="1338" w:y="6620"/>
        <w:pBdr>
          <w:bottom w:val="single" w:sz="4" w:space="0" w:color="auto"/>
        </w:pBdr>
        <w:spacing w:line="240" w:lineRule="auto"/>
        <w:rPr>
          <w:sz w:val="15"/>
          <w:szCs w:val="15"/>
        </w:rPr>
      </w:pPr>
      <w:r>
        <w:rPr>
          <w:rStyle w:val="Bodytext1"/>
          <w:b/>
          <w:bCs/>
          <w:color w:val="DE8A85"/>
          <w:sz w:val="15"/>
          <w:szCs w:val="15"/>
        </w:rPr>
        <w:t>Za E.ON Energie, a.s.</w:t>
      </w:r>
    </w:p>
    <w:p w:rsidR="002F54C9" w:rsidRDefault="00712144">
      <w:pPr>
        <w:pStyle w:val="Bodytext10"/>
        <w:framePr w:w="4094" w:h="840" w:wrap="none" w:hAnchor="page" w:x="1338" w:y="6908"/>
        <w:tabs>
          <w:tab w:val="left" w:pos="2784"/>
        </w:tabs>
        <w:spacing w:line="360" w:lineRule="auto"/>
        <w:rPr>
          <w:sz w:val="15"/>
          <w:szCs w:val="15"/>
        </w:rPr>
      </w:pPr>
      <w:r>
        <w:rPr>
          <w:rStyle w:val="Bodytext1"/>
          <w:sz w:val="15"/>
          <w:szCs w:val="15"/>
        </w:rPr>
        <w:t xml:space="preserve">Místo: </w:t>
      </w:r>
      <w:r>
        <w:rPr>
          <w:rStyle w:val="Bodytext1"/>
          <w:b/>
          <w:bCs/>
          <w:sz w:val="15"/>
          <w:szCs w:val="15"/>
        </w:rPr>
        <w:t>České Budějovice</w:t>
      </w:r>
      <w:r>
        <w:rPr>
          <w:rStyle w:val="Bodytext1"/>
          <w:b/>
          <w:bCs/>
          <w:sz w:val="15"/>
          <w:szCs w:val="15"/>
        </w:rPr>
        <w:tab/>
      </w:r>
      <w:r>
        <w:rPr>
          <w:rStyle w:val="Bodytext1"/>
          <w:sz w:val="15"/>
          <w:szCs w:val="15"/>
        </w:rPr>
        <w:t xml:space="preserve">Dne: </w:t>
      </w:r>
      <w:r>
        <w:rPr>
          <w:rStyle w:val="Bodytext1"/>
          <w:b/>
          <w:bCs/>
          <w:sz w:val="15"/>
          <w:szCs w:val="15"/>
        </w:rPr>
        <w:t>10.02.2025</w:t>
      </w:r>
    </w:p>
    <w:p w:rsidR="002F54C9" w:rsidRDefault="00712144">
      <w:pPr>
        <w:pStyle w:val="Bodytext10"/>
        <w:framePr w:w="4094" w:h="840" w:wrap="none" w:hAnchor="page" w:x="1338" w:y="6908"/>
        <w:pBdr>
          <w:bottom w:val="single" w:sz="4" w:space="0" w:color="auto"/>
        </w:pBdr>
        <w:spacing w:line="360" w:lineRule="auto"/>
        <w:rPr>
          <w:sz w:val="15"/>
          <w:szCs w:val="15"/>
        </w:rPr>
      </w:pPr>
      <w:r>
        <w:rPr>
          <w:rStyle w:val="Bodytext1"/>
          <w:sz w:val="15"/>
          <w:szCs w:val="15"/>
        </w:rPr>
        <w:t xml:space="preserve">Jméno a příjmení: </w:t>
      </w:r>
      <w:r>
        <w:rPr>
          <w:rStyle w:val="Bodytext1"/>
          <w:b/>
          <w:bCs/>
          <w:sz w:val="15"/>
          <w:szCs w:val="15"/>
        </w:rPr>
        <w:t xml:space="preserve">Jan </w:t>
      </w:r>
      <w:proofErr w:type="spellStart"/>
      <w:r>
        <w:rPr>
          <w:rStyle w:val="Bodytext1"/>
          <w:b/>
          <w:bCs/>
          <w:sz w:val="15"/>
          <w:szCs w:val="15"/>
        </w:rPr>
        <w:t>Zápotočný</w:t>
      </w:r>
      <w:proofErr w:type="spellEnd"/>
      <w:r>
        <w:rPr>
          <w:rStyle w:val="Bodytext1"/>
          <w:b/>
          <w:bCs/>
          <w:sz w:val="15"/>
          <w:szCs w:val="15"/>
        </w:rPr>
        <w:t xml:space="preserve"> </w:t>
      </w:r>
      <w:r>
        <w:rPr>
          <w:rStyle w:val="Bodytext1"/>
          <w:sz w:val="15"/>
          <w:szCs w:val="15"/>
        </w:rPr>
        <w:t xml:space="preserve">Funkce: </w:t>
      </w:r>
      <w:r>
        <w:rPr>
          <w:rStyle w:val="Bodytext1"/>
          <w:b/>
          <w:bCs/>
          <w:sz w:val="15"/>
          <w:szCs w:val="15"/>
        </w:rPr>
        <w:t>Místopředseda představenstva</w:t>
      </w:r>
    </w:p>
    <w:p w:rsidR="002F54C9" w:rsidRDefault="00712144">
      <w:pPr>
        <w:pStyle w:val="Heading510"/>
        <w:keepNext/>
        <w:keepLines/>
        <w:framePr w:w="1339" w:h="1042" w:wrap="none" w:hAnchor="page" w:x="6301" w:y="6615"/>
        <w:pBdr>
          <w:bottom w:val="single" w:sz="4" w:space="0" w:color="auto"/>
        </w:pBdr>
        <w:spacing w:after="140" w:line="240" w:lineRule="auto"/>
        <w:rPr>
          <w:sz w:val="15"/>
          <w:szCs w:val="15"/>
        </w:rPr>
      </w:pPr>
      <w:bookmarkStart w:id="10" w:name="bookmark20"/>
      <w:r>
        <w:rPr>
          <w:rStyle w:val="Heading51"/>
          <w:b/>
          <w:bCs/>
          <w:sz w:val="15"/>
          <w:szCs w:val="15"/>
        </w:rPr>
        <w:t>Za Zákazníka</w:t>
      </w:r>
      <w:bookmarkEnd w:id="10"/>
    </w:p>
    <w:p w:rsidR="002F54C9" w:rsidRDefault="00712144">
      <w:pPr>
        <w:pStyle w:val="Bodytext10"/>
        <w:framePr w:w="1339" w:h="1042" w:wrap="none" w:hAnchor="page" w:x="6301" w:y="6615"/>
        <w:spacing w:after="60" w:line="240" w:lineRule="auto"/>
        <w:rPr>
          <w:sz w:val="15"/>
          <w:szCs w:val="15"/>
        </w:rPr>
      </w:pPr>
      <w:r>
        <w:rPr>
          <w:rStyle w:val="Bodytext1"/>
          <w:sz w:val="15"/>
          <w:szCs w:val="15"/>
        </w:rPr>
        <w:t>Místo:</w:t>
      </w:r>
    </w:p>
    <w:p w:rsidR="002F54C9" w:rsidRDefault="00712144">
      <w:pPr>
        <w:pStyle w:val="Bodytext10"/>
        <w:framePr w:w="1339" w:h="1042" w:wrap="none" w:hAnchor="page" w:x="6301" w:y="6615"/>
        <w:spacing w:after="60" w:line="240" w:lineRule="auto"/>
        <w:rPr>
          <w:sz w:val="15"/>
          <w:szCs w:val="15"/>
        </w:rPr>
      </w:pPr>
      <w:r>
        <w:rPr>
          <w:rStyle w:val="Bodytext1"/>
          <w:sz w:val="15"/>
          <w:szCs w:val="15"/>
        </w:rPr>
        <w:t xml:space="preserve">Jméno a </w:t>
      </w:r>
      <w:r>
        <w:rPr>
          <w:rStyle w:val="Bodytext1"/>
          <w:sz w:val="15"/>
          <w:szCs w:val="15"/>
        </w:rPr>
        <w:t>příjmení:</w:t>
      </w:r>
    </w:p>
    <w:p w:rsidR="002F54C9" w:rsidRDefault="00712144">
      <w:pPr>
        <w:pStyle w:val="Bodytext10"/>
        <w:framePr w:w="1339" w:h="1042" w:wrap="none" w:hAnchor="page" w:x="6301" w:y="6615"/>
        <w:pBdr>
          <w:bottom w:val="single" w:sz="4" w:space="0" w:color="auto"/>
        </w:pBdr>
        <w:spacing w:after="100" w:line="240" w:lineRule="auto"/>
        <w:rPr>
          <w:sz w:val="15"/>
          <w:szCs w:val="15"/>
        </w:rPr>
      </w:pPr>
      <w:r>
        <w:rPr>
          <w:rStyle w:val="Bodytext1"/>
          <w:sz w:val="15"/>
          <w:szCs w:val="15"/>
        </w:rPr>
        <w:t>Funkce:</w:t>
      </w:r>
    </w:p>
    <w:p w:rsidR="002F54C9" w:rsidRDefault="00712144" w:rsidP="00EC25BB">
      <w:pPr>
        <w:pStyle w:val="Bodytext10"/>
        <w:framePr w:w="1591" w:h="331" w:wrap="none" w:hAnchor="page" w:x="9090" w:y="6951"/>
        <w:spacing w:line="240" w:lineRule="auto"/>
        <w:rPr>
          <w:sz w:val="15"/>
          <w:szCs w:val="15"/>
        </w:rPr>
      </w:pPr>
      <w:r>
        <w:rPr>
          <w:rStyle w:val="Bodytext1"/>
          <w:sz w:val="15"/>
          <w:szCs w:val="15"/>
        </w:rPr>
        <w:t>Dne:</w:t>
      </w:r>
      <w:r w:rsidR="00EC25BB">
        <w:rPr>
          <w:rStyle w:val="Bodytext1"/>
          <w:sz w:val="15"/>
          <w:szCs w:val="15"/>
        </w:rPr>
        <w:t>10. 2. 2025</w:t>
      </w:r>
    </w:p>
    <w:p w:rsidR="002F54C9" w:rsidRDefault="00712144">
      <w:pPr>
        <w:pStyle w:val="Bodytext10"/>
        <w:framePr w:w="576" w:h="221" w:wrap="none" w:hAnchor="page" w:x="1342" w:y="8382"/>
        <w:spacing w:line="240" w:lineRule="auto"/>
        <w:rPr>
          <w:sz w:val="15"/>
          <w:szCs w:val="15"/>
        </w:rPr>
      </w:pPr>
      <w:r>
        <w:rPr>
          <w:rStyle w:val="Bodytext1"/>
          <w:sz w:val="15"/>
          <w:szCs w:val="15"/>
        </w:rPr>
        <w:t>Podpis:</w:t>
      </w:r>
    </w:p>
    <w:p w:rsidR="002F54C9" w:rsidRDefault="00712144">
      <w:pPr>
        <w:pStyle w:val="Bodytext10"/>
        <w:framePr w:w="1550" w:h="216" w:wrap="none" w:hAnchor="page" w:x="1338" w:y="9313"/>
        <w:pBdr>
          <w:top w:val="single" w:sz="4" w:space="0" w:color="auto"/>
          <w:bottom w:val="single" w:sz="4" w:space="0" w:color="auto"/>
        </w:pBdr>
        <w:spacing w:line="240" w:lineRule="auto"/>
        <w:rPr>
          <w:sz w:val="15"/>
          <w:szCs w:val="15"/>
        </w:rPr>
      </w:pPr>
      <w:r>
        <w:rPr>
          <w:rStyle w:val="Bodytext1"/>
          <w:b/>
          <w:bCs/>
          <w:color w:val="DE8A85"/>
          <w:sz w:val="15"/>
          <w:szCs w:val="15"/>
        </w:rPr>
        <w:t>Za E.ON Energie, a.s.</w:t>
      </w:r>
    </w:p>
    <w:p w:rsidR="002F54C9" w:rsidRDefault="00712144">
      <w:pPr>
        <w:pStyle w:val="Bodytext10"/>
        <w:framePr w:w="4094" w:h="787" w:wrap="none" w:hAnchor="page" w:x="1338" w:y="9596"/>
        <w:tabs>
          <w:tab w:val="left" w:pos="2784"/>
        </w:tabs>
        <w:spacing w:after="60" w:line="240" w:lineRule="auto"/>
        <w:jc w:val="both"/>
        <w:rPr>
          <w:sz w:val="15"/>
          <w:szCs w:val="15"/>
        </w:rPr>
      </w:pPr>
      <w:r>
        <w:rPr>
          <w:rStyle w:val="Bodytext1"/>
          <w:sz w:val="15"/>
          <w:szCs w:val="15"/>
        </w:rPr>
        <w:t xml:space="preserve">Místo: </w:t>
      </w:r>
      <w:r>
        <w:rPr>
          <w:rStyle w:val="Bodytext1"/>
          <w:b/>
          <w:bCs/>
          <w:sz w:val="15"/>
          <w:szCs w:val="15"/>
        </w:rPr>
        <w:t>České Budějovice</w:t>
      </w:r>
      <w:r>
        <w:rPr>
          <w:rStyle w:val="Bodytext1"/>
          <w:b/>
          <w:bCs/>
          <w:sz w:val="15"/>
          <w:szCs w:val="15"/>
        </w:rPr>
        <w:tab/>
      </w:r>
      <w:r>
        <w:rPr>
          <w:rStyle w:val="Bodytext1"/>
          <w:sz w:val="15"/>
          <w:szCs w:val="15"/>
        </w:rPr>
        <w:t xml:space="preserve">Dne: </w:t>
      </w:r>
      <w:r>
        <w:rPr>
          <w:rStyle w:val="Bodytext1"/>
          <w:b/>
          <w:bCs/>
          <w:sz w:val="15"/>
          <w:szCs w:val="15"/>
        </w:rPr>
        <w:t>10.02.2025</w:t>
      </w:r>
    </w:p>
    <w:p w:rsidR="002F54C9" w:rsidRDefault="00712144">
      <w:pPr>
        <w:pStyle w:val="Bodytext10"/>
        <w:framePr w:w="4094" w:h="787" w:wrap="none" w:hAnchor="page" w:x="1338" w:y="9596"/>
        <w:spacing w:after="60" w:line="240" w:lineRule="auto"/>
        <w:rPr>
          <w:sz w:val="15"/>
          <w:szCs w:val="15"/>
        </w:rPr>
      </w:pPr>
      <w:r>
        <w:rPr>
          <w:rStyle w:val="Bodytext1"/>
          <w:sz w:val="15"/>
          <w:szCs w:val="15"/>
        </w:rPr>
        <w:t xml:space="preserve">Jméno a příjmení: </w:t>
      </w:r>
      <w:proofErr w:type="spellStart"/>
      <w:r w:rsidR="00EC25BB">
        <w:rPr>
          <w:rStyle w:val="Bodytext1"/>
          <w:b/>
          <w:bCs/>
          <w:sz w:val="15"/>
          <w:szCs w:val="15"/>
        </w:rPr>
        <w:t>xxxxxxxxxxxxxxxxxxxxx</w:t>
      </w:r>
      <w:proofErr w:type="spellEnd"/>
    </w:p>
    <w:p w:rsidR="002F54C9" w:rsidRDefault="00712144">
      <w:pPr>
        <w:pStyle w:val="Bodytext10"/>
        <w:framePr w:w="4094" w:h="787" w:wrap="none" w:hAnchor="page" w:x="1338" w:y="9596"/>
        <w:pBdr>
          <w:bottom w:val="single" w:sz="4" w:space="0" w:color="auto"/>
        </w:pBdr>
        <w:spacing w:after="60" w:line="240" w:lineRule="auto"/>
        <w:rPr>
          <w:sz w:val="15"/>
          <w:szCs w:val="15"/>
        </w:rPr>
      </w:pPr>
      <w:r>
        <w:rPr>
          <w:rStyle w:val="Bodytext1"/>
          <w:sz w:val="15"/>
          <w:szCs w:val="15"/>
        </w:rPr>
        <w:t xml:space="preserve">Funkce: </w:t>
      </w:r>
      <w:r>
        <w:rPr>
          <w:rStyle w:val="Bodytext1"/>
          <w:b/>
          <w:bCs/>
          <w:sz w:val="15"/>
          <w:szCs w:val="15"/>
          <w:lang w:val="en-US" w:eastAsia="en-US" w:bidi="en-US"/>
        </w:rPr>
        <w:t xml:space="preserve">Head of </w:t>
      </w:r>
      <w:r>
        <w:rPr>
          <w:rStyle w:val="Bodytext1"/>
          <w:b/>
          <w:bCs/>
          <w:sz w:val="15"/>
          <w:szCs w:val="15"/>
        </w:rPr>
        <w:t>B2B Portfolio Management</w:t>
      </w: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line="360" w:lineRule="exact"/>
      </w:pPr>
    </w:p>
    <w:p w:rsidR="002F54C9" w:rsidRDefault="002F54C9">
      <w:pPr>
        <w:spacing w:after="512" w:line="1" w:lineRule="exact"/>
      </w:pPr>
    </w:p>
    <w:p w:rsidR="002F54C9" w:rsidRDefault="002F54C9">
      <w:pPr>
        <w:spacing w:line="1" w:lineRule="exact"/>
        <w:sectPr w:rsidR="002F54C9">
          <w:pgSz w:w="11900" w:h="16840"/>
          <w:pgMar w:top="1202" w:right="867" w:bottom="366" w:left="199" w:header="774" w:footer="3" w:gutter="0"/>
          <w:cols w:space="720"/>
          <w:noEndnote/>
          <w:docGrid w:linePitch="360"/>
        </w:sectPr>
      </w:pPr>
    </w:p>
    <w:p w:rsidR="002F54C9" w:rsidRDefault="00712144">
      <w:pPr>
        <w:spacing w:line="360" w:lineRule="exact"/>
      </w:pPr>
      <w:r>
        <w:rPr>
          <w:noProof/>
        </w:rPr>
        <w:lastRenderedPageBreak/>
        <w:drawing>
          <wp:anchor distT="0" distB="0" distL="0" distR="0" simplePos="0" relativeHeight="62914699" behindDoc="1" locked="0" layoutInCell="1" allowOverlap="1">
            <wp:simplePos x="0" y="0"/>
            <wp:positionH relativeFrom="page">
              <wp:posOffset>712470</wp:posOffset>
            </wp:positionH>
            <wp:positionV relativeFrom="margin">
              <wp:posOffset>0</wp:posOffset>
            </wp:positionV>
            <wp:extent cx="6120130" cy="676910"/>
            <wp:effectExtent l="0" t="0" r="0" b="0"/>
            <wp:wrapNone/>
            <wp:docPr id="18" name="Shape 18"/>
            <wp:cNvGraphicFramePr/>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14"/>
                    <a:stretch/>
                  </pic:blipFill>
                  <pic:spPr>
                    <a:xfrm>
                      <a:off x="0" y="0"/>
                      <a:ext cx="6120130" cy="676910"/>
                    </a:xfrm>
                    <a:prstGeom prst="rect">
                      <a:avLst/>
                    </a:prstGeom>
                  </pic:spPr>
                </pic:pic>
              </a:graphicData>
            </a:graphic>
          </wp:anchor>
        </w:drawing>
      </w:r>
    </w:p>
    <w:p w:rsidR="002F54C9" w:rsidRDefault="002F54C9">
      <w:pPr>
        <w:spacing w:after="700" w:line="1" w:lineRule="exact"/>
      </w:pPr>
    </w:p>
    <w:p w:rsidR="002F54C9" w:rsidRDefault="002F54C9">
      <w:pPr>
        <w:spacing w:line="1" w:lineRule="exact"/>
        <w:sectPr w:rsidR="002F54C9">
          <w:footerReference w:type="default" r:id="rId15"/>
          <w:pgSz w:w="11900" w:h="16840"/>
          <w:pgMar w:top="797" w:right="1039" w:bottom="1309" w:left="196" w:header="369" w:footer="881" w:gutter="0"/>
          <w:pgNumType w:start="5"/>
          <w:cols w:space="720"/>
          <w:noEndnote/>
          <w:docGrid w:linePitch="360"/>
        </w:sectPr>
      </w:pPr>
    </w:p>
    <w:p w:rsidR="002F54C9" w:rsidRDefault="00712144">
      <w:pPr>
        <w:pStyle w:val="Heading310"/>
        <w:keepNext/>
        <w:keepLines/>
        <w:spacing w:after="0"/>
        <w:sectPr w:rsidR="002F54C9">
          <w:type w:val="continuous"/>
          <w:pgSz w:w="11900" w:h="16840"/>
          <w:pgMar w:top="797" w:right="1039" w:bottom="1309" w:left="1103" w:header="0" w:footer="3" w:gutter="0"/>
          <w:cols w:space="720"/>
          <w:noEndnote/>
          <w:docGrid w:linePitch="360"/>
        </w:sectPr>
      </w:pPr>
      <w:bookmarkStart w:id="11" w:name="bookmark22"/>
      <w:r>
        <w:rPr>
          <w:rStyle w:val="Heading31"/>
          <w:b/>
          <w:bCs/>
        </w:rPr>
        <w:t>Obchodní podmínky dodávky elektřiny pro odběrná místa připojená z hladiny nízkého napětí (dále jen "OP")</w:t>
      </w:r>
      <w:bookmarkEnd w:id="11"/>
    </w:p>
    <w:p w:rsidR="002F54C9" w:rsidRDefault="002F54C9">
      <w:pPr>
        <w:spacing w:line="233" w:lineRule="exact"/>
        <w:rPr>
          <w:sz w:val="19"/>
          <w:szCs w:val="19"/>
        </w:rPr>
      </w:pPr>
    </w:p>
    <w:p w:rsidR="002F54C9" w:rsidRDefault="002F54C9">
      <w:pPr>
        <w:spacing w:line="1" w:lineRule="exact"/>
        <w:sectPr w:rsidR="002F54C9">
          <w:type w:val="continuous"/>
          <w:pgSz w:w="11900" w:h="16840"/>
          <w:pgMar w:top="1044" w:right="0" w:bottom="1302" w:left="0" w:header="0" w:footer="3" w:gutter="0"/>
          <w:cols w:space="720"/>
          <w:noEndnote/>
          <w:docGrid w:linePitch="360"/>
        </w:sectPr>
      </w:pPr>
    </w:p>
    <w:p w:rsidR="002F54C9" w:rsidRDefault="00712144">
      <w:pPr>
        <w:spacing w:line="1" w:lineRule="exact"/>
      </w:pPr>
      <w:r>
        <w:rPr>
          <w:noProof/>
        </w:rPr>
        <mc:AlternateContent>
          <mc:Choice Requires="wps">
            <w:drawing>
              <wp:anchor distT="0" distB="0" distL="114300" distR="114300" simplePos="0" relativeHeight="125829379" behindDoc="0" locked="0" layoutInCell="1" allowOverlap="1">
                <wp:simplePos x="0" y="0"/>
                <wp:positionH relativeFrom="page">
                  <wp:posOffset>124460</wp:posOffset>
                </wp:positionH>
                <wp:positionV relativeFrom="paragraph">
                  <wp:posOffset>213360</wp:posOffset>
                </wp:positionV>
                <wp:extent cx="97790" cy="323215"/>
                <wp:effectExtent l="0" t="0" r="0" b="0"/>
                <wp:wrapSquare wrapText="bothSides"/>
                <wp:docPr id="20" name="Shape 20"/>
                <wp:cNvGraphicFramePr/>
                <a:graphic xmlns:a="http://schemas.openxmlformats.org/drawingml/2006/main">
                  <a:graphicData uri="http://schemas.microsoft.com/office/word/2010/wordprocessingShape">
                    <wps:wsp>
                      <wps:cNvSpPr txBox="1"/>
                      <wps:spPr>
                        <a:xfrm>
                          <a:off x="0" y="0"/>
                          <a:ext cx="97790" cy="323215"/>
                        </a:xfrm>
                        <a:prstGeom prst="rect">
                          <a:avLst/>
                        </a:prstGeom>
                        <a:noFill/>
                      </wps:spPr>
                      <wps:txbx>
                        <w:txbxContent>
                          <w:p w:rsidR="002F54C9" w:rsidRDefault="00712144">
                            <w:pPr>
                              <w:pStyle w:val="Bodytext30"/>
                            </w:pPr>
                            <w:r>
                              <w:rPr>
                                <w:rStyle w:val="Bodytext3"/>
                              </w:rPr>
                              <w:t>26 4 25</w:t>
                            </w:r>
                          </w:p>
                        </w:txbxContent>
                      </wps:txbx>
                      <wps:bodyPr vert="vert270" lIns="0" tIns="0" rIns="0" bIns="0"/>
                    </wps:wsp>
                  </a:graphicData>
                </a:graphic>
              </wp:anchor>
            </w:drawing>
          </mc:Choice>
          <mc:Fallback>
            <w:pict>
              <v:shape id="_x0000_s1046" type="#_x0000_t202" style="position:absolute;margin-left:9.8000000000000007pt;margin-top:16.800000000000001pt;width:7.7000000000000002pt;height:25.449999999999999pt;z-index:-125829374;mso-wrap-distance-left:9.pt;mso-wrap-distance-right:9.pt;mso-position-horizontal-relative:page" filled="f" stroked="f">
                <v:textbox style="layout-flow:vertical;mso-layout-flow-alt:bottom-to-top" inset="0,0,0,0">
                  <w:txbxContent>
                    <w:p>
                      <w:pPr>
                        <w:pStyle w:val="Style23"/>
                        <w:keepNext w:val="0"/>
                        <w:keepLines w:val="0"/>
                        <w:widowControl w:val="0"/>
                        <w:shd w:val="clear" w:color="auto" w:fill="auto"/>
                        <w:bidi w:val="0"/>
                        <w:spacing w:before="0" w:after="0" w:line="240" w:lineRule="auto"/>
                        <w:ind w:left="0" w:right="0" w:firstLine="0"/>
                        <w:jc w:val="left"/>
                      </w:pPr>
                      <w:r>
                        <w:rPr>
                          <w:rStyle w:val="CharStyle24"/>
                        </w:rPr>
                        <w:t>26 4 25</w:t>
                      </w:r>
                    </w:p>
                  </w:txbxContent>
                </v:textbox>
                <w10:wrap type="square" anchorx="page"/>
              </v:shape>
            </w:pict>
          </mc:Fallback>
        </mc:AlternateContent>
      </w:r>
    </w:p>
    <w:p w:rsidR="002F54C9" w:rsidRDefault="00712144">
      <w:pPr>
        <w:pStyle w:val="Heading510"/>
        <w:keepNext/>
        <w:keepLines/>
        <w:numPr>
          <w:ilvl w:val="0"/>
          <w:numId w:val="1"/>
        </w:numPr>
        <w:tabs>
          <w:tab w:val="left" w:pos="367"/>
        </w:tabs>
        <w:spacing w:line="240" w:lineRule="auto"/>
      </w:pPr>
      <w:bookmarkStart w:id="12" w:name="bookmark24"/>
      <w:r>
        <w:rPr>
          <w:rStyle w:val="Heading51"/>
          <w:b/>
          <w:bCs/>
        </w:rPr>
        <w:t>Obecná ustanovení</w:t>
      </w:r>
      <w:bookmarkEnd w:id="12"/>
    </w:p>
    <w:p w:rsidR="002F54C9" w:rsidRDefault="00712144">
      <w:pPr>
        <w:pStyle w:val="Bodytext10"/>
        <w:numPr>
          <w:ilvl w:val="1"/>
          <w:numId w:val="1"/>
        </w:numPr>
        <w:tabs>
          <w:tab w:val="left" w:pos="367"/>
        </w:tabs>
        <w:spacing w:line="286" w:lineRule="auto"/>
        <w:ind w:left="360" w:hanging="360"/>
      </w:pPr>
      <w:r>
        <w:rPr>
          <w:rStyle w:val="Bodytext1"/>
        </w:rPr>
        <w:t>Tyto OP upravují další práva a povinnosti založené Smlouvou o dodávce elektřiny nebo Smlouvou o sdružených službách dodávky elektřiny (dále jen "Smlouva") uzavřené mezi společností E.ON Energie, a.s</w:t>
      </w:r>
      <w:proofErr w:type="gramStart"/>
      <w:r>
        <w:rPr>
          <w:rStyle w:val="Bodytext1"/>
        </w:rPr>
        <w:t>„ se</w:t>
      </w:r>
      <w:proofErr w:type="gramEnd"/>
      <w:r>
        <w:rPr>
          <w:rStyle w:val="Bodytext1"/>
        </w:rPr>
        <w:t xml:space="preserve"> sídlem F. A. </w:t>
      </w:r>
      <w:proofErr w:type="spellStart"/>
      <w:r>
        <w:rPr>
          <w:rStyle w:val="Bodytext1"/>
        </w:rPr>
        <w:t>Gerstnera</w:t>
      </w:r>
      <w:proofErr w:type="spellEnd"/>
      <w:r>
        <w:rPr>
          <w:rStyle w:val="Bodytext1"/>
        </w:rPr>
        <w:t xml:space="preserve"> 2151/6, České Budějovice 7, 37</w:t>
      </w:r>
      <w:r>
        <w:rPr>
          <w:rStyle w:val="Bodytext1"/>
        </w:rPr>
        <w:t xml:space="preserve">0 01 České Budějovice, IČ: 26078201, zapsanou v </w:t>
      </w:r>
      <w:r>
        <w:rPr>
          <w:rStyle w:val="Bodytext1"/>
          <w:lang w:val="en-US" w:eastAsia="en-US" w:bidi="en-US"/>
        </w:rPr>
        <w:t xml:space="preserve">OR </w:t>
      </w:r>
      <w:r>
        <w:rPr>
          <w:rStyle w:val="Bodytext1"/>
        </w:rPr>
        <w:t>vedeném u KS v Českých Budějovicích v oddíle B, vložka 1390 (dále jen "Dodavatel") a zákazníkem (dále jen "Zákazník") uvedeným ve Smlouvě. Pokud se v OP hovoří o Smlouvě, je vždy uvažována jako jeden celek</w:t>
      </w:r>
      <w:r>
        <w:rPr>
          <w:rStyle w:val="Bodytext1"/>
        </w:rPr>
        <w:t xml:space="preserve"> společně s OP, nevylučuje-li to povaha příslušného ustanovení Smlouvy nebo OP.</w:t>
      </w:r>
    </w:p>
    <w:p w:rsidR="002F54C9" w:rsidRDefault="00712144">
      <w:pPr>
        <w:pStyle w:val="Bodytext10"/>
        <w:numPr>
          <w:ilvl w:val="1"/>
          <w:numId w:val="1"/>
        </w:numPr>
        <w:tabs>
          <w:tab w:val="left" w:pos="367"/>
        </w:tabs>
        <w:spacing w:after="200" w:line="286" w:lineRule="auto"/>
        <w:ind w:left="360" w:hanging="360"/>
      </w:pPr>
      <w:r>
        <w:rPr>
          <w:rStyle w:val="Bodytext1"/>
        </w:rPr>
        <w:t xml:space="preserve">Smluvní strany se zavazují při plnění Smlouvy postupovat v souladu s platným a účinným zněním Pravidel provozování distribuční soustavy, ke které je odběrné zařízení Zákazníka </w:t>
      </w:r>
      <w:r>
        <w:rPr>
          <w:rStyle w:val="Bodytext1"/>
        </w:rPr>
        <w:t>připojeno.</w:t>
      </w:r>
    </w:p>
    <w:p w:rsidR="002F54C9" w:rsidRDefault="00712144">
      <w:pPr>
        <w:pStyle w:val="Heading510"/>
        <w:keepNext/>
        <w:keepLines/>
        <w:numPr>
          <w:ilvl w:val="0"/>
          <w:numId w:val="1"/>
        </w:numPr>
        <w:tabs>
          <w:tab w:val="left" w:pos="367"/>
        </w:tabs>
        <w:spacing w:line="240" w:lineRule="auto"/>
      </w:pPr>
      <w:bookmarkStart w:id="13" w:name="bookmark26"/>
      <w:r>
        <w:rPr>
          <w:rStyle w:val="Heading51"/>
          <w:b/>
          <w:bCs/>
        </w:rPr>
        <w:t>Práva a povinnosti smluvních stran</w:t>
      </w:r>
      <w:bookmarkEnd w:id="13"/>
    </w:p>
    <w:p w:rsidR="002F54C9" w:rsidRDefault="00712144">
      <w:pPr>
        <w:pStyle w:val="Bodytext10"/>
        <w:numPr>
          <w:ilvl w:val="1"/>
          <w:numId w:val="1"/>
        </w:numPr>
        <w:tabs>
          <w:tab w:val="left" w:pos="367"/>
        </w:tabs>
        <w:spacing w:line="286" w:lineRule="auto"/>
        <w:ind w:left="360" w:hanging="360"/>
      </w:pPr>
      <w:r>
        <w:rPr>
          <w:rStyle w:val="Bodytext1"/>
        </w:rPr>
        <w:t>Dodavatel se zavazuje zahájit dodávku elektřiny neprodleně po provedení všech úkonů nezbytných k zahájení dodávky, pokud Zákazník splnil všechny podmínky pro její zahájení.</w:t>
      </w:r>
    </w:p>
    <w:p w:rsidR="002F54C9" w:rsidRDefault="00712144">
      <w:pPr>
        <w:pStyle w:val="Bodytext10"/>
        <w:numPr>
          <w:ilvl w:val="1"/>
          <w:numId w:val="1"/>
        </w:numPr>
        <w:tabs>
          <w:tab w:val="left" w:pos="367"/>
        </w:tabs>
        <w:spacing w:line="286" w:lineRule="auto"/>
        <w:ind w:left="360" w:hanging="360"/>
      </w:pPr>
      <w:r>
        <w:rPr>
          <w:rStyle w:val="Bodytext1"/>
        </w:rPr>
        <w:t xml:space="preserve">Zákazník se zavazuje s ohledem na </w:t>
      </w:r>
      <w:r>
        <w:rPr>
          <w:rStyle w:val="Bodytext1"/>
        </w:rPr>
        <w:t>převzetí (přechod) odpovědnosti za odchylku Dodavatelem, v období od zahájení dodávky do skončení platnosti Smlouvy, odebírat elektřinu pouze od Dodavatele. Toto ustanovení se nevztahuje na dodávku elektřiny z výrobny Zákazníka, instalované v odběrném míst</w:t>
      </w:r>
      <w:r>
        <w:rPr>
          <w:rStyle w:val="Bodytext1"/>
        </w:rPr>
        <w:t>ě (dále jen "OM").</w:t>
      </w:r>
    </w:p>
    <w:p w:rsidR="002F54C9" w:rsidRDefault="00712144">
      <w:pPr>
        <w:pStyle w:val="Bodytext10"/>
        <w:numPr>
          <w:ilvl w:val="1"/>
          <w:numId w:val="1"/>
        </w:numPr>
        <w:tabs>
          <w:tab w:val="left" w:pos="367"/>
        </w:tabs>
        <w:spacing w:line="286" w:lineRule="auto"/>
        <w:ind w:left="360" w:hanging="360"/>
      </w:pPr>
      <w:r>
        <w:rPr>
          <w:rStyle w:val="Bodytext1"/>
        </w:rPr>
        <w:t xml:space="preserve">Zákazník se </w:t>
      </w:r>
      <w:proofErr w:type="gramStart"/>
      <w:r>
        <w:rPr>
          <w:rStyle w:val="Bodytext1"/>
        </w:rPr>
        <w:t>zavazuje - kromě</w:t>
      </w:r>
      <w:proofErr w:type="gramEnd"/>
      <w:r>
        <w:rPr>
          <w:rStyle w:val="Bodytext1"/>
        </w:rPr>
        <w:t xml:space="preserve"> oprávnění vyplývajících z právních předpisů týkajících se ochrany spotřebitele -neprovádět žádné právní a jiné úkony nebo jednání, které by bránily Dodavateli provést změnu dodavatele k předpokládanému termín</w:t>
      </w:r>
      <w:r>
        <w:rPr>
          <w:rStyle w:val="Bodytext1"/>
        </w:rPr>
        <w:t>u zahájení dodávky, uvedenému ve Smlouvě.</w:t>
      </w:r>
    </w:p>
    <w:p w:rsidR="002F54C9" w:rsidRDefault="00712144">
      <w:pPr>
        <w:pStyle w:val="Bodytext10"/>
        <w:numPr>
          <w:ilvl w:val="1"/>
          <w:numId w:val="1"/>
        </w:numPr>
        <w:tabs>
          <w:tab w:val="left" w:pos="367"/>
        </w:tabs>
        <w:spacing w:line="286" w:lineRule="auto"/>
        <w:ind w:left="360" w:hanging="360"/>
      </w:pPr>
      <w:r>
        <w:rPr>
          <w:rStyle w:val="Bodytext1"/>
        </w:rPr>
        <w:t>Jestliže Zákazník požaduje dodávku elektřiny osvobozené od daně z elektřiny, je povinen splnit pro takovou dodávku veškeré podmínky požadované příslušným právním předpisem a podle potřeby toto splnění podmínek hodn</w:t>
      </w:r>
      <w:r>
        <w:rPr>
          <w:rStyle w:val="Bodytext1"/>
        </w:rPr>
        <w:t>ověrně doložit Dodavateli. Zároveň je Zákazník povinen oznámit a doložit bez zbytečného odkladu skutečnosti, které mají nebo mohou mít vliv na změnu povinností Dodavatele v souvislosti s daní z elektřiny. Jestliže Zákazník hodlá nabýt elektřinu osvobozenou</w:t>
      </w:r>
      <w:r>
        <w:rPr>
          <w:rStyle w:val="Bodytext1"/>
        </w:rPr>
        <w:t xml:space="preserve"> od daně v případech, kdy ji lze takto nabýt pouze na základě povolení k nabytí elektřiny bez daně (případně jiného dokumentu), je povinen tento dokument vždy předložit Dodavateli, a to včetně jeho změn. Zákazník se zavazuje uhradit Dodavateli veškeré nákl</w:t>
      </w:r>
      <w:r>
        <w:rPr>
          <w:rStyle w:val="Bodytext1"/>
        </w:rPr>
        <w:t>ady, které mu vzniknou na základě nebo v souvislosti s porušením povinností Zákazníka, uvedené v tomto odstavci (zejména náklady za uložené sankce).</w:t>
      </w:r>
    </w:p>
    <w:p w:rsidR="002F54C9" w:rsidRDefault="00712144">
      <w:pPr>
        <w:pStyle w:val="Bodytext10"/>
        <w:numPr>
          <w:ilvl w:val="1"/>
          <w:numId w:val="1"/>
        </w:numPr>
        <w:tabs>
          <w:tab w:val="left" w:pos="367"/>
        </w:tabs>
        <w:spacing w:after="200" w:line="286" w:lineRule="auto"/>
        <w:ind w:left="360" w:hanging="360"/>
      </w:pPr>
      <w:r>
        <w:rPr>
          <w:rStyle w:val="Bodytext1"/>
        </w:rPr>
        <w:t>Při předcházení stavu nouze, ve stavu nouze a při odstraňování následků stavu nouze se Zákazník zavazuje do</w:t>
      </w:r>
      <w:r>
        <w:rPr>
          <w:rStyle w:val="Bodytext1"/>
        </w:rPr>
        <w:t>držovat opatření (zejména omezení spotřeby nebo změny dodávek elektřiny), která pro tyto situace stanoví provozovatel distribuční soustavy (dále jen "PDS") v souladu s příslušnými právními předpisy.</w:t>
      </w:r>
    </w:p>
    <w:p w:rsidR="002F54C9" w:rsidRDefault="00712144">
      <w:pPr>
        <w:pStyle w:val="Heading510"/>
        <w:keepNext/>
        <w:keepLines/>
        <w:numPr>
          <w:ilvl w:val="0"/>
          <w:numId w:val="1"/>
        </w:numPr>
        <w:tabs>
          <w:tab w:val="left" w:pos="367"/>
        </w:tabs>
        <w:spacing w:line="240" w:lineRule="auto"/>
      </w:pPr>
      <w:bookmarkStart w:id="14" w:name="bookmark28"/>
      <w:r>
        <w:rPr>
          <w:rStyle w:val="Heading51"/>
          <w:b/>
          <w:bCs/>
        </w:rPr>
        <w:t>Měření a provádění odečtu</w:t>
      </w:r>
      <w:bookmarkEnd w:id="14"/>
    </w:p>
    <w:p w:rsidR="002F54C9" w:rsidRDefault="00712144">
      <w:pPr>
        <w:pStyle w:val="Bodytext10"/>
        <w:numPr>
          <w:ilvl w:val="1"/>
          <w:numId w:val="1"/>
        </w:numPr>
        <w:tabs>
          <w:tab w:val="left" w:pos="367"/>
        </w:tabs>
        <w:spacing w:line="286" w:lineRule="auto"/>
        <w:ind w:left="360" w:hanging="360"/>
      </w:pPr>
      <w:r>
        <w:rPr>
          <w:rStyle w:val="Bodytext1"/>
        </w:rPr>
        <w:t>Pro určení výše odběru elektřin</w:t>
      </w:r>
      <w:r>
        <w:rPr>
          <w:rStyle w:val="Bodytext1"/>
        </w:rPr>
        <w:t xml:space="preserve">y se použijí údaje poskytnuté PDS. V případě, že tyto údaje nejsou k dispozici, množství odebrané elektřiny určí Dodavatel způsobem stanoveným právními předpisy. Měření odběru elektřiny je prováděno měřicím zařízením ve vlastnictví PDS, který zodpovídá za </w:t>
      </w:r>
      <w:r>
        <w:rPr>
          <w:rStyle w:val="Bodytext1"/>
        </w:rPr>
        <w:t>správnost naměřených údajů. V případě pochybností o správnosti měření bude vždy za správný považován ten údaj, který potvrdí PDS.</w:t>
      </w:r>
    </w:p>
    <w:p w:rsidR="002F54C9" w:rsidRDefault="00712144">
      <w:pPr>
        <w:pStyle w:val="Bodytext10"/>
        <w:numPr>
          <w:ilvl w:val="1"/>
          <w:numId w:val="1"/>
        </w:numPr>
        <w:tabs>
          <w:tab w:val="left" w:pos="367"/>
        </w:tabs>
        <w:spacing w:line="286" w:lineRule="auto"/>
        <w:ind w:left="360" w:hanging="360"/>
      </w:pPr>
      <w:r>
        <w:rPr>
          <w:rStyle w:val="Bodytext1"/>
        </w:rPr>
        <w:t>Zákazník je povinen v souladu s právními předpisy umožnit přístup příslušnému PDS k měřicímu zařízení (např. za účelem jeho od</w:t>
      </w:r>
      <w:r>
        <w:rPr>
          <w:rStyle w:val="Bodytext1"/>
        </w:rPr>
        <w:t>ečtu, kontroly, montáže, výměny, demontáže nebo údržby). Zákazník se zavazuje uhradit Dodavateli veškeré náklady, které mu vzniknou na základě nebo v souvislosti s porušením povinností Zákazníka, uvedené v tomto odstavci.</w:t>
      </w:r>
    </w:p>
    <w:p w:rsidR="002F54C9" w:rsidRDefault="00712144">
      <w:pPr>
        <w:pStyle w:val="Heading510"/>
        <w:keepNext/>
        <w:keepLines/>
        <w:numPr>
          <w:ilvl w:val="0"/>
          <w:numId w:val="1"/>
        </w:numPr>
        <w:tabs>
          <w:tab w:val="left" w:pos="369"/>
        </w:tabs>
        <w:spacing w:line="252" w:lineRule="auto"/>
      </w:pPr>
      <w:bookmarkStart w:id="15" w:name="bookmark30"/>
      <w:r>
        <w:rPr>
          <w:rStyle w:val="Heading51"/>
          <w:b/>
          <w:bCs/>
        </w:rPr>
        <w:t>Ceny, způsob a místo plnění</w:t>
      </w:r>
      <w:bookmarkEnd w:id="15"/>
    </w:p>
    <w:p w:rsidR="002F54C9" w:rsidRDefault="00712144">
      <w:pPr>
        <w:pStyle w:val="Bodytext10"/>
        <w:numPr>
          <w:ilvl w:val="1"/>
          <w:numId w:val="1"/>
        </w:numPr>
        <w:tabs>
          <w:tab w:val="left" w:pos="369"/>
        </w:tabs>
        <w:ind w:left="380" w:hanging="380"/>
      </w:pPr>
      <w:r>
        <w:rPr>
          <w:rStyle w:val="Bodytext1"/>
        </w:rPr>
        <w:t>Zákazn</w:t>
      </w:r>
      <w:r>
        <w:rPr>
          <w:rStyle w:val="Bodytext1"/>
        </w:rPr>
        <w:t xml:space="preserve">ík se zavazuje zaplatit Dodavateli za poskytovaná plnění cenu za dodávku elektřiny, stanovenou Smlouvou, a cenu za související </w:t>
      </w:r>
      <w:r>
        <w:rPr>
          <w:rStyle w:val="Bodytext1"/>
        </w:rPr>
        <w:t>služby v elektroenergetice, uplatňovanou v souladu s cenovou regulací, a rovněž všechny daně a ostatní platby, zejména daň z elek</w:t>
      </w:r>
      <w:r>
        <w:rPr>
          <w:rStyle w:val="Bodytext1"/>
        </w:rPr>
        <w:t>třiny a daň z přidané hodnoty (dále jen "Celková cena").</w:t>
      </w:r>
    </w:p>
    <w:p w:rsidR="002F54C9" w:rsidRDefault="00712144">
      <w:pPr>
        <w:pStyle w:val="Bodytext10"/>
        <w:numPr>
          <w:ilvl w:val="1"/>
          <w:numId w:val="1"/>
        </w:numPr>
        <w:tabs>
          <w:tab w:val="left" w:pos="369"/>
        </w:tabs>
        <w:ind w:left="380" w:hanging="380"/>
      </w:pPr>
      <w:r>
        <w:rPr>
          <w:rStyle w:val="Bodytext1"/>
        </w:rPr>
        <w:t>Zákazník se zavazuje platit Dodavateli za každé fakturační období Celkovou cenu formou záloh, a to způsobem uvedeným ve Smlouvě. Výše záloh pro první fakturační období je sjednána ve Smlouvě. Výše zá</w:t>
      </w:r>
      <w:r>
        <w:rPr>
          <w:rStyle w:val="Bodytext1"/>
        </w:rPr>
        <w:t>loh pro každé následující fakturační období, které je Zákazník povinen platit, je uvedena na příslušném předpisu záloh nebo faktuře. Zálohy jsou splatné do 15. dne prvního kalendářního měsíce (v případě měsíční zálohy každého měsíce) zálohového období (cyk</w:t>
      </w:r>
      <w:r>
        <w:rPr>
          <w:rStyle w:val="Bodytext1"/>
        </w:rPr>
        <w:t>lus záloh) s tím, že první záloha je splatná ve lhůtě stanovené Dodavatelem, která nesmí být kratší než 10 dní od oznámení této lhůty Zákazníkovi.</w:t>
      </w:r>
    </w:p>
    <w:p w:rsidR="002F54C9" w:rsidRDefault="00712144">
      <w:pPr>
        <w:pStyle w:val="Bodytext10"/>
        <w:numPr>
          <w:ilvl w:val="1"/>
          <w:numId w:val="1"/>
        </w:numPr>
        <w:tabs>
          <w:tab w:val="left" w:pos="369"/>
        </w:tabs>
        <w:ind w:left="380" w:hanging="380"/>
      </w:pPr>
      <w:r>
        <w:rPr>
          <w:rStyle w:val="Bodytext1"/>
        </w:rPr>
        <w:t>Fakturační období je každé období, za které je provedeno Dodavatelem vyúčtování Celkové ceny a vystaven přísl</w:t>
      </w:r>
      <w:r>
        <w:rPr>
          <w:rStyle w:val="Bodytext1"/>
        </w:rPr>
        <w:t>ušný doklad (dále jen "faktura"). První fakturační období začíná zahájením dodávky. Délka fakturačního období je předpokládána 12 měsíců a jeho skutečnou délku určuje Dodavatel, a to zejména s ohledem na odečty spotřeby elektřiny, prováděné PDS.</w:t>
      </w:r>
    </w:p>
    <w:p w:rsidR="002F54C9" w:rsidRDefault="00712144">
      <w:pPr>
        <w:pStyle w:val="Bodytext10"/>
        <w:numPr>
          <w:ilvl w:val="1"/>
          <w:numId w:val="1"/>
        </w:numPr>
        <w:tabs>
          <w:tab w:val="left" w:pos="369"/>
        </w:tabs>
        <w:ind w:left="380" w:hanging="380"/>
      </w:pPr>
      <w:r>
        <w:rPr>
          <w:rStyle w:val="Bodytext1"/>
        </w:rPr>
        <w:t>Veškeré pe</w:t>
      </w:r>
      <w:r>
        <w:rPr>
          <w:rStyle w:val="Bodytext1"/>
        </w:rPr>
        <w:t>něžité závazky Zákazníka jsou hrazeny pouze bezhotovostní formou (prostřednictvím poskytovatele platebních služeb) a jsou považovány za splněné okamžikem připsání dlužné částky na bankovní účet Dodavatele a pod variabilním symbolem, který je uveden v přísl</w:t>
      </w:r>
      <w:r>
        <w:rPr>
          <w:rStyle w:val="Bodytext1"/>
        </w:rPr>
        <w:t>ušném platebním dokladu (např. faktura, předpis záloh, upomínka), na jehož základě je tato částka účtována.</w:t>
      </w:r>
    </w:p>
    <w:p w:rsidR="002F54C9" w:rsidRDefault="00712144">
      <w:pPr>
        <w:pStyle w:val="Bodytext10"/>
        <w:numPr>
          <w:ilvl w:val="1"/>
          <w:numId w:val="1"/>
        </w:numPr>
        <w:tabs>
          <w:tab w:val="left" w:pos="369"/>
        </w:tabs>
        <w:ind w:left="380" w:hanging="380"/>
      </w:pPr>
      <w:r>
        <w:rPr>
          <w:rStyle w:val="Bodytext1"/>
        </w:rPr>
        <w:t>Veškeré peněžité závazky Dodavatele, hrazené v bezhotovostní formě (prostřednictvím poskytovatele platebních služeb), jsou považovány za splněné oka</w:t>
      </w:r>
      <w:r>
        <w:rPr>
          <w:rStyle w:val="Bodytext1"/>
        </w:rPr>
        <w:t>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w:t>
      </w:r>
      <w:r>
        <w:rPr>
          <w:rStyle w:val="Bodytext1"/>
        </w:rPr>
        <w:t xml:space="preserve"> splněné okamžikem doručení peněžní poukázky na dlužnou částku Zákazníkovi.</w:t>
      </w:r>
    </w:p>
    <w:p w:rsidR="002F54C9" w:rsidRDefault="00712144">
      <w:pPr>
        <w:pStyle w:val="Bodytext10"/>
        <w:numPr>
          <w:ilvl w:val="1"/>
          <w:numId w:val="1"/>
        </w:numPr>
        <w:tabs>
          <w:tab w:val="left" w:pos="369"/>
        </w:tabs>
        <w:ind w:left="380" w:hanging="380"/>
      </w:pPr>
      <w:r>
        <w:rPr>
          <w:rStyle w:val="Bodytext1"/>
        </w:rPr>
        <w:t>Pokud Zákazník poukáže platbu s nesprávným variabilním symbolem nebo ji poukáže na nesprávný bankovní účet Dodavatele, je Dodavatel oprávněn mu platbu vrátit jako neidentifikovatel</w:t>
      </w:r>
      <w:r>
        <w:rPr>
          <w:rStyle w:val="Bodytext1"/>
        </w:rPr>
        <w:t>nou a účtovat mu úrok z prodlení za opožděné placení od data splatnosti až do obdržení správně poukázané a označené platby.</w:t>
      </w:r>
    </w:p>
    <w:p w:rsidR="002F54C9" w:rsidRDefault="00712144">
      <w:pPr>
        <w:pStyle w:val="Bodytext10"/>
        <w:numPr>
          <w:ilvl w:val="1"/>
          <w:numId w:val="1"/>
        </w:numPr>
        <w:tabs>
          <w:tab w:val="left" w:pos="369"/>
        </w:tabs>
        <w:ind w:left="380" w:hanging="380"/>
      </w:pPr>
      <w:r>
        <w:rPr>
          <w:rStyle w:val="Bodytext1"/>
        </w:rPr>
        <w:t>V případě, že na základě vyúčtování Celkové ceny je zjištěn doplatek, Zákazník jej uhradí na základě faktury a ve lhůtě uvedené ve f</w:t>
      </w:r>
      <w:r>
        <w:rPr>
          <w:rStyle w:val="Bodytext1"/>
        </w:rPr>
        <w:t>aktuře. V případě, že je na základě vyúčtování Celkové ceny zjištěn přeplatek, bude tento přeplatek vrácen Dodavatelem na základě faktury vystavené Dodavatelem, a to způsobem a ve lhůtě uvedenými ve faktuře.</w:t>
      </w:r>
    </w:p>
    <w:p w:rsidR="002F54C9" w:rsidRDefault="00712144">
      <w:pPr>
        <w:pStyle w:val="Bodytext10"/>
        <w:numPr>
          <w:ilvl w:val="1"/>
          <w:numId w:val="1"/>
        </w:numPr>
        <w:tabs>
          <w:tab w:val="left" w:pos="369"/>
        </w:tabs>
        <w:ind w:left="380" w:hanging="380"/>
      </w:pPr>
      <w:r>
        <w:rPr>
          <w:rStyle w:val="Bodytext1"/>
        </w:rPr>
        <w:t>Má-li Zákazník sjednáno zasílání faktur v elektr</w:t>
      </w:r>
      <w:r>
        <w:rPr>
          <w:rStyle w:val="Bodytext1"/>
        </w:rPr>
        <w:t>onické podobě, vyhrazuje si Dodavatel v odůvodněných případech právo zasílat faktury Zákazníkovi v listinné podobě.</w:t>
      </w:r>
    </w:p>
    <w:p w:rsidR="002F54C9" w:rsidRDefault="00712144">
      <w:pPr>
        <w:pStyle w:val="Bodytext10"/>
        <w:numPr>
          <w:ilvl w:val="1"/>
          <w:numId w:val="1"/>
        </w:numPr>
        <w:tabs>
          <w:tab w:val="left" w:pos="369"/>
        </w:tabs>
        <w:ind w:left="380" w:hanging="380"/>
      </w:pPr>
      <w:r>
        <w:rPr>
          <w:rStyle w:val="Bodytext1"/>
        </w:rPr>
        <w:t>Zákazník má v případě zjištění chyby ve vyúčtování plateb dle Smlouvy, zejména pak při zjištění chyby ve faktuře, právo příslušnou chybu pís</w:t>
      </w:r>
      <w:r>
        <w:rPr>
          <w:rStyle w:val="Bodytext1"/>
        </w:rPr>
        <w:t>emně reklamovat na kontaktní adrese Dodavatele, a to ve lhůtě nejpozději do 90 kalendářních dnů ode dne splatnosti předmětné platby. Reklamace nemá odkladný účinek na splatnost platby, nedohodnou-li se smluvní strany jinak.</w:t>
      </w:r>
    </w:p>
    <w:p w:rsidR="002F54C9" w:rsidRDefault="00712144">
      <w:pPr>
        <w:pStyle w:val="Bodytext10"/>
        <w:numPr>
          <w:ilvl w:val="1"/>
          <w:numId w:val="1"/>
        </w:numPr>
        <w:tabs>
          <w:tab w:val="left" w:pos="428"/>
        </w:tabs>
        <w:ind w:left="380" w:hanging="380"/>
      </w:pPr>
      <w:r>
        <w:rPr>
          <w:rStyle w:val="Bodytext1"/>
        </w:rPr>
        <w:t xml:space="preserve">V případě prodlení s plněním </w:t>
      </w:r>
      <w:r>
        <w:rPr>
          <w:rStyle w:val="Bodytext1"/>
        </w:rPr>
        <w:t>svých peněžitých závazků se smluvní strana, která je v prodleni, zavazuje uhradit druhé smluvní straně úrok z prodlení ve výši stanovené příslušným právním předpisem a pokud jej nelze takto stanovit (např. předpis pozbude účinnosti), pak ve výši 0,05 % z d</w:t>
      </w:r>
      <w:r>
        <w:rPr>
          <w:rStyle w:val="Bodytext1"/>
        </w:rPr>
        <w:t>lužné částky za každý započatý den prodlení.</w:t>
      </w:r>
    </w:p>
    <w:p w:rsidR="002F54C9" w:rsidRDefault="00712144">
      <w:pPr>
        <w:pStyle w:val="Heading510"/>
        <w:keepNext/>
        <w:keepLines/>
        <w:numPr>
          <w:ilvl w:val="0"/>
          <w:numId w:val="1"/>
        </w:numPr>
        <w:tabs>
          <w:tab w:val="left" w:pos="372"/>
        </w:tabs>
        <w:spacing w:line="252" w:lineRule="auto"/>
      </w:pPr>
      <w:bookmarkStart w:id="16" w:name="bookmark32"/>
      <w:r>
        <w:rPr>
          <w:rStyle w:val="Heading51"/>
          <w:b/>
          <w:bCs/>
        </w:rPr>
        <w:t>Změna smluvních údajů</w:t>
      </w:r>
      <w:bookmarkEnd w:id="16"/>
    </w:p>
    <w:p w:rsidR="002F54C9" w:rsidRDefault="00712144">
      <w:pPr>
        <w:pStyle w:val="Bodytext10"/>
        <w:numPr>
          <w:ilvl w:val="1"/>
          <w:numId w:val="1"/>
        </w:numPr>
        <w:tabs>
          <w:tab w:val="left" w:pos="372"/>
        </w:tabs>
        <w:ind w:left="380" w:hanging="380"/>
      </w:pPr>
      <w:r>
        <w:rPr>
          <w:rStyle w:val="Bodytext1"/>
        </w:rPr>
        <w:t>Smlouva může být měněna či doplňována pouze písemnou dohodou, není-li dále stanoveno jinak.</w:t>
      </w:r>
    </w:p>
    <w:p w:rsidR="002F54C9" w:rsidRDefault="00712144">
      <w:pPr>
        <w:pStyle w:val="Bodytext10"/>
        <w:numPr>
          <w:ilvl w:val="1"/>
          <w:numId w:val="1"/>
        </w:numPr>
        <w:tabs>
          <w:tab w:val="left" w:pos="372"/>
        </w:tabs>
        <w:ind w:left="380" w:hanging="380"/>
      </w:pPr>
      <w:r>
        <w:rPr>
          <w:rStyle w:val="Bodytext1"/>
        </w:rPr>
        <w:t>Změnu výše záloh, cyklu záloh a způsobu zasílání faktur lze provést dohodou smluvních stran, vedl</w:t>
      </w:r>
      <w:r>
        <w:rPr>
          <w:rStyle w:val="Bodytext1"/>
        </w:rPr>
        <w:t xml:space="preserve">e způsobu uvedeného v odst. 5.1, také elektronicky prostým e-mailem, nahrávaným telefonním hovorem u Dodavatele nebo prostřednictvím zákaznického portálu Dodavatele (Energie24). Zároveň platí, že v případě přepisu (změny Zákazníka v </w:t>
      </w:r>
      <w:r>
        <w:rPr>
          <w:rStyle w:val="Bodytext1"/>
        </w:rPr>
        <w:lastRenderedPageBreak/>
        <w:t>OM) je možné Smlouvu se</w:t>
      </w:r>
      <w:r>
        <w:rPr>
          <w:rStyle w:val="Bodytext1"/>
        </w:rPr>
        <w:t xml:space="preserve"> stávajícím Zákazníkem ukončit i telefonicky, a to za současné účasti stávajícího a nového Zákazníka u telefonické dohody. Účinnost ukončení Smlouvy se stávajícím Zákazníkem v případě přepisu nastává okamžikem zahájení dodávky novému Zákazníkovi na základě</w:t>
      </w:r>
      <w:r>
        <w:rPr>
          <w:rStyle w:val="Bodytext1"/>
        </w:rPr>
        <w:t xml:space="preserve"> Smlouvy uzavřené s Dodavatelem.</w:t>
      </w:r>
    </w:p>
    <w:p w:rsidR="002F54C9" w:rsidRDefault="00712144">
      <w:pPr>
        <w:pStyle w:val="Bodytext10"/>
        <w:numPr>
          <w:ilvl w:val="1"/>
          <w:numId w:val="1"/>
        </w:numPr>
        <w:tabs>
          <w:tab w:val="left" w:pos="372"/>
        </w:tabs>
        <w:ind w:left="380" w:hanging="380"/>
      </w:pPr>
      <w:r>
        <w:rPr>
          <w:rStyle w:val="Bodytext1"/>
        </w:rPr>
        <w:t>Smluvní údaje mohou být upraveny prostřednictvím zákaznického portálu Dodavatele (Energie24) nebo na základě jednostranného oznámení provedeného v písemné formě, prostým e-mailem nebo nahrávaným telefonním hovorem u Dodavat</w:t>
      </w:r>
      <w:r>
        <w:rPr>
          <w:rStyle w:val="Bodytext1"/>
        </w:rPr>
        <w:t>ele, a to v případech, kdy dochází ke změně:</w:t>
      </w:r>
    </w:p>
    <w:p w:rsidR="002F54C9" w:rsidRDefault="00712144">
      <w:pPr>
        <w:pStyle w:val="Bodytext10"/>
        <w:numPr>
          <w:ilvl w:val="0"/>
          <w:numId w:val="2"/>
        </w:numPr>
        <w:tabs>
          <w:tab w:val="left" w:pos="621"/>
        </w:tabs>
        <w:ind w:firstLine="380"/>
      </w:pPr>
      <w:r>
        <w:rPr>
          <w:rStyle w:val="Bodytext1"/>
        </w:rPr>
        <w:t>způsobu úhrady faktur nebo záloh,</w:t>
      </w:r>
    </w:p>
    <w:p w:rsidR="002F54C9" w:rsidRDefault="00712144">
      <w:pPr>
        <w:pStyle w:val="Bodytext10"/>
        <w:numPr>
          <w:ilvl w:val="0"/>
          <w:numId w:val="2"/>
        </w:numPr>
        <w:tabs>
          <w:tab w:val="left" w:pos="626"/>
        </w:tabs>
        <w:ind w:firstLine="380"/>
      </w:pPr>
      <w:r>
        <w:rPr>
          <w:rStyle w:val="Bodytext1"/>
        </w:rPr>
        <w:t>bankovního spojení,</w:t>
      </w:r>
    </w:p>
    <w:p w:rsidR="002F54C9" w:rsidRDefault="00712144">
      <w:pPr>
        <w:pStyle w:val="Bodytext10"/>
        <w:numPr>
          <w:ilvl w:val="0"/>
          <w:numId w:val="2"/>
        </w:numPr>
        <w:tabs>
          <w:tab w:val="left" w:pos="621"/>
        </w:tabs>
        <w:ind w:left="380"/>
      </w:pPr>
      <w:r>
        <w:rPr>
          <w:rStyle w:val="Bodytext1"/>
        </w:rPr>
        <w:t>telefonního čísla, mobilního čísla, čísla faxu nebo e-mailu, d) adresy pro doručování,</w:t>
      </w:r>
    </w:p>
    <w:p w:rsidR="002F54C9" w:rsidRDefault="00712144">
      <w:pPr>
        <w:pStyle w:val="Bodytext10"/>
        <w:numPr>
          <w:ilvl w:val="0"/>
          <w:numId w:val="3"/>
        </w:numPr>
        <w:tabs>
          <w:tab w:val="left" w:pos="626"/>
        </w:tabs>
        <w:ind w:left="380"/>
      </w:pPr>
      <w:r>
        <w:rPr>
          <w:rStyle w:val="Bodytext1"/>
        </w:rPr>
        <w:t>osoby oprávněné k zastupování Zákazníka, f) DIČ, názvu obchodní firmy,</w:t>
      </w:r>
      <w:r>
        <w:rPr>
          <w:rStyle w:val="Bodytext1"/>
        </w:rPr>
        <w:t xml:space="preserve"> sídla firmy nebo místa podnikání Zákazníka,</w:t>
      </w:r>
    </w:p>
    <w:p w:rsidR="002F54C9" w:rsidRDefault="00712144">
      <w:pPr>
        <w:pStyle w:val="Bodytext10"/>
        <w:numPr>
          <w:ilvl w:val="0"/>
          <w:numId w:val="4"/>
        </w:numPr>
        <w:tabs>
          <w:tab w:val="left" w:pos="630"/>
        </w:tabs>
        <w:ind w:firstLine="380"/>
      </w:pPr>
      <w:r>
        <w:rPr>
          <w:rStyle w:val="Bodytext1"/>
        </w:rPr>
        <w:t>příjmení Zákazníka,</w:t>
      </w:r>
    </w:p>
    <w:p w:rsidR="002F54C9" w:rsidRDefault="00712144">
      <w:pPr>
        <w:pStyle w:val="Bodytext10"/>
        <w:numPr>
          <w:ilvl w:val="0"/>
          <w:numId w:val="4"/>
        </w:numPr>
        <w:tabs>
          <w:tab w:val="left" w:pos="626"/>
        </w:tabs>
        <w:ind w:firstLine="380"/>
      </w:pPr>
      <w:r>
        <w:rPr>
          <w:rStyle w:val="Bodytext1"/>
        </w:rPr>
        <w:t>adresy odběrného místa Zákazníka.</w:t>
      </w:r>
    </w:p>
    <w:p w:rsidR="002F54C9" w:rsidRDefault="00712144">
      <w:pPr>
        <w:pStyle w:val="Bodytext10"/>
        <w:ind w:left="380"/>
      </w:pPr>
      <w:r>
        <w:rPr>
          <w:rStyle w:val="Bodytext1"/>
        </w:rPr>
        <w:t>V případě, že Dodavatel požádá Zákazníka o doložení oznamovaných skutečností dle písm. e) až h), je Zákazník povinen tyto skutečnosti Dodavateli neprodleně d</w:t>
      </w:r>
      <w:r>
        <w:rPr>
          <w:rStyle w:val="Bodytext1"/>
        </w:rPr>
        <w:t>oložit, jinak není Dodavatel povinen změnu přijmout, případně je oprávněn přijatou změnu odmítnout.</w:t>
      </w:r>
    </w:p>
    <w:p w:rsidR="002F54C9" w:rsidRDefault="00712144">
      <w:pPr>
        <w:pStyle w:val="Bodytext10"/>
        <w:numPr>
          <w:ilvl w:val="1"/>
          <w:numId w:val="1"/>
        </w:numPr>
        <w:tabs>
          <w:tab w:val="left" w:pos="372"/>
        </w:tabs>
        <w:ind w:left="380" w:hanging="380"/>
      </w:pPr>
      <w:r>
        <w:rPr>
          <w:rStyle w:val="Bodytext1"/>
        </w:rPr>
        <w:t>V případě změny prováděné prostřednictvím nahrávaného telefonního hovoru se Zákazník prokazuje minimálně třemi identifikátory OM uvedeného ve Smlouvě (např.</w:t>
      </w:r>
      <w:r>
        <w:rPr>
          <w:rStyle w:val="Bodytext1"/>
        </w:rPr>
        <w:t xml:space="preserve"> jméno a příjmení, EAN, adresa OM, číslo místa spotřeby, číslo Smlouvy, zákaznické číslo atd.). Na nahrávání telefonního hovoru bude Zákazník upozorněn. V případě změny prováděné prostřednictvím zákaznického portálu Dodavatele je Zákazník povinen se řídit </w:t>
      </w:r>
      <w:r>
        <w:rPr>
          <w:rStyle w:val="Bodytext1"/>
        </w:rPr>
        <w:t>podmínkami užívání tohoto zákaznického portálu.</w:t>
      </w:r>
    </w:p>
    <w:p w:rsidR="002F54C9" w:rsidRDefault="00712144">
      <w:pPr>
        <w:pStyle w:val="Bodytext10"/>
        <w:numPr>
          <w:ilvl w:val="1"/>
          <w:numId w:val="1"/>
        </w:numPr>
        <w:tabs>
          <w:tab w:val="left" w:pos="372"/>
        </w:tabs>
        <w:spacing w:after="200"/>
        <w:ind w:left="380" w:hanging="380"/>
      </w:pPr>
      <w:r>
        <w:rPr>
          <w:rStyle w:val="Bodytext1"/>
        </w:rPr>
        <w:t xml:space="preserve">Smluvní strany jsou povinny zajistit, aby jejich identifikační (komunikační) údaje odpovídaly skutečnému a použitelnému stavu. Smluvní strany nesou odpovědnost za funkčnost komunikačních kanálů, které může </w:t>
      </w:r>
      <w:r>
        <w:rPr>
          <w:rStyle w:val="Bodytext1"/>
        </w:rPr>
        <w:t>druhá smluvní strana v souladu se Smlouvu použít.</w:t>
      </w:r>
    </w:p>
    <w:p w:rsidR="002F54C9" w:rsidRDefault="00712144">
      <w:pPr>
        <w:pStyle w:val="Heading510"/>
        <w:keepNext/>
        <w:keepLines/>
        <w:numPr>
          <w:ilvl w:val="0"/>
          <w:numId w:val="1"/>
        </w:numPr>
        <w:tabs>
          <w:tab w:val="left" w:pos="372"/>
        </w:tabs>
        <w:spacing w:line="240" w:lineRule="auto"/>
      </w:pPr>
      <w:bookmarkStart w:id="17" w:name="bookmark34"/>
      <w:r>
        <w:rPr>
          <w:rStyle w:val="Heading51"/>
          <w:b/>
          <w:bCs/>
        </w:rPr>
        <w:t>Zánik Smlouvy, přerušení, ukončení dodávky elektřiny</w:t>
      </w:r>
      <w:bookmarkEnd w:id="17"/>
    </w:p>
    <w:p w:rsidR="002F54C9" w:rsidRDefault="00712144">
      <w:pPr>
        <w:pStyle w:val="Bodytext10"/>
        <w:numPr>
          <w:ilvl w:val="1"/>
          <w:numId w:val="1"/>
        </w:numPr>
        <w:tabs>
          <w:tab w:val="left" w:pos="372"/>
        </w:tabs>
        <w:spacing w:line="286" w:lineRule="auto"/>
        <w:ind w:left="380" w:hanging="380"/>
      </w:pPr>
      <w:r>
        <w:rPr>
          <w:rStyle w:val="Bodytext1"/>
        </w:rPr>
        <w:t xml:space="preserve">Je-li Smlouva uzavřena na dobu neurčitou, může ji písemně vypovědět kterákoli ze smluvních stran s výpovědní dobou 3 měsíce. Výpovědní doba začíná běžet </w:t>
      </w:r>
      <w:r>
        <w:rPr>
          <w:rStyle w:val="Bodytext1"/>
        </w:rPr>
        <w:t>prvním dnem kalendářního měsíce následujícího po doručení písemné výpovědi.</w:t>
      </w:r>
    </w:p>
    <w:p w:rsidR="002F54C9" w:rsidRDefault="00712144">
      <w:pPr>
        <w:pStyle w:val="Bodytext10"/>
        <w:numPr>
          <w:ilvl w:val="1"/>
          <w:numId w:val="1"/>
        </w:numPr>
        <w:tabs>
          <w:tab w:val="left" w:pos="372"/>
        </w:tabs>
        <w:spacing w:line="286" w:lineRule="auto"/>
        <w:ind w:left="380" w:hanging="380"/>
      </w:pPr>
      <w:r>
        <w:rPr>
          <w:rStyle w:val="Bodytext1"/>
        </w:rPr>
        <w:t>Každá ze smluvních stran je oprávněna odstoupit od Smlouvy v případě neplnění smluvních povinností druhé smluvní strany.</w:t>
      </w:r>
    </w:p>
    <w:p w:rsidR="002F54C9" w:rsidRDefault="00712144">
      <w:pPr>
        <w:pStyle w:val="Bodytext10"/>
        <w:numPr>
          <w:ilvl w:val="1"/>
          <w:numId w:val="1"/>
        </w:numPr>
        <w:tabs>
          <w:tab w:val="left" w:pos="372"/>
        </w:tabs>
        <w:spacing w:line="286" w:lineRule="auto"/>
        <w:ind w:left="380" w:hanging="380"/>
      </w:pPr>
      <w:r>
        <w:rPr>
          <w:rStyle w:val="Bodytext1"/>
        </w:rPr>
        <w:t xml:space="preserve">Odstoupení od Smlouvy musí být učiněno písemně a je účinné </w:t>
      </w:r>
      <w:r>
        <w:rPr>
          <w:rStyle w:val="Bodytext1"/>
        </w:rPr>
        <w:t>ke dni jeho doručení, pokud odstupující smluvní strana neuvede pozdější datum.</w:t>
      </w:r>
    </w:p>
    <w:p w:rsidR="002F54C9" w:rsidRDefault="00712144">
      <w:pPr>
        <w:pStyle w:val="Bodytext10"/>
        <w:numPr>
          <w:ilvl w:val="1"/>
          <w:numId w:val="1"/>
        </w:numPr>
        <w:tabs>
          <w:tab w:val="left" w:pos="372"/>
        </w:tabs>
        <w:spacing w:line="286" w:lineRule="auto"/>
        <w:ind w:left="380" w:hanging="380"/>
      </w:pPr>
      <w:r>
        <w:rPr>
          <w:rStyle w:val="Bodytext1"/>
        </w:rPr>
        <w:t>Smluvní strany se dohodly, že v případě přerušení dodávky elektřiny z důvodu neoprávněného odběru elektřiny vzniká Dodavateli právo odstoupit od Smlouvy.</w:t>
      </w:r>
    </w:p>
    <w:p w:rsidR="002F54C9" w:rsidRDefault="00712144">
      <w:pPr>
        <w:pStyle w:val="Bodytext10"/>
        <w:numPr>
          <w:ilvl w:val="1"/>
          <w:numId w:val="1"/>
        </w:numPr>
        <w:tabs>
          <w:tab w:val="left" w:pos="372"/>
        </w:tabs>
        <w:spacing w:line="286" w:lineRule="auto"/>
        <w:ind w:left="380" w:hanging="380"/>
      </w:pPr>
      <w:r>
        <w:rPr>
          <w:rStyle w:val="Bodytext1"/>
        </w:rPr>
        <w:t>Přerušení nebo ukončení</w:t>
      </w:r>
      <w:r>
        <w:rPr>
          <w:rStyle w:val="Bodytext1"/>
        </w:rPr>
        <w:t xml:space="preserve"> dodávky elektřiny provede PDS na žádost Dodavatele. Zákazník se zavazuje uhradit Dodavateli veškeré náklady, které mu vznikly buď přímo nebo v souvislosti s přerušením, ukončením dodávky elektřiny nebo opětovným obnovením dodávky elektřiny do OM.</w:t>
      </w:r>
    </w:p>
    <w:p w:rsidR="002F54C9" w:rsidRDefault="00712144">
      <w:pPr>
        <w:pStyle w:val="Bodytext10"/>
        <w:numPr>
          <w:ilvl w:val="1"/>
          <w:numId w:val="1"/>
        </w:numPr>
        <w:tabs>
          <w:tab w:val="left" w:pos="372"/>
        </w:tabs>
        <w:spacing w:line="286" w:lineRule="auto"/>
        <w:ind w:left="380" w:hanging="380"/>
      </w:pPr>
      <w:r>
        <w:rPr>
          <w:rStyle w:val="Bodytext1"/>
        </w:rPr>
        <w:t>Ke dni z</w:t>
      </w:r>
      <w:r>
        <w:rPr>
          <w:rStyle w:val="Bodytext1"/>
        </w:rPr>
        <w:t>ániku Smlouvy zanikají veškerá práva a povinnosti smluvních stran z této Smlouvy vyplývající, s výjimkou těch závazků obsažených v jejich ustanoveních, z jejichž povahy vyplývá, že mají trvat i nadále.</w:t>
      </w:r>
    </w:p>
    <w:p w:rsidR="002F54C9" w:rsidRDefault="00712144">
      <w:pPr>
        <w:pStyle w:val="Heading510"/>
        <w:keepNext/>
        <w:keepLines/>
        <w:numPr>
          <w:ilvl w:val="0"/>
          <w:numId w:val="1"/>
        </w:numPr>
        <w:tabs>
          <w:tab w:val="left" w:pos="364"/>
        </w:tabs>
        <w:spacing w:line="252" w:lineRule="auto"/>
      </w:pPr>
      <w:bookmarkStart w:id="18" w:name="bookmark36"/>
      <w:r>
        <w:rPr>
          <w:rStyle w:val="Heading51"/>
          <w:b/>
          <w:bCs/>
        </w:rPr>
        <w:t>Ustanovení přechodná a závěrečná</w:t>
      </w:r>
      <w:bookmarkEnd w:id="18"/>
    </w:p>
    <w:p w:rsidR="002F54C9" w:rsidRDefault="00712144">
      <w:pPr>
        <w:pStyle w:val="Bodytext10"/>
        <w:numPr>
          <w:ilvl w:val="1"/>
          <w:numId w:val="1"/>
        </w:numPr>
        <w:tabs>
          <w:tab w:val="left" w:pos="364"/>
        </w:tabs>
        <w:ind w:left="360" w:hanging="360"/>
      </w:pPr>
      <w:r>
        <w:rPr>
          <w:rStyle w:val="Bodytext1"/>
        </w:rPr>
        <w:t>Zahájením dodávky ele</w:t>
      </w:r>
      <w:r>
        <w:rPr>
          <w:rStyle w:val="Bodytext1"/>
        </w:rPr>
        <w:t>ktřiny dle Smlouvy se ruší všechny dříve uzavřené smluvní vztahy, jejichž předmětem je dodávka elektřiny do odběrných míst uvedených ve Smlouvě uzavřené mezi stejnými smluvními stranami nebo jejich právními předchůdci.</w:t>
      </w:r>
    </w:p>
    <w:p w:rsidR="002F54C9" w:rsidRDefault="00712144">
      <w:pPr>
        <w:pStyle w:val="Bodytext10"/>
        <w:numPr>
          <w:ilvl w:val="1"/>
          <w:numId w:val="1"/>
        </w:numPr>
        <w:tabs>
          <w:tab w:val="left" w:pos="364"/>
        </w:tabs>
        <w:ind w:left="360" w:hanging="360"/>
      </w:pPr>
      <w:r>
        <w:rPr>
          <w:rStyle w:val="Bodytext1"/>
        </w:rPr>
        <w:t>V případě konání právního jednání Dod</w:t>
      </w:r>
      <w:r>
        <w:rPr>
          <w:rStyle w:val="Bodytext1"/>
        </w:rPr>
        <w:t>avatele, včetně uzavírání, změny a ukončování Smlouvy, lze vlastnoruční podpis zástupce Dodavatele nahradit faksimilií tohoto podpisu.</w:t>
      </w:r>
    </w:p>
    <w:p w:rsidR="002F54C9" w:rsidRDefault="00712144">
      <w:pPr>
        <w:pStyle w:val="Bodytext10"/>
        <w:numPr>
          <w:ilvl w:val="1"/>
          <w:numId w:val="1"/>
        </w:numPr>
        <w:tabs>
          <w:tab w:val="left" w:pos="364"/>
        </w:tabs>
        <w:ind w:left="360" w:hanging="360"/>
      </w:pPr>
      <w:r>
        <w:rPr>
          <w:rStyle w:val="Bodytext1"/>
          <w:i/>
          <w:iCs/>
        </w:rPr>
        <w:t>Původní znění tohoto odstavce obsahující znění souhlasu se zpracováním osobních údajů se neuplatňuje z důvodu zajištění s</w:t>
      </w:r>
      <w:r>
        <w:rPr>
          <w:rStyle w:val="Bodytext1"/>
          <w:i/>
          <w:iCs/>
        </w:rPr>
        <w:t>ouladu s obecně závaznými právními předpisy</w:t>
      </w:r>
      <w:r>
        <w:rPr>
          <w:rStyle w:val="Bodytext1"/>
        </w:rPr>
        <w:t xml:space="preserve"> v </w:t>
      </w:r>
      <w:r>
        <w:rPr>
          <w:rStyle w:val="Bodytext1"/>
          <w:i/>
          <w:iCs/>
        </w:rPr>
        <w:t>oblasti ochrany osobních údajů.</w:t>
      </w:r>
    </w:p>
    <w:p w:rsidR="002F54C9" w:rsidRDefault="00712144">
      <w:pPr>
        <w:pStyle w:val="Bodytext10"/>
        <w:numPr>
          <w:ilvl w:val="1"/>
          <w:numId w:val="1"/>
        </w:numPr>
        <w:tabs>
          <w:tab w:val="left" w:pos="364"/>
        </w:tabs>
        <w:ind w:left="360" w:hanging="360"/>
      </w:pPr>
      <w:r>
        <w:rPr>
          <w:rStyle w:val="Bodytext1"/>
        </w:rPr>
        <w:t xml:space="preserve">Orgánem, který je oprávněn v zákonem stanovených případech rozhodovat spory mezi Zákazníkem a Dodavatelem a přijímat stížnosti Zákazníka je Energetický regulační úřad </w:t>
      </w:r>
      <w:r>
        <w:rPr>
          <w:rStyle w:val="Bodytext1"/>
          <w:lang w:val="en-US" w:eastAsia="en-US" w:bidi="en-US"/>
        </w:rPr>
        <w:t>(</w:t>
      </w:r>
      <w:hyperlink r:id="rId16" w:history="1">
        <w:r>
          <w:rPr>
            <w:rStyle w:val="Bodytext1"/>
            <w:lang w:val="en-US" w:eastAsia="en-US" w:bidi="en-US"/>
          </w:rPr>
          <w:t>www.eru.cz</w:t>
        </w:r>
      </w:hyperlink>
      <w:r>
        <w:rPr>
          <w:rStyle w:val="Bodytext1"/>
          <w:lang w:val="en-US" w:eastAsia="en-US" w:bidi="en-US"/>
        </w:rPr>
        <w:t>).</w:t>
      </w:r>
    </w:p>
    <w:p w:rsidR="002F54C9" w:rsidRDefault="00712144">
      <w:pPr>
        <w:pStyle w:val="Bodytext10"/>
        <w:numPr>
          <w:ilvl w:val="1"/>
          <w:numId w:val="1"/>
        </w:numPr>
        <w:tabs>
          <w:tab w:val="left" w:pos="364"/>
        </w:tabs>
        <w:ind w:left="360" w:hanging="360"/>
      </w:pPr>
      <w:r>
        <w:rPr>
          <w:rStyle w:val="Bodytext1"/>
        </w:rPr>
        <w:t xml:space="preserve">Ve smyslu ustanovení § </w:t>
      </w:r>
      <w:proofErr w:type="gramStart"/>
      <w:r>
        <w:rPr>
          <w:rStyle w:val="Bodytext1"/>
        </w:rPr>
        <w:t>89a</w:t>
      </w:r>
      <w:proofErr w:type="gramEnd"/>
      <w:r>
        <w:rPr>
          <w:rStyle w:val="Bodytext1"/>
        </w:rPr>
        <w:t xml:space="preserve"> občanského soudního řádu se obě smluvní strany dohodly, že v případě řešení sporů soudní cestou bude místně příslušným soudem Okresní soud v Českých Budějovicích, popř. Krajský soud v Českých Bu</w:t>
      </w:r>
      <w:r>
        <w:rPr>
          <w:rStyle w:val="Bodytext1"/>
        </w:rPr>
        <w:t>dějovicích. Toto ustanovení platí pouze pro Zákazníky, kteří nejsou spotřebitelé.</w:t>
      </w:r>
    </w:p>
    <w:p w:rsidR="002F54C9" w:rsidRDefault="00712144">
      <w:pPr>
        <w:pStyle w:val="Bodytext10"/>
        <w:numPr>
          <w:ilvl w:val="1"/>
          <w:numId w:val="1"/>
        </w:numPr>
        <w:tabs>
          <w:tab w:val="left" w:pos="364"/>
        </w:tabs>
        <w:ind w:left="360" w:hanging="360"/>
      </w:pPr>
      <w:r>
        <w:rPr>
          <w:rStyle w:val="Bodytext1"/>
        </w:rPr>
        <w:t>V případě rozporu mezi Smlouvou a těmito OP mají přednost ustanovení uvedená ve Smlouvě.</w:t>
      </w:r>
    </w:p>
    <w:p w:rsidR="002F54C9" w:rsidRDefault="00712144">
      <w:pPr>
        <w:pStyle w:val="Bodytext10"/>
        <w:numPr>
          <w:ilvl w:val="1"/>
          <w:numId w:val="1"/>
        </w:numPr>
        <w:tabs>
          <w:tab w:val="left" w:pos="364"/>
        </w:tabs>
        <w:ind w:left="360" w:hanging="360"/>
      </w:pPr>
      <w:r>
        <w:rPr>
          <w:rStyle w:val="Bodytext1"/>
        </w:rPr>
        <w:t>Tyto OP nenahrazují obchodní podmínky, které jsou součástí smluv uzavřených do 31.12.</w:t>
      </w:r>
      <w:r>
        <w:rPr>
          <w:rStyle w:val="Bodytext1"/>
        </w:rPr>
        <w:t xml:space="preserve"> 2015.</w:t>
      </w:r>
    </w:p>
    <w:p w:rsidR="002F54C9" w:rsidRDefault="00712144">
      <w:pPr>
        <w:pStyle w:val="Bodytext10"/>
        <w:numPr>
          <w:ilvl w:val="1"/>
          <w:numId w:val="1"/>
        </w:numPr>
        <w:tabs>
          <w:tab w:val="left" w:pos="364"/>
        </w:tabs>
        <w:spacing w:after="180"/>
      </w:pPr>
      <w:r>
        <w:rPr>
          <w:rStyle w:val="Bodytext1"/>
        </w:rPr>
        <w:t>Tyto OP nabývají účinnosti dnem 1.1. 2016.</w:t>
      </w:r>
    </w:p>
    <w:p w:rsidR="002F54C9" w:rsidRDefault="00712144">
      <w:pPr>
        <w:pStyle w:val="Bodytext10"/>
        <w:spacing w:after="180"/>
      </w:pPr>
      <w:r>
        <w:rPr>
          <w:rStyle w:val="Bodytext1"/>
        </w:rPr>
        <w:t>V Českých Budějovicích dne 3.11. 2015</w:t>
      </w:r>
    </w:p>
    <w:p w:rsidR="002F54C9" w:rsidRDefault="00712144">
      <w:pPr>
        <w:pStyle w:val="Bodytext10"/>
        <w:spacing w:after="180"/>
        <w:sectPr w:rsidR="002F54C9">
          <w:type w:val="continuous"/>
          <w:pgSz w:w="11900" w:h="16840"/>
          <w:pgMar w:top="1044" w:right="1008" w:bottom="1302" w:left="1128" w:header="616" w:footer="874" w:gutter="0"/>
          <w:cols w:num="2" w:space="321"/>
          <w:noEndnote/>
          <w:docGrid w:linePitch="360"/>
        </w:sectPr>
      </w:pPr>
      <w:r>
        <w:rPr>
          <w:rStyle w:val="Bodytext1"/>
        </w:rPr>
        <w:t>Představenstvo E.ON Energie, a.s.</w:t>
      </w:r>
    </w:p>
    <w:p w:rsidR="002F54C9" w:rsidRDefault="00712144">
      <w:pPr>
        <w:pStyle w:val="Bodytext30"/>
        <w:framePr w:w="6144" w:h="346" w:wrap="none" w:hAnchor="page" w:x="1315" w:y="443"/>
      </w:pPr>
      <w:r>
        <w:rPr>
          <w:rStyle w:val="Bodytext3"/>
        </w:rPr>
        <w:t xml:space="preserve">E.ON Energie, a.s. - F. A. </w:t>
      </w:r>
      <w:proofErr w:type="spellStart"/>
      <w:r>
        <w:rPr>
          <w:rStyle w:val="Bodytext3"/>
        </w:rPr>
        <w:t>Gerstnera</w:t>
      </w:r>
      <w:proofErr w:type="spellEnd"/>
      <w:r>
        <w:rPr>
          <w:rStyle w:val="Bodytext3"/>
        </w:rPr>
        <w:t xml:space="preserve"> 2151/6, České Budějovice 7, 370 01 České </w:t>
      </w:r>
      <w:proofErr w:type="gramStart"/>
      <w:r>
        <w:rPr>
          <w:rStyle w:val="Bodytext3"/>
        </w:rPr>
        <w:t>Budějovice - IČ</w:t>
      </w:r>
      <w:proofErr w:type="gramEnd"/>
      <w:r>
        <w:rPr>
          <w:rStyle w:val="Bodytext3"/>
        </w:rPr>
        <w:t xml:space="preserve">: 26078201 - </w:t>
      </w:r>
      <w:r>
        <w:rPr>
          <w:rStyle w:val="Bodytext3"/>
        </w:rPr>
        <w:t>DIČ: CZ26078201</w:t>
      </w:r>
    </w:p>
    <w:p w:rsidR="002F54C9" w:rsidRDefault="002F54C9">
      <w:pPr>
        <w:pStyle w:val="Bodytext20"/>
        <w:spacing w:after="260" w:line="319" w:lineRule="auto"/>
        <w:sectPr w:rsidR="002F54C9">
          <w:footerReference w:type="default" r:id="rId17"/>
          <w:type w:val="continuous"/>
          <w:pgSz w:w="11900" w:h="16840"/>
          <w:pgMar w:top="505" w:right="3549" w:bottom="505" w:left="1305" w:header="0" w:footer="3" w:gutter="0"/>
          <w:cols w:space="720"/>
          <w:noEndnote/>
          <w:docGrid w:linePitch="360"/>
        </w:sectPr>
      </w:pPr>
      <w:bookmarkStart w:id="19" w:name="_GoBack"/>
      <w:bookmarkEnd w:id="19"/>
    </w:p>
    <w:p w:rsidR="002F54C9" w:rsidRDefault="00712144">
      <w:pPr>
        <w:pStyle w:val="Heading210"/>
        <w:keepNext/>
        <w:keepLines/>
        <w:framePr w:w="2933" w:h="394" w:wrap="none" w:hAnchor="page" w:x="2624" w:y="395"/>
        <w:spacing w:after="0" w:line="240" w:lineRule="auto"/>
        <w:ind w:left="0"/>
        <w:jc w:val="left"/>
      </w:pPr>
      <w:bookmarkStart w:id="20" w:name="bookmark52"/>
      <w:r>
        <w:rPr>
          <w:rStyle w:val="Heading21"/>
          <w:b/>
          <w:bCs/>
          <w:color w:val="410203"/>
        </w:rPr>
        <w:lastRenderedPageBreak/>
        <w:t>Vaše ceny elektřiny</w:t>
      </w:r>
      <w:bookmarkEnd w:id="20"/>
    </w:p>
    <w:p w:rsidR="002F54C9" w:rsidRDefault="00712144">
      <w:pPr>
        <w:spacing w:line="360" w:lineRule="exact"/>
      </w:pPr>
      <w:r>
        <w:rPr>
          <w:noProof/>
        </w:rPr>
        <w:drawing>
          <wp:anchor distT="0" distB="0" distL="0" distR="0" simplePos="0" relativeHeight="62914703" behindDoc="1" locked="0" layoutInCell="1" allowOverlap="1">
            <wp:simplePos x="0" y="0"/>
            <wp:positionH relativeFrom="page">
              <wp:posOffset>876300</wp:posOffset>
            </wp:positionH>
            <wp:positionV relativeFrom="margin">
              <wp:posOffset>0</wp:posOffset>
            </wp:positionV>
            <wp:extent cx="402590" cy="688975"/>
            <wp:effectExtent l="0" t="0" r="0" b="0"/>
            <wp:wrapNone/>
            <wp:docPr id="28" name="Shape 28"/>
            <wp:cNvGraphicFramePr/>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18"/>
                    <a:stretch/>
                  </pic:blipFill>
                  <pic:spPr>
                    <a:xfrm>
                      <a:off x="0" y="0"/>
                      <a:ext cx="402590" cy="688975"/>
                    </a:xfrm>
                    <a:prstGeom prst="rect">
                      <a:avLst/>
                    </a:prstGeom>
                  </pic:spPr>
                </pic:pic>
              </a:graphicData>
            </a:graphic>
          </wp:anchor>
        </w:drawing>
      </w:r>
      <w:r>
        <w:rPr>
          <w:noProof/>
        </w:rPr>
        <w:drawing>
          <wp:anchor distT="0" distB="0" distL="0" distR="0" simplePos="0" relativeHeight="62914704" behindDoc="1" locked="0" layoutInCell="1" allowOverlap="1">
            <wp:simplePos x="0" y="0"/>
            <wp:positionH relativeFrom="page">
              <wp:posOffset>5365750</wp:posOffset>
            </wp:positionH>
            <wp:positionV relativeFrom="margin">
              <wp:posOffset>69850</wp:posOffset>
            </wp:positionV>
            <wp:extent cx="1664335" cy="524510"/>
            <wp:effectExtent l="0" t="0" r="0" b="0"/>
            <wp:wrapNone/>
            <wp:docPr id="30" name="Shape 30"/>
            <wp:cNvGraphicFramePr/>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19"/>
                    <a:stretch/>
                  </pic:blipFill>
                  <pic:spPr>
                    <a:xfrm>
                      <a:off x="0" y="0"/>
                      <a:ext cx="1664335" cy="524510"/>
                    </a:xfrm>
                    <a:prstGeom prst="rect">
                      <a:avLst/>
                    </a:prstGeom>
                  </pic:spPr>
                </pic:pic>
              </a:graphicData>
            </a:graphic>
          </wp:anchor>
        </w:drawing>
      </w:r>
    </w:p>
    <w:p w:rsidR="002F54C9" w:rsidRDefault="002F54C9">
      <w:pPr>
        <w:spacing w:line="360" w:lineRule="exact"/>
      </w:pPr>
    </w:p>
    <w:p w:rsidR="002F54C9" w:rsidRDefault="002F54C9">
      <w:pPr>
        <w:spacing w:after="364" w:line="1" w:lineRule="exact"/>
      </w:pPr>
    </w:p>
    <w:p w:rsidR="002F54C9" w:rsidRDefault="002F54C9">
      <w:pPr>
        <w:spacing w:line="1" w:lineRule="exact"/>
        <w:sectPr w:rsidR="002F54C9">
          <w:footerReference w:type="default" r:id="rId20"/>
          <w:pgSz w:w="11900" w:h="16840"/>
          <w:pgMar w:top="977" w:right="805" w:bottom="181" w:left="1380" w:header="549" w:footer="3" w:gutter="0"/>
          <w:cols w:space="720"/>
          <w:noEndnote/>
          <w:docGrid w:linePitch="360"/>
        </w:sectPr>
      </w:pPr>
    </w:p>
    <w:p w:rsidR="002F54C9" w:rsidRDefault="00712144">
      <w:pPr>
        <w:pStyle w:val="Bodytext10"/>
        <w:spacing w:after="40" w:line="240" w:lineRule="auto"/>
        <w:rPr>
          <w:sz w:val="15"/>
          <w:szCs w:val="15"/>
        </w:rPr>
      </w:pPr>
      <w:r>
        <w:rPr>
          <w:rStyle w:val="Bodytext1"/>
          <w:b/>
          <w:bCs/>
          <w:sz w:val="15"/>
          <w:szCs w:val="15"/>
        </w:rPr>
        <w:t>Produktová řada:</w:t>
      </w:r>
    </w:p>
    <w:p w:rsidR="002F54C9" w:rsidRDefault="00712144">
      <w:pPr>
        <w:pStyle w:val="Bodytext10"/>
        <w:spacing w:after="40" w:line="240" w:lineRule="auto"/>
        <w:rPr>
          <w:sz w:val="15"/>
          <w:szCs w:val="15"/>
        </w:rPr>
      </w:pPr>
      <w:r>
        <w:rPr>
          <w:rStyle w:val="Bodytext1"/>
          <w:b/>
          <w:bCs/>
          <w:sz w:val="15"/>
          <w:szCs w:val="15"/>
        </w:rPr>
        <w:t>Ceník:</w:t>
      </w:r>
    </w:p>
    <w:p w:rsidR="002F54C9" w:rsidRDefault="00712144">
      <w:pPr>
        <w:pStyle w:val="Bodytext10"/>
        <w:spacing w:line="240" w:lineRule="auto"/>
        <w:rPr>
          <w:sz w:val="15"/>
          <w:szCs w:val="15"/>
        </w:rPr>
      </w:pPr>
      <w:r>
        <w:rPr>
          <w:rStyle w:val="Bodytext1"/>
          <w:b/>
          <w:bCs/>
          <w:sz w:val="15"/>
          <w:szCs w:val="15"/>
        </w:rPr>
        <w:t>Distribuční území:</w:t>
      </w:r>
    </w:p>
    <w:p w:rsidR="002F54C9" w:rsidRDefault="00712144">
      <w:pPr>
        <w:pStyle w:val="Bodytext20"/>
        <w:spacing w:after="0" w:line="283" w:lineRule="auto"/>
        <w:sectPr w:rsidR="002F54C9">
          <w:type w:val="continuous"/>
          <w:pgSz w:w="11900" w:h="16840"/>
          <w:pgMar w:top="977" w:right="6901" w:bottom="6801" w:left="1380" w:header="0" w:footer="3" w:gutter="0"/>
          <w:cols w:num="2" w:space="1028"/>
          <w:noEndnote/>
          <w:docGrid w:linePitch="360"/>
        </w:sectPr>
      </w:pPr>
      <w:proofErr w:type="spellStart"/>
      <w:r>
        <w:rPr>
          <w:rStyle w:val="Bodytext2"/>
          <w:b/>
          <w:bCs/>
        </w:rPr>
        <w:t>StandardPower</w:t>
      </w:r>
      <w:proofErr w:type="spellEnd"/>
      <w:r>
        <w:rPr>
          <w:rStyle w:val="Bodytext2"/>
          <w:b/>
          <w:bCs/>
        </w:rPr>
        <w:t xml:space="preserve"> </w:t>
      </w:r>
      <w:proofErr w:type="spellStart"/>
      <w:r>
        <w:rPr>
          <w:rStyle w:val="Bodytext2"/>
          <w:b/>
          <w:bCs/>
        </w:rPr>
        <w:t>StandardPower</w:t>
      </w:r>
      <w:proofErr w:type="spellEnd"/>
      <w:r>
        <w:rPr>
          <w:rStyle w:val="Bodytext2"/>
          <w:b/>
          <w:bCs/>
        </w:rPr>
        <w:t xml:space="preserve"> </w:t>
      </w:r>
      <w:proofErr w:type="gramStart"/>
      <w:r>
        <w:rPr>
          <w:rStyle w:val="Bodytext2"/>
          <w:b/>
          <w:bCs/>
        </w:rPr>
        <w:t>EG.D</w:t>
      </w:r>
      <w:proofErr w:type="gramEnd"/>
      <w:r>
        <w:rPr>
          <w:rStyle w:val="Bodytext2"/>
          <w:b/>
          <w:bCs/>
        </w:rPr>
        <w:t>, s.r.o.</w:t>
      </w:r>
    </w:p>
    <w:p w:rsidR="002F54C9" w:rsidRDefault="002F54C9">
      <w:pPr>
        <w:spacing w:line="55" w:lineRule="exact"/>
        <w:rPr>
          <w:sz w:val="4"/>
          <w:szCs w:val="4"/>
        </w:rPr>
      </w:pPr>
    </w:p>
    <w:p w:rsidR="002F54C9" w:rsidRDefault="002F54C9">
      <w:pPr>
        <w:spacing w:line="1" w:lineRule="exact"/>
        <w:sectPr w:rsidR="002F54C9">
          <w:type w:val="continuous"/>
          <w:pgSz w:w="11900" w:h="16840"/>
          <w:pgMar w:top="977" w:right="0" w:bottom="977" w:left="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291"/>
        <w:gridCol w:w="1930"/>
        <w:gridCol w:w="3470"/>
      </w:tblGrid>
      <w:tr w:rsidR="002F54C9">
        <w:tblPrEx>
          <w:tblCellMar>
            <w:top w:w="0" w:type="dxa"/>
            <w:bottom w:w="0" w:type="dxa"/>
          </w:tblCellMar>
        </w:tblPrEx>
        <w:trPr>
          <w:trHeight w:hRule="exact" w:val="274"/>
          <w:jc w:val="center"/>
        </w:trPr>
        <w:tc>
          <w:tcPr>
            <w:tcW w:w="9691" w:type="dxa"/>
            <w:gridSpan w:val="3"/>
            <w:shd w:val="clear" w:color="auto" w:fill="94220B"/>
            <w:vAlign w:val="bottom"/>
          </w:tcPr>
          <w:p w:rsidR="002F54C9" w:rsidRDefault="00712144">
            <w:pPr>
              <w:pStyle w:val="Other10"/>
              <w:pBdr>
                <w:top w:val="single" w:sz="0" w:space="0" w:color="8F1E00"/>
                <w:left w:val="single" w:sz="0" w:space="0" w:color="8F1E00"/>
                <w:bottom w:val="single" w:sz="0" w:space="0" w:color="8F1E00"/>
                <w:right w:val="single" w:sz="0" w:space="0" w:color="8F1E00"/>
              </w:pBdr>
              <w:shd w:val="clear" w:color="auto" w:fill="8F1E00"/>
              <w:spacing w:line="240" w:lineRule="auto"/>
            </w:pPr>
            <w:r>
              <w:rPr>
                <w:rStyle w:val="Other1"/>
                <w:color w:val="F9DBD5"/>
              </w:rPr>
              <w:t>Obchodní cena za dodávku elektřiny</w:t>
            </w:r>
          </w:p>
        </w:tc>
      </w:tr>
      <w:tr w:rsidR="002F54C9">
        <w:tblPrEx>
          <w:tblCellMar>
            <w:top w:w="0" w:type="dxa"/>
            <w:bottom w:w="0" w:type="dxa"/>
          </w:tblCellMar>
        </w:tblPrEx>
        <w:trPr>
          <w:trHeight w:hRule="exact" w:val="230"/>
          <w:jc w:val="center"/>
        </w:trPr>
        <w:tc>
          <w:tcPr>
            <w:tcW w:w="6221" w:type="dxa"/>
            <w:gridSpan w:val="2"/>
            <w:shd w:val="clear" w:color="auto" w:fill="6C696B"/>
            <w:vAlign w:val="bottom"/>
          </w:tcPr>
          <w:p w:rsidR="002F54C9" w:rsidRDefault="00712144">
            <w:pPr>
              <w:pStyle w:val="Other10"/>
              <w:pBdr>
                <w:top w:val="single" w:sz="0" w:space="0" w:color="6B6B6B"/>
                <w:left w:val="single" w:sz="0" w:space="0" w:color="6B6B6B"/>
                <w:bottom w:val="single" w:sz="0" w:space="0" w:color="6B6B6B"/>
                <w:right w:val="single" w:sz="0" w:space="0" w:color="6B6B6B"/>
              </w:pBdr>
              <w:shd w:val="clear" w:color="auto" w:fill="6B6B6B"/>
              <w:spacing w:line="240" w:lineRule="auto"/>
            </w:pPr>
            <w:r>
              <w:rPr>
                <w:rStyle w:val="Other1"/>
                <w:color w:val="FFFFFF"/>
              </w:rPr>
              <w:t>Produkt dodávky elektřiny</w:t>
            </w:r>
          </w:p>
        </w:tc>
        <w:tc>
          <w:tcPr>
            <w:tcW w:w="3470" w:type="dxa"/>
            <w:shd w:val="clear" w:color="auto" w:fill="6C696B"/>
            <w:vAlign w:val="bottom"/>
          </w:tcPr>
          <w:p w:rsidR="002F54C9" w:rsidRDefault="00712144">
            <w:pPr>
              <w:pStyle w:val="Other10"/>
              <w:pBdr>
                <w:top w:val="single" w:sz="0" w:space="0" w:color="6C6C6C"/>
                <w:left w:val="single" w:sz="0" w:space="0" w:color="6C6C6C"/>
                <w:bottom w:val="single" w:sz="0" w:space="0" w:color="6C6C6C"/>
                <w:right w:val="single" w:sz="0" w:space="0" w:color="6C6C6C"/>
              </w:pBdr>
              <w:shd w:val="clear" w:color="auto" w:fill="6C6C6C"/>
              <w:spacing w:line="240" w:lineRule="auto"/>
              <w:ind w:left="1340"/>
              <w:jc w:val="both"/>
            </w:pPr>
            <w:r>
              <w:rPr>
                <w:rStyle w:val="Other1"/>
                <w:color w:val="FFFFFF"/>
                <w:shd w:val="clear" w:color="auto" w:fill="537B7E"/>
              </w:rPr>
              <w:t>Standard</w:t>
            </w:r>
          </w:p>
        </w:tc>
      </w:tr>
      <w:tr w:rsidR="002F54C9">
        <w:tblPrEx>
          <w:tblCellMar>
            <w:top w:w="0" w:type="dxa"/>
            <w:bottom w:w="0" w:type="dxa"/>
          </w:tblCellMar>
        </w:tblPrEx>
        <w:trPr>
          <w:trHeight w:hRule="exact" w:val="245"/>
          <w:jc w:val="center"/>
        </w:trPr>
        <w:tc>
          <w:tcPr>
            <w:tcW w:w="4291" w:type="dxa"/>
            <w:shd w:val="clear" w:color="auto" w:fill="auto"/>
            <w:vAlign w:val="bottom"/>
          </w:tcPr>
          <w:p w:rsidR="002F54C9" w:rsidRDefault="00712144">
            <w:pPr>
              <w:pStyle w:val="Other10"/>
              <w:spacing w:line="240" w:lineRule="auto"/>
            </w:pPr>
            <w:r>
              <w:rPr>
                <w:rStyle w:val="Other1"/>
              </w:rPr>
              <w:t>Cena ve vysokém tarifu (VT)</w:t>
            </w:r>
          </w:p>
        </w:tc>
        <w:tc>
          <w:tcPr>
            <w:tcW w:w="1930" w:type="dxa"/>
            <w:shd w:val="clear" w:color="auto" w:fill="auto"/>
            <w:vAlign w:val="bottom"/>
          </w:tcPr>
          <w:p w:rsidR="002F54C9" w:rsidRDefault="00712144">
            <w:pPr>
              <w:pStyle w:val="Other10"/>
              <w:spacing w:line="240" w:lineRule="auto"/>
            </w:pPr>
            <w:r>
              <w:rPr>
                <w:rStyle w:val="Other1"/>
              </w:rPr>
              <w:t>Kč/</w:t>
            </w:r>
            <w:proofErr w:type="spellStart"/>
            <w:r>
              <w:rPr>
                <w:rStyle w:val="Other1"/>
              </w:rPr>
              <w:t>MWh</w:t>
            </w:r>
            <w:proofErr w:type="spellEnd"/>
          </w:p>
        </w:tc>
        <w:tc>
          <w:tcPr>
            <w:tcW w:w="3470" w:type="dxa"/>
            <w:shd w:val="clear" w:color="auto" w:fill="auto"/>
            <w:vAlign w:val="bottom"/>
          </w:tcPr>
          <w:p w:rsidR="002F54C9" w:rsidRDefault="00712144">
            <w:pPr>
              <w:pStyle w:val="Other10"/>
              <w:spacing w:line="240" w:lineRule="auto"/>
              <w:ind w:left="1340"/>
              <w:jc w:val="both"/>
            </w:pPr>
            <w:r>
              <w:rPr>
                <w:rStyle w:val="Other1"/>
              </w:rPr>
              <w:t>3 324,00</w:t>
            </w:r>
          </w:p>
        </w:tc>
      </w:tr>
      <w:tr w:rsidR="002F54C9">
        <w:tblPrEx>
          <w:tblCellMar>
            <w:top w:w="0" w:type="dxa"/>
            <w:bottom w:w="0" w:type="dxa"/>
          </w:tblCellMar>
        </w:tblPrEx>
        <w:trPr>
          <w:trHeight w:hRule="exact" w:val="230"/>
          <w:jc w:val="center"/>
        </w:trPr>
        <w:tc>
          <w:tcPr>
            <w:tcW w:w="4291" w:type="dxa"/>
            <w:tcBorders>
              <w:top w:val="single" w:sz="4" w:space="0" w:color="auto"/>
            </w:tcBorders>
            <w:shd w:val="clear" w:color="auto" w:fill="auto"/>
            <w:vAlign w:val="bottom"/>
          </w:tcPr>
          <w:p w:rsidR="002F54C9" w:rsidRDefault="00712144">
            <w:pPr>
              <w:pStyle w:val="Other10"/>
              <w:spacing w:line="240" w:lineRule="auto"/>
            </w:pPr>
            <w:r>
              <w:rPr>
                <w:rStyle w:val="Other1"/>
              </w:rPr>
              <w:t>Stálý měsíční plat</w:t>
            </w:r>
          </w:p>
        </w:tc>
        <w:tc>
          <w:tcPr>
            <w:tcW w:w="1930" w:type="dxa"/>
            <w:tcBorders>
              <w:top w:val="single" w:sz="4" w:space="0" w:color="auto"/>
            </w:tcBorders>
            <w:shd w:val="clear" w:color="auto" w:fill="auto"/>
            <w:vAlign w:val="bottom"/>
          </w:tcPr>
          <w:p w:rsidR="002F54C9" w:rsidRDefault="00712144">
            <w:pPr>
              <w:pStyle w:val="Other10"/>
              <w:spacing w:line="240" w:lineRule="auto"/>
              <w:rPr>
                <w:sz w:val="16"/>
                <w:szCs w:val="16"/>
              </w:rPr>
            </w:pPr>
            <w:r>
              <w:rPr>
                <w:rStyle w:val="Other1"/>
                <w:rFonts w:ascii="Times New Roman" w:eastAsia="Times New Roman" w:hAnsi="Times New Roman" w:cs="Times New Roman"/>
                <w:sz w:val="16"/>
                <w:szCs w:val="16"/>
              </w:rPr>
              <w:t>Kč/měsíc</w:t>
            </w:r>
          </w:p>
        </w:tc>
        <w:tc>
          <w:tcPr>
            <w:tcW w:w="3470" w:type="dxa"/>
            <w:tcBorders>
              <w:top w:val="single" w:sz="4" w:space="0" w:color="auto"/>
            </w:tcBorders>
            <w:shd w:val="clear" w:color="auto" w:fill="auto"/>
            <w:vAlign w:val="bottom"/>
          </w:tcPr>
          <w:p w:rsidR="002F54C9" w:rsidRDefault="00712144">
            <w:pPr>
              <w:pStyle w:val="Other10"/>
              <w:spacing w:line="240" w:lineRule="auto"/>
              <w:ind w:left="1420"/>
              <w:jc w:val="both"/>
            </w:pPr>
            <w:r>
              <w:rPr>
                <w:rStyle w:val="Other1"/>
              </w:rPr>
              <w:t>109,00</w:t>
            </w:r>
          </w:p>
        </w:tc>
      </w:tr>
      <w:tr w:rsidR="002F54C9">
        <w:tblPrEx>
          <w:tblCellMar>
            <w:top w:w="0" w:type="dxa"/>
            <w:bottom w:w="0" w:type="dxa"/>
          </w:tblCellMar>
        </w:tblPrEx>
        <w:trPr>
          <w:trHeight w:hRule="exact" w:val="250"/>
          <w:jc w:val="center"/>
        </w:trPr>
        <w:tc>
          <w:tcPr>
            <w:tcW w:w="9691" w:type="dxa"/>
            <w:gridSpan w:val="3"/>
            <w:shd w:val="clear" w:color="auto" w:fill="94220B"/>
            <w:vAlign w:val="bottom"/>
          </w:tcPr>
          <w:p w:rsidR="002F54C9" w:rsidRDefault="00712144">
            <w:pPr>
              <w:pStyle w:val="Other10"/>
              <w:pBdr>
                <w:top w:val="single" w:sz="0" w:space="0" w:color="992515"/>
                <w:left w:val="single" w:sz="0" w:space="0" w:color="992515"/>
                <w:bottom w:val="single" w:sz="0" w:space="0" w:color="992515"/>
                <w:right w:val="single" w:sz="0" w:space="0" w:color="992515"/>
              </w:pBdr>
              <w:shd w:val="clear" w:color="auto" w:fill="992515"/>
              <w:spacing w:line="240" w:lineRule="auto"/>
            </w:pPr>
            <w:r>
              <w:rPr>
                <w:rStyle w:val="Other1"/>
                <w:color w:val="F9DBD5"/>
              </w:rPr>
              <w:t xml:space="preserve">Regulovaná cena (cena za </w:t>
            </w:r>
            <w:r>
              <w:rPr>
                <w:rStyle w:val="Other1"/>
                <w:color w:val="F9DBD5"/>
              </w:rPr>
              <w:t>související služby v elektroenergetice)</w:t>
            </w:r>
          </w:p>
        </w:tc>
      </w:tr>
      <w:tr w:rsidR="002F54C9">
        <w:tblPrEx>
          <w:tblCellMar>
            <w:top w:w="0" w:type="dxa"/>
            <w:bottom w:w="0" w:type="dxa"/>
          </w:tblCellMar>
        </w:tblPrEx>
        <w:trPr>
          <w:trHeight w:hRule="exact" w:val="235"/>
          <w:jc w:val="center"/>
        </w:trPr>
        <w:tc>
          <w:tcPr>
            <w:tcW w:w="4291" w:type="dxa"/>
            <w:shd w:val="clear" w:color="auto" w:fill="6C696B"/>
            <w:vAlign w:val="bottom"/>
          </w:tcPr>
          <w:p w:rsidR="002F54C9" w:rsidRDefault="00712144">
            <w:pPr>
              <w:pStyle w:val="Other10"/>
              <w:pBdr>
                <w:top w:val="single" w:sz="0" w:space="0" w:color="6E696A"/>
                <w:left w:val="single" w:sz="0" w:space="0" w:color="6E696A"/>
                <w:bottom w:val="single" w:sz="0" w:space="0" w:color="6E696A"/>
                <w:right w:val="single" w:sz="0" w:space="0" w:color="6E696A"/>
              </w:pBdr>
              <w:shd w:val="clear" w:color="auto" w:fill="6E696A"/>
              <w:spacing w:line="240" w:lineRule="auto"/>
            </w:pPr>
            <w:r>
              <w:rPr>
                <w:rStyle w:val="Other1"/>
                <w:color w:val="FFFFFF"/>
              </w:rPr>
              <w:t>Distribuované množství elektřiny</w:t>
            </w:r>
          </w:p>
        </w:tc>
        <w:tc>
          <w:tcPr>
            <w:tcW w:w="1930" w:type="dxa"/>
            <w:shd w:val="clear" w:color="auto" w:fill="6C696B"/>
          </w:tcPr>
          <w:p w:rsidR="002F54C9" w:rsidRDefault="002F54C9">
            <w:pPr>
              <w:rPr>
                <w:sz w:val="10"/>
                <w:szCs w:val="10"/>
              </w:rPr>
            </w:pPr>
          </w:p>
        </w:tc>
        <w:tc>
          <w:tcPr>
            <w:tcW w:w="3470" w:type="dxa"/>
            <w:shd w:val="clear" w:color="auto" w:fill="6C696B"/>
            <w:vAlign w:val="bottom"/>
          </w:tcPr>
          <w:p w:rsidR="002F54C9" w:rsidRDefault="00712144">
            <w:pPr>
              <w:pStyle w:val="Other10"/>
              <w:pBdr>
                <w:top w:val="single" w:sz="0" w:space="0" w:color="6D6C6E"/>
                <w:left w:val="single" w:sz="0" w:space="0" w:color="6D6C6E"/>
                <w:bottom w:val="single" w:sz="0" w:space="0" w:color="6D6C6E"/>
                <w:right w:val="single" w:sz="0" w:space="0" w:color="6D6C6E"/>
              </w:pBdr>
              <w:shd w:val="clear" w:color="auto" w:fill="6D6C6E"/>
              <w:spacing w:line="240" w:lineRule="auto"/>
              <w:ind w:firstLine="880"/>
              <w:jc w:val="both"/>
            </w:pPr>
            <w:r>
              <w:rPr>
                <w:rStyle w:val="Other1"/>
                <w:color w:val="FFFFFF"/>
              </w:rPr>
              <w:t>Distribuční sazba C02d</w:t>
            </w:r>
          </w:p>
        </w:tc>
      </w:tr>
      <w:tr w:rsidR="002F54C9">
        <w:tblPrEx>
          <w:tblCellMar>
            <w:top w:w="0" w:type="dxa"/>
            <w:bottom w:w="0" w:type="dxa"/>
          </w:tblCellMar>
        </w:tblPrEx>
        <w:trPr>
          <w:trHeight w:hRule="exact" w:val="235"/>
          <w:jc w:val="center"/>
        </w:trPr>
        <w:tc>
          <w:tcPr>
            <w:tcW w:w="4291" w:type="dxa"/>
            <w:shd w:val="clear" w:color="auto" w:fill="auto"/>
            <w:vAlign w:val="bottom"/>
          </w:tcPr>
          <w:p w:rsidR="002F54C9" w:rsidRDefault="00712144">
            <w:pPr>
              <w:pStyle w:val="Other10"/>
              <w:spacing w:line="240" w:lineRule="auto"/>
            </w:pPr>
            <w:r>
              <w:rPr>
                <w:rStyle w:val="Other1"/>
              </w:rPr>
              <w:t>Cena ve vysokém tarifu (VT)</w:t>
            </w:r>
          </w:p>
        </w:tc>
        <w:tc>
          <w:tcPr>
            <w:tcW w:w="1930" w:type="dxa"/>
            <w:shd w:val="clear" w:color="auto" w:fill="auto"/>
            <w:vAlign w:val="bottom"/>
          </w:tcPr>
          <w:p w:rsidR="002F54C9" w:rsidRDefault="00712144">
            <w:pPr>
              <w:pStyle w:val="Other10"/>
              <w:spacing w:line="240" w:lineRule="auto"/>
            </w:pPr>
            <w:r>
              <w:rPr>
                <w:rStyle w:val="Other1"/>
              </w:rPr>
              <w:t>Kč/</w:t>
            </w:r>
            <w:proofErr w:type="spellStart"/>
            <w:r>
              <w:rPr>
                <w:rStyle w:val="Other1"/>
              </w:rPr>
              <w:t>MWh</w:t>
            </w:r>
            <w:proofErr w:type="spellEnd"/>
          </w:p>
        </w:tc>
        <w:tc>
          <w:tcPr>
            <w:tcW w:w="3470" w:type="dxa"/>
            <w:shd w:val="clear" w:color="auto" w:fill="auto"/>
            <w:vAlign w:val="bottom"/>
          </w:tcPr>
          <w:p w:rsidR="002F54C9" w:rsidRDefault="00712144">
            <w:pPr>
              <w:pStyle w:val="Other10"/>
              <w:spacing w:line="240" w:lineRule="auto"/>
              <w:ind w:left="1340"/>
              <w:jc w:val="both"/>
            </w:pPr>
            <w:r>
              <w:rPr>
                <w:rStyle w:val="Other1"/>
              </w:rPr>
              <w:t>3 046,31</w:t>
            </w:r>
          </w:p>
        </w:tc>
      </w:tr>
      <w:tr w:rsidR="002F54C9">
        <w:tblPrEx>
          <w:tblCellMar>
            <w:top w:w="0" w:type="dxa"/>
            <w:bottom w:w="0" w:type="dxa"/>
          </w:tblCellMar>
        </w:tblPrEx>
        <w:trPr>
          <w:trHeight w:hRule="exact" w:val="240"/>
          <w:jc w:val="center"/>
        </w:trPr>
        <w:tc>
          <w:tcPr>
            <w:tcW w:w="9691" w:type="dxa"/>
            <w:gridSpan w:val="3"/>
            <w:shd w:val="clear" w:color="auto" w:fill="6C696B"/>
            <w:vAlign w:val="bottom"/>
          </w:tcPr>
          <w:p w:rsidR="002F54C9" w:rsidRDefault="00712144">
            <w:pPr>
              <w:pStyle w:val="Other10"/>
              <w:pBdr>
                <w:top w:val="single" w:sz="0" w:space="0" w:color="5A5A5A"/>
                <w:left w:val="single" w:sz="0" w:space="0" w:color="5A5A5A"/>
                <w:bottom w:val="single" w:sz="0" w:space="0" w:color="5A5A5A"/>
                <w:right w:val="single" w:sz="0" w:space="0" w:color="5A5A5A"/>
              </w:pBdr>
              <w:shd w:val="clear" w:color="auto" w:fill="5A5A5A"/>
              <w:spacing w:line="240" w:lineRule="auto"/>
            </w:pPr>
            <w:r>
              <w:rPr>
                <w:rStyle w:val="Other1"/>
                <w:color w:val="FFFFFF"/>
              </w:rPr>
              <w:t>Měsíční plat za příkon dle proudové hodnoty hlavního jističe</w:t>
            </w:r>
          </w:p>
        </w:tc>
      </w:tr>
      <w:tr w:rsidR="002F54C9">
        <w:tblPrEx>
          <w:tblCellMar>
            <w:top w:w="0" w:type="dxa"/>
            <w:bottom w:w="0" w:type="dxa"/>
          </w:tblCellMar>
        </w:tblPrEx>
        <w:trPr>
          <w:trHeight w:hRule="exact" w:val="240"/>
          <w:jc w:val="center"/>
        </w:trPr>
        <w:tc>
          <w:tcPr>
            <w:tcW w:w="4291" w:type="dxa"/>
            <w:shd w:val="clear" w:color="auto" w:fill="auto"/>
            <w:vAlign w:val="bottom"/>
          </w:tcPr>
          <w:p w:rsidR="002F54C9" w:rsidRDefault="00712144">
            <w:pPr>
              <w:pStyle w:val="Other10"/>
              <w:spacing w:line="240" w:lineRule="auto"/>
            </w:pPr>
            <w:r>
              <w:rPr>
                <w:rStyle w:val="Other1"/>
              </w:rPr>
              <w:t>Jistič 1x20 A</w:t>
            </w:r>
          </w:p>
        </w:tc>
        <w:tc>
          <w:tcPr>
            <w:tcW w:w="1930" w:type="dxa"/>
            <w:shd w:val="clear" w:color="auto" w:fill="auto"/>
            <w:vAlign w:val="bottom"/>
          </w:tcPr>
          <w:p w:rsidR="002F54C9" w:rsidRDefault="00712144">
            <w:pPr>
              <w:pStyle w:val="Other10"/>
              <w:spacing w:line="240" w:lineRule="auto"/>
            </w:pPr>
            <w:r>
              <w:rPr>
                <w:rStyle w:val="Other1"/>
              </w:rPr>
              <w:t>Kč/měsíc</w:t>
            </w:r>
          </w:p>
        </w:tc>
        <w:tc>
          <w:tcPr>
            <w:tcW w:w="3470" w:type="dxa"/>
            <w:shd w:val="clear" w:color="auto" w:fill="auto"/>
            <w:vAlign w:val="bottom"/>
          </w:tcPr>
          <w:p w:rsidR="002F54C9" w:rsidRDefault="00712144">
            <w:pPr>
              <w:pStyle w:val="Other10"/>
              <w:spacing w:line="240" w:lineRule="auto"/>
              <w:ind w:left="1420"/>
              <w:jc w:val="both"/>
            </w:pPr>
            <w:r>
              <w:rPr>
                <w:rStyle w:val="Other1"/>
              </w:rPr>
              <w:t>144,00</w:t>
            </w:r>
          </w:p>
        </w:tc>
      </w:tr>
      <w:tr w:rsidR="002F54C9">
        <w:tblPrEx>
          <w:tblCellMar>
            <w:top w:w="0" w:type="dxa"/>
            <w:bottom w:w="0" w:type="dxa"/>
          </w:tblCellMar>
        </w:tblPrEx>
        <w:trPr>
          <w:trHeight w:hRule="exact" w:val="235"/>
          <w:jc w:val="center"/>
        </w:trPr>
        <w:tc>
          <w:tcPr>
            <w:tcW w:w="9691" w:type="dxa"/>
            <w:gridSpan w:val="3"/>
            <w:shd w:val="clear" w:color="auto" w:fill="454545"/>
            <w:vAlign w:val="bottom"/>
          </w:tcPr>
          <w:p w:rsidR="002F54C9" w:rsidRDefault="00712144">
            <w:pPr>
              <w:pStyle w:val="Other10"/>
              <w:pBdr>
                <w:top w:val="single" w:sz="0" w:space="0" w:color="454545"/>
                <w:left w:val="single" w:sz="0" w:space="0" w:color="454545"/>
                <w:bottom w:val="single" w:sz="0" w:space="0" w:color="454545"/>
                <w:right w:val="single" w:sz="0" w:space="0" w:color="454545"/>
              </w:pBdr>
              <w:shd w:val="clear" w:color="auto" w:fill="454545"/>
              <w:spacing w:line="240" w:lineRule="auto"/>
            </w:pPr>
            <w:r>
              <w:rPr>
                <w:rStyle w:val="Other1"/>
                <w:color w:val="FFFFFF"/>
              </w:rPr>
              <w:t xml:space="preserve">Ostatní regulované </w:t>
            </w:r>
            <w:r>
              <w:rPr>
                <w:rStyle w:val="Other1"/>
                <w:color w:val="FFFFFF"/>
              </w:rPr>
              <w:t>služby a daně</w:t>
            </w:r>
          </w:p>
        </w:tc>
      </w:tr>
      <w:tr w:rsidR="002F54C9">
        <w:tblPrEx>
          <w:tblCellMar>
            <w:top w:w="0" w:type="dxa"/>
            <w:bottom w:w="0" w:type="dxa"/>
          </w:tblCellMar>
        </w:tblPrEx>
        <w:trPr>
          <w:trHeight w:hRule="exact" w:val="235"/>
          <w:jc w:val="center"/>
        </w:trPr>
        <w:tc>
          <w:tcPr>
            <w:tcW w:w="4291" w:type="dxa"/>
            <w:shd w:val="clear" w:color="auto" w:fill="auto"/>
            <w:vAlign w:val="bottom"/>
          </w:tcPr>
          <w:p w:rsidR="002F54C9" w:rsidRDefault="00712144">
            <w:pPr>
              <w:pStyle w:val="Other10"/>
              <w:spacing w:line="240" w:lineRule="auto"/>
            </w:pPr>
            <w:r>
              <w:rPr>
                <w:rStyle w:val="Other1"/>
              </w:rPr>
              <w:t>Daň z elektřiny</w:t>
            </w:r>
          </w:p>
        </w:tc>
        <w:tc>
          <w:tcPr>
            <w:tcW w:w="1930" w:type="dxa"/>
            <w:shd w:val="clear" w:color="auto" w:fill="auto"/>
            <w:vAlign w:val="bottom"/>
          </w:tcPr>
          <w:p w:rsidR="002F54C9" w:rsidRDefault="00712144">
            <w:pPr>
              <w:pStyle w:val="Other10"/>
              <w:spacing w:line="240" w:lineRule="auto"/>
            </w:pPr>
            <w:r>
              <w:rPr>
                <w:rStyle w:val="Other1"/>
              </w:rPr>
              <w:t>Kč/</w:t>
            </w:r>
            <w:proofErr w:type="spellStart"/>
            <w:r>
              <w:rPr>
                <w:rStyle w:val="Other1"/>
              </w:rPr>
              <w:t>MWh</w:t>
            </w:r>
            <w:proofErr w:type="spellEnd"/>
          </w:p>
        </w:tc>
        <w:tc>
          <w:tcPr>
            <w:tcW w:w="3470" w:type="dxa"/>
            <w:shd w:val="clear" w:color="auto" w:fill="auto"/>
            <w:vAlign w:val="bottom"/>
          </w:tcPr>
          <w:p w:rsidR="002F54C9" w:rsidRDefault="00712144">
            <w:pPr>
              <w:pStyle w:val="Other10"/>
              <w:spacing w:line="240" w:lineRule="auto"/>
              <w:ind w:left="1420"/>
              <w:jc w:val="both"/>
            </w:pPr>
            <w:r>
              <w:rPr>
                <w:rStyle w:val="Other1"/>
              </w:rPr>
              <w:t>28,30</w:t>
            </w:r>
          </w:p>
        </w:tc>
      </w:tr>
      <w:tr w:rsidR="002F54C9">
        <w:tblPrEx>
          <w:tblCellMar>
            <w:top w:w="0" w:type="dxa"/>
            <w:bottom w:w="0" w:type="dxa"/>
          </w:tblCellMar>
        </w:tblPrEx>
        <w:trPr>
          <w:trHeight w:hRule="exact" w:val="240"/>
          <w:jc w:val="center"/>
        </w:trPr>
        <w:tc>
          <w:tcPr>
            <w:tcW w:w="4291" w:type="dxa"/>
            <w:tcBorders>
              <w:top w:val="single" w:sz="4" w:space="0" w:color="auto"/>
            </w:tcBorders>
            <w:shd w:val="clear" w:color="auto" w:fill="auto"/>
            <w:vAlign w:val="bottom"/>
          </w:tcPr>
          <w:p w:rsidR="002F54C9" w:rsidRDefault="00712144">
            <w:pPr>
              <w:pStyle w:val="Other10"/>
              <w:spacing w:line="240" w:lineRule="auto"/>
            </w:pPr>
            <w:r>
              <w:rPr>
                <w:rStyle w:val="Other1"/>
              </w:rPr>
              <w:t>Cena za systémové služby</w:t>
            </w:r>
          </w:p>
        </w:tc>
        <w:tc>
          <w:tcPr>
            <w:tcW w:w="1930" w:type="dxa"/>
            <w:tcBorders>
              <w:top w:val="single" w:sz="4" w:space="0" w:color="auto"/>
            </w:tcBorders>
            <w:shd w:val="clear" w:color="auto" w:fill="auto"/>
            <w:vAlign w:val="bottom"/>
          </w:tcPr>
          <w:p w:rsidR="002F54C9" w:rsidRDefault="00712144">
            <w:pPr>
              <w:pStyle w:val="Other10"/>
              <w:spacing w:line="240" w:lineRule="auto"/>
            </w:pPr>
            <w:r>
              <w:rPr>
                <w:rStyle w:val="Other1"/>
              </w:rPr>
              <w:t>Kč/</w:t>
            </w:r>
            <w:proofErr w:type="spellStart"/>
            <w:r>
              <w:rPr>
                <w:rStyle w:val="Other1"/>
              </w:rPr>
              <w:t>MWh</w:t>
            </w:r>
            <w:proofErr w:type="spellEnd"/>
          </w:p>
        </w:tc>
        <w:tc>
          <w:tcPr>
            <w:tcW w:w="3470" w:type="dxa"/>
            <w:tcBorders>
              <w:top w:val="single" w:sz="4" w:space="0" w:color="auto"/>
            </w:tcBorders>
            <w:shd w:val="clear" w:color="auto" w:fill="auto"/>
            <w:vAlign w:val="bottom"/>
          </w:tcPr>
          <w:p w:rsidR="002F54C9" w:rsidRDefault="00712144">
            <w:pPr>
              <w:pStyle w:val="Other10"/>
              <w:spacing w:line="240" w:lineRule="auto"/>
              <w:ind w:left="1420"/>
              <w:jc w:val="both"/>
            </w:pPr>
            <w:r>
              <w:rPr>
                <w:rStyle w:val="Other1"/>
              </w:rPr>
              <w:t>170,92</w:t>
            </w:r>
          </w:p>
        </w:tc>
      </w:tr>
      <w:tr w:rsidR="002F54C9">
        <w:tblPrEx>
          <w:tblCellMar>
            <w:top w:w="0" w:type="dxa"/>
            <w:bottom w:w="0" w:type="dxa"/>
          </w:tblCellMar>
        </w:tblPrEx>
        <w:trPr>
          <w:trHeight w:hRule="exact" w:val="240"/>
          <w:jc w:val="center"/>
        </w:trPr>
        <w:tc>
          <w:tcPr>
            <w:tcW w:w="4291" w:type="dxa"/>
            <w:tcBorders>
              <w:top w:val="single" w:sz="4" w:space="0" w:color="auto"/>
            </w:tcBorders>
            <w:shd w:val="clear" w:color="auto" w:fill="auto"/>
            <w:vAlign w:val="bottom"/>
          </w:tcPr>
          <w:p w:rsidR="002F54C9" w:rsidRDefault="00712144">
            <w:pPr>
              <w:pStyle w:val="Other10"/>
              <w:spacing w:line="240" w:lineRule="auto"/>
            </w:pPr>
            <w:r>
              <w:rPr>
                <w:rStyle w:val="Other1"/>
              </w:rPr>
              <w:t>Cena za provoz nesíťové infrastruktury</w:t>
            </w:r>
          </w:p>
        </w:tc>
        <w:tc>
          <w:tcPr>
            <w:tcW w:w="1930" w:type="dxa"/>
            <w:tcBorders>
              <w:top w:val="single" w:sz="4" w:space="0" w:color="auto"/>
            </w:tcBorders>
            <w:shd w:val="clear" w:color="auto" w:fill="auto"/>
            <w:vAlign w:val="bottom"/>
          </w:tcPr>
          <w:p w:rsidR="002F54C9" w:rsidRDefault="00712144">
            <w:pPr>
              <w:pStyle w:val="Other10"/>
              <w:spacing w:line="240" w:lineRule="auto"/>
            </w:pPr>
            <w:r>
              <w:rPr>
                <w:rStyle w:val="Other1"/>
              </w:rPr>
              <w:t>Kč/odběrné místo/měsíc</w:t>
            </w:r>
          </w:p>
        </w:tc>
        <w:tc>
          <w:tcPr>
            <w:tcW w:w="3470" w:type="dxa"/>
            <w:tcBorders>
              <w:top w:val="single" w:sz="4" w:space="0" w:color="auto"/>
            </w:tcBorders>
            <w:shd w:val="clear" w:color="auto" w:fill="auto"/>
            <w:vAlign w:val="bottom"/>
          </w:tcPr>
          <w:p w:rsidR="002F54C9" w:rsidRDefault="00712144">
            <w:pPr>
              <w:pStyle w:val="Other10"/>
              <w:spacing w:line="240" w:lineRule="auto"/>
              <w:ind w:left="1420"/>
              <w:jc w:val="both"/>
            </w:pPr>
            <w:r>
              <w:rPr>
                <w:rStyle w:val="Other1"/>
              </w:rPr>
              <w:t>10,84</w:t>
            </w:r>
          </w:p>
        </w:tc>
      </w:tr>
      <w:tr w:rsidR="002F54C9">
        <w:tblPrEx>
          <w:tblCellMar>
            <w:top w:w="0" w:type="dxa"/>
            <w:bottom w:w="0" w:type="dxa"/>
          </w:tblCellMar>
        </w:tblPrEx>
        <w:trPr>
          <w:trHeight w:hRule="exact" w:val="245"/>
          <w:jc w:val="center"/>
        </w:trPr>
        <w:tc>
          <w:tcPr>
            <w:tcW w:w="4291" w:type="dxa"/>
            <w:tcBorders>
              <w:top w:val="single" w:sz="4" w:space="0" w:color="auto"/>
            </w:tcBorders>
            <w:shd w:val="clear" w:color="auto" w:fill="auto"/>
            <w:vAlign w:val="bottom"/>
          </w:tcPr>
          <w:p w:rsidR="002F54C9" w:rsidRDefault="00712144">
            <w:pPr>
              <w:pStyle w:val="Other10"/>
              <w:spacing w:line="240" w:lineRule="auto"/>
            </w:pPr>
            <w:r>
              <w:rPr>
                <w:rStyle w:val="Other1"/>
              </w:rPr>
              <w:t>Cena na podporu elektřiny z podporovaných zdrojů energie</w:t>
            </w:r>
          </w:p>
        </w:tc>
        <w:tc>
          <w:tcPr>
            <w:tcW w:w="1930" w:type="dxa"/>
            <w:tcBorders>
              <w:top w:val="single" w:sz="4" w:space="0" w:color="auto"/>
            </w:tcBorders>
            <w:shd w:val="clear" w:color="auto" w:fill="auto"/>
            <w:vAlign w:val="bottom"/>
          </w:tcPr>
          <w:p w:rsidR="002F54C9" w:rsidRDefault="00712144">
            <w:pPr>
              <w:pStyle w:val="Other10"/>
              <w:spacing w:line="240" w:lineRule="auto"/>
            </w:pPr>
            <w:r>
              <w:rPr>
                <w:rStyle w:val="Other1"/>
              </w:rPr>
              <w:t>dle jističe v Kč/A/měsíc</w:t>
            </w:r>
          </w:p>
        </w:tc>
        <w:tc>
          <w:tcPr>
            <w:tcW w:w="3470" w:type="dxa"/>
            <w:tcBorders>
              <w:top w:val="single" w:sz="4" w:space="0" w:color="auto"/>
            </w:tcBorders>
            <w:shd w:val="clear" w:color="auto" w:fill="auto"/>
            <w:vAlign w:val="bottom"/>
          </w:tcPr>
          <w:p w:rsidR="002F54C9" w:rsidRDefault="00712144">
            <w:pPr>
              <w:pStyle w:val="Other10"/>
              <w:spacing w:line="240" w:lineRule="auto"/>
              <w:ind w:left="1420"/>
              <w:jc w:val="both"/>
            </w:pPr>
            <w:r>
              <w:rPr>
                <w:rStyle w:val="Other1"/>
              </w:rPr>
              <w:t>84,70</w:t>
            </w:r>
          </w:p>
        </w:tc>
      </w:tr>
      <w:tr w:rsidR="002F54C9">
        <w:tblPrEx>
          <w:tblCellMar>
            <w:top w:w="0" w:type="dxa"/>
            <w:bottom w:w="0" w:type="dxa"/>
          </w:tblCellMar>
        </w:tblPrEx>
        <w:trPr>
          <w:trHeight w:hRule="exact" w:val="235"/>
          <w:jc w:val="center"/>
        </w:trPr>
        <w:tc>
          <w:tcPr>
            <w:tcW w:w="4291" w:type="dxa"/>
            <w:shd w:val="clear" w:color="auto" w:fill="auto"/>
            <w:vAlign w:val="bottom"/>
          </w:tcPr>
          <w:p w:rsidR="002F54C9" w:rsidRDefault="00712144">
            <w:pPr>
              <w:pStyle w:val="Other10"/>
              <w:spacing w:line="240" w:lineRule="auto"/>
            </w:pPr>
            <w:r>
              <w:rPr>
                <w:rStyle w:val="Other1"/>
              </w:rPr>
              <w:t>(PÓZE)</w:t>
            </w:r>
          </w:p>
        </w:tc>
        <w:tc>
          <w:tcPr>
            <w:tcW w:w="1930" w:type="dxa"/>
            <w:tcBorders>
              <w:top w:val="single" w:sz="4" w:space="0" w:color="auto"/>
            </w:tcBorders>
            <w:shd w:val="clear" w:color="auto" w:fill="auto"/>
            <w:vAlign w:val="bottom"/>
          </w:tcPr>
          <w:p w:rsidR="002F54C9" w:rsidRDefault="00712144">
            <w:pPr>
              <w:pStyle w:val="Other10"/>
              <w:spacing w:line="240" w:lineRule="auto"/>
            </w:pPr>
            <w:r>
              <w:rPr>
                <w:rStyle w:val="Other1"/>
              </w:rPr>
              <w:t xml:space="preserve">dle </w:t>
            </w:r>
            <w:r>
              <w:rPr>
                <w:rStyle w:val="Other1"/>
              </w:rPr>
              <w:t>spotřeby v Kč/</w:t>
            </w:r>
            <w:proofErr w:type="spellStart"/>
            <w:r>
              <w:rPr>
                <w:rStyle w:val="Other1"/>
              </w:rPr>
              <w:t>MWh</w:t>
            </w:r>
            <w:proofErr w:type="spellEnd"/>
          </w:p>
        </w:tc>
        <w:tc>
          <w:tcPr>
            <w:tcW w:w="3470" w:type="dxa"/>
            <w:tcBorders>
              <w:top w:val="single" w:sz="4" w:space="0" w:color="auto"/>
            </w:tcBorders>
            <w:shd w:val="clear" w:color="auto" w:fill="auto"/>
            <w:vAlign w:val="bottom"/>
          </w:tcPr>
          <w:p w:rsidR="002F54C9" w:rsidRDefault="00712144">
            <w:pPr>
              <w:pStyle w:val="Other10"/>
              <w:spacing w:line="240" w:lineRule="auto"/>
              <w:ind w:left="1420"/>
              <w:jc w:val="both"/>
            </w:pPr>
            <w:r>
              <w:rPr>
                <w:rStyle w:val="Other1"/>
              </w:rPr>
              <w:t>495,00</w:t>
            </w:r>
          </w:p>
        </w:tc>
      </w:tr>
      <w:tr w:rsidR="002F54C9">
        <w:tblPrEx>
          <w:tblCellMar>
            <w:top w:w="0" w:type="dxa"/>
            <w:bottom w:w="0" w:type="dxa"/>
          </w:tblCellMar>
        </w:tblPrEx>
        <w:trPr>
          <w:trHeight w:hRule="exact" w:val="240"/>
          <w:jc w:val="center"/>
        </w:trPr>
        <w:tc>
          <w:tcPr>
            <w:tcW w:w="9691" w:type="dxa"/>
            <w:gridSpan w:val="3"/>
            <w:shd w:val="clear" w:color="auto" w:fill="670000"/>
            <w:vAlign w:val="bottom"/>
          </w:tcPr>
          <w:p w:rsidR="002F54C9" w:rsidRDefault="00712144">
            <w:pPr>
              <w:pStyle w:val="Other10"/>
              <w:pBdr>
                <w:top w:val="single" w:sz="0" w:space="0" w:color="670000"/>
                <w:left w:val="single" w:sz="0" w:space="0" w:color="670000"/>
                <w:bottom w:val="single" w:sz="0" w:space="0" w:color="670000"/>
                <w:right w:val="single" w:sz="0" w:space="0" w:color="670000"/>
              </w:pBdr>
              <w:shd w:val="clear" w:color="auto" w:fill="670000"/>
              <w:spacing w:line="240" w:lineRule="auto"/>
            </w:pPr>
            <w:r>
              <w:rPr>
                <w:rStyle w:val="Other1"/>
                <w:color w:val="F9DBD5"/>
              </w:rPr>
              <w:t>Celková jednotková cena elektřiny</w:t>
            </w:r>
          </w:p>
        </w:tc>
      </w:tr>
      <w:tr w:rsidR="002F54C9">
        <w:tblPrEx>
          <w:tblCellMar>
            <w:top w:w="0" w:type="dxa"/>
            <w:bottom w:w="0" w:type="dxa"/>
          </w:tblCellMar>
        </w:tblPrEx>
        <w:trPr>
          <w:trHeight w:hRule="exact" w:val="230"/>
          <w:jc w:val="center"/>
        </w:trPr>
        <w:tc>
          <w:tcPr>
            <w:tcW w:w="4291" w:type="dxa"/>
            <w:shd w:val="clear" w:color="auto" w:fill="auto"/>
            <w:vAlign w:val="bottom"/>
          </w:tcPr>
          <w:p w:rsidR="002F54C9" w:rsidRDefault="00712144">
            <w:pPr>
              <w:pStyle w:val="Other10"/>
              <w:spacing w:line="240" w:lineRule="auto"/>
            </w:pPr>
            <w:r>
              <w:rPr>
                <w:rStyle w:val="Other1"/>
              </w:rPr>
              <w:t>Cena ve vysokém tarifu (VT)</w:t>
            </w:r>
          </w:p>
        </w:tc>
        <w:tc>
          <w:tcPr>
            <w:tcW w:w="1930" w:type="dxa"/>
            <w:shd w:val="clear" w:color="auto" w:fill="auto"/>
            <w:vAlign w:val="bottom"/>
          </w:tcPr>
          <w:p w:rsidR="002F54C9" w:rsidRDefault="00712144">
            <w:pPr>
              <w:pStyle w:val="Other10"/>
              <w:spacing w:line="240" w:lineRule="auto"/>
            </w:pPr>
            <w:r>
              <w:rPr>
                <w:rStyle w:val="Other1"/>
              </w:rPr>
              <w:t>Kč/</w:t>
            </w:r>
            <w:proofErr w:type="spellStart"/>
            <w:r>
              <w:rPr>
                <w:rStyle w:val="Other1"/>
              </w:rPr>
              <w:t>MWh</w:t>
            </w:r>
            <w:proofErr w:type="spellEnd"/>
          </w:p>
        </w:tc>
        <w:tc>
          <w:tcPr>
            <w:tcW w:w="3470" w:type="dxa"/>
            <w:shd w:val="clear" w:color="auto" w:fill="auto"/>
            <w:vAlign w:val="bottom"/>
          </w:tcPr>
          <w:p w:rsidR="002F54C9" w:rsidRDefault="00712144">
            <w:pPr>
              <w:pStyle w:val="Other10"/>
              <w:spacing w:line="240" w:lineRule="auto"/>
              <w:ind w:left="1340"/>
              <w:jc w:val="both"/>
            </w:pPr>
            <w:r>
              <w:rPr>
                <w:rStyle w:val="Other1"/>
              </w:rPr>
              <w:t>6 569,53</w:t>
            </w:r>
          </w:p>
        </w:tc>
      </w:tr>
      <w:tr w:rsidR="002F54C9">
        <w:tblPrEx>
          <w:tblCellMar>
            <w:top w:w="0" w:type="dxa"/>
            <w:bottom w:w="0" w:type="dxa"/>
          </w:tblCellMar>
        </w:tblPrEx>
        <w:trPr>
          <w:trHeight w:hRule="exact" w:val="240"/>
          <w:jc w:val="center"/>
        </w:trPr>
        <w:tc>
          <w:tcPr>
            <w:tcW w:w="4291" w:type="dxa"/>
            <w:tcBorders>
              <w:top w:val="single" w:sz="4" w:space="0" w:color="auto"/>
            </w:tcBorders>
            <w:shd w:val="clear" w:color="auto" w:fill="auto"/>
            <w:vAlign w:val="bottom"/>
          </w:tcPr>
          <w:p w:rsidR="002F54C9" w:rsidRDefault="00712144">
            <w:pPr>
              <w:pStyle w:val="Other10"/>
              <w:spacing w:line="240" w:lineRule="auto"/>
            </w:pPr>
            <w:r>
              <w:rPr>
                <w:rStyle w:val="Other1"/>
              </w:rPr>
              <w:t>Měsíční platby</w:t>
            </w:r>
          </w:p>
        </w:tc>
        <w:tc>
          <w:tcPr>
            <w:tcW w:w="1930" w:type="dxa"/>
            <w:tcBorders>
              <w:top w:val="single" w:sz="4" w:space="0" w:color="auto"/>
            </w:tcBorders>
            <w:shd w:val="clear" w:color="auto" w:fill="auto"/>
            <w:vAlign w:val="bottom"/>
          </w:tcPr>
          <w:p w:rsidR="002F54C9" w:rsidRDefault="00712144">
            <w:pPr>
              <w:pStyle w:val="Other10"/>
              <w:spacing w:line="240" w:lineRule="auto"/>
            </w:pPr>
            <w:r>
              <w:rPr>
                <w:rStyle w:val="Other1"/>
              </w:rPr>
              <w:t>Kč/měsíc</w:t>
            </w:r>
          </w:p>
        </w:tc>
        <w:tc>
          <w:tcPr>
            <w:tcW w:w="3470" w:type="dxa"/>
            <w:tcBorders>
              <w:top w:val="single" w:sz="4" w:space="0" w:color="auto"/>
            </w:tcBorders>
            <w:shd w:val="clear" w:color="auto" w:fill="auto"/>
            <w:vAlign w:val="bottom"/>
          </w:tcPr>
          <w:p w:rsidR="002F54C9" w:rsidRDefault="00712144">
            <w:pPr>
              <w:pStyle w:val="Other10"/>
              <w:spacing w:line="240" w:lineRule="auto"/>
              <w:ind w:left="1420"/>
              <w:jc w:val="both"/>
            </w:pPr>
            <w:r>
              <w:rPr>
                <w:rStyle w:val="Other1"/>
              </w:rPr>
              <w:t>263,84</w:t>
            </w:r>
          </w:p>
        </w:tc>
      </w:tr>
      <w:tr w:rsidR="002F54C9">
        <w:tblPrEx>
          <w:tblCellMar>
            <w:top w:w="0" w:type="dxa"/>
            <w:bottom w:w="0" w:type="dxa"/>
          </w:tblCellMar>
        </w:tblPrEx>
        <w:trPr>
          <w:trHeight w:hRule="exact" w:val="456"/>
          <w:jc w:val="center"/>
        </w:trPr>
        <w:tc>
          <w:tcPr>
            <w:tcW w:w="4291" w:type="dxa"/>
            <w:tcBorders>
              <w:top w:val="single" w:sz="4" w:space="0" w:color="auto"/>
              <w:bottom w:val="single" w:sz="4" w:space="0" w:color="auto"/>
            </w:tcBorders>
            <w:shd w:val="clear" w:color="auto" w:fill="auto"/>
            <w:vAlign w:val="bottom"/>
          </w:tcPr>
          <w:p w:rsidR="002F54C9" w:rsidRDefault="00712144">
            <w:pPr>
              <w:pStyle w:val="Other10"/>
              <w:spacing w:line="307" w:lineRule="auto"/>
            </w:pPr>
            <w:r>
              <w:rPr>
                <w:rStyle w:val="Other1"/>
              </w:rPr>
              <w:t>Cena na podporu elektřiny z podporovaných zdrojů energie (PÓZE)</w:t>
            </w:r>
          </w:p>
        </w:tc>
        <w:tc>
          <w:tcPr>
            <w:tcW w:w="1930" w:type="dxa"/>
            <w:tcBorders>
              <w:top w:val="single" w:sz="4" w:space="0" w:color="auto"/>
              <w:bottom w:val="single" w:sz="4" w:space="0" w:color="auto"/>
            </w:tcBorders>
            <w:shd w:val="clear" w:color="auto" w:fill="auto"/>
          </w:tcPr>
          <w:p w:rsidR="002F54C9" w:rsidRDefault="002F54C9">
            <w:pPr>
              <w:rPr>
                <w:sz w:val="10"/>
                <w:szCs w:val="10"/>
              </w:rPr>
            </w:pPr>
          </w:p>
        </w:tc>
        <w:tc>
          <w:tcPr>
            <w:tcW w:w="3470" w:type="dxa"/>
            <w:tcBorders>
              <w:top w:val="single" w:sz="4" w:space="0" w:color="auto"/>
              <w:bottom w:val="single" w:sz="4" w:space="0" w:color="auto"/>
            </w:tcBorders>
            <w:shd w:val="clear" w:color="auto" w:fill="auto"/>
            <w:vAlign w:val="bottom"/>
          </w:tcPr>
          <w:p w:rsidR="002F54C9" w:rsidRDefault="00712144">
            <w:pPr>
              <w:pStyle w:val="Other10"/>
              <w:spacing w:line="307" w:lineRule="auto"/>
              <w:jc w:val="center"/>
            </w:pPr>
            <w:r>
              <w:rPr>
                <w:rStyle w:val="Other1"/>
              </w:rPr>
              <w:t>dle hodnoty jističe 84,70 Kč/A/měsíc nejvýše však dle</w:t>
            </w:r>
            <w:r>
              <w:rPr>
                <w:rStyle w:val="Other1"/>
              </w:rPr>
              <w:t xml:space="preserve"> spotřeby 495,00 Kč/</w:t>
            </w:r>
            <w:proofErr w:type="spellStart"/>
            <w:r>
              <w:rPr>
                <w:rStyle w:val="Other1"/>
              </w:rPr>
              <w:t>MWh</w:t>
            </w:r>
            <w:proofErr w:type="spellEnd"/>
          </w:p>
        </w:tc>
      </w:tr>
    </w:tbl>
    <w:p w:rsidR="002F54C9" w:rsidRDefault="00712144">
      <w:pPr>
        <w:pStyle w:val="Bodytext20"/>
        <w:spacing w:line="240" w:lineRule="auto"/>
        <w:rPr>
          <w:sz w:val="15"/>
          <w:szCs w:val="15"/>
        </w:rPr>
      </w:pPr>
      <w:r>
        <w:rPr>
          <w:rStyle w:val="Bodytext2"/>
          <w:b/>
          <w:bCs/>
          <w:sz w:val="15"/>
          <w:szCs w:val="15"/>
        </w:rPr>
        <w:t xml:space="preserve">Ceny jsou uvedeny bez </w:t>
      </w:r>
      <w:proofErr w:type="gramStart"/>
      <w:r>
        <w:rPr>
          <w:rStyle w:val="Bodytext2"/>
          <w:b/>
          <w:bCs/>
          <w:sz w:val="15"/>
          <w:szCs w:val="15"/>
        </w:rPr>
        <w:t>21%</w:t>
      </w:r>
      <w:proofErr w:type="gramEnd"/>
      <w:r>
        <w:rPr>
          <w:rStyle w:val="Bodytext2"/>
          <w:b/>
          <w:bCs/>
          <w:sz w:val="15"/>
          <w:szCs w:val="15"/>
        </w:rPr>
        <w:t xml:space="preserve"> DPH.</w:t>
      </w:r>
    </w:p>
    <w:p w:rsidR="002F54C9" w:rsidRDefault="00712144">
      <w:pPr>
        <w:pStyle w:val="Bodytext20"/>
        <w:spacing w:line="307" w:lineRule="auto"/>
        <w:rPr>
          <w:sz w:val="15"/>
          <w:szCs w:val="15"/>
        </w:rPr>
      </w:pPr>
      <w:r>
        <w:rPr>
          <w:rStyle w:val="Bodytext2"/>
          <w:b/>
          <w:bCs/>
          <w:sz w:val="15"/>
          <w:szCs w:val="15"/>
        </w:rPr>
        <w:t>Uvedené regulované ceny se řídí platným Cenovým rozhodnutím Energetického regulačního úřadu č. 11/2024 a 12/2024 a nařízením vlády.</w:t>
      </w:r>
    </w:p>
    <w:p w:rsidR="002F54C9" w:rsidRDefault="00712144">
      <w:pPr>
        <w:pStyle w:val="Bodytext20"/>
        <w:spacing w:after="0" w:line="240" w:lineRule="auto"/>
      </w:pPr>
      <w:r>
        <w:rPr>
          <w:rStyle w:val="Bodytext2"/>
          <w:b/>
          <w:bCs/>
          <w:color w:val="410203"/>
        </w:rPr>
        <w:t>Poplatky a slevy související s dodávkou elektřiny</w:t>
      </w:r>
    </w:p>
    <w:p w:rsidR="002F54C9" w:rsidRDefault="00712144">
      <w:pPr>
        <w:pStyle w:val="Bodytext20"/>
        <w:numPr>
          <w:ilvl w:val="0"/>
          <w:numId w:val="6"/>
        </w:numPr>
        <w:tabs>
          <w:tab w:val="left" w:pos="253"/>
        </w:tabs>
        <w:spacing w:after="0" w:line="240" w:lineRule="auto"/>
        <w:rPr>
          <w:sz w:val="15"/>
          <w:szCs w:val="15"/>
        </w:rPr>
      </w:pPr>
      <w:r>
        <w:rPr>
          <w:rStyle w:val="Bodytext2"/>
          <w:b/>
          <w:bCs/>
          <w:sz w:val="15"/>
          <w:szCs w:val="15"/>
        </w:rPr>
        <w:t xml:space="preserve">poplatek za poštovní poukázku na úhradu </w:t>
      </w:r>
      <w:r>
        <w:rPr>
          <w:rStyle w:val="Bodytext2"/>
          <w:b/>
          <w:bCs/>
        </w:rPr>
        <w:t xml:space="preserve">faktury či zálohy </w:t>
      </w:r>
      <w:r>
        <w:rPr>
          <w:rStyle w:val="Bodytext2"/>
          <w:b/>
          <w:bCs/>
          <w:sz w:val="15"/>
          <w:szCs w:val="15"/>
        </w:rPr>
        <w:t>ve výši 16,50 Kč bez DPH, máte-li jejich zasílání sjednáno;</w:t>
      </w:r>
    </w:p>
    <w:p w:rsidR="002F54C9" w:rsidRDefault="00712144">
      <w:pPr>
        <w:pStyle w:val="Bodytext20"/>
        <w:numPr>
          <w:ilvl w:val="0"/>
          <w:numId w:val="6"/>
        </w:numPr>
        <w:tabs>
          <w:tab w:val="left" w:pos="253"/>
        </w:tabs>
        <w:spacing w:after="0" w:line="240" w:lineRule="auto"/>
        <w:rPr>
          <w:sz w:val="15"/>
          <w:szCs w:val="15"/>
        </w:rPr>
      </w:pPr>
      <w:r>
        <w:rPr>
          <w:rStyle w:val="Bodytext2"/>
          <w:b/>
          <w:bCs/>
          <w:sz w:val="15"/>
          <w:szCs w:val="15"/>
        </w:rPr>
        <w:t xml:space="preserve">poplatek za </w:t>
      </w:r>
      <w:r>
        <w:rPr>
          <w:rStyle w:val="Bodytext2"/>
          <w:b/>
          <w:bCs/>
        </w:rPr>
        <w:t xml:space="preserve">vrácení přeplatku </w:t>
      </w:r>
      <w:r>
        <w:rPr>
          <w:rStyle w:val="Bodytext2"/>
          <w:b/>
          <w:bCs/>
          <w:sz w:val="15"/>
          <w:szCs w:val="15"/>
        </w:rPr>
        <w:t>poštovní poukázkou ve výši 38,00 Kč bez DPH.</w:t>
      </w:r>
    </w:p>
    <w:p w:rsidR="002F54C9" w:rsidRDefault="00712144">
      <w:pPr>
        <w:pStyle w:val="Bodytext20"/>
        <w:spacing w:after="0" w:line="240" w:lineRule="auto"/>
        <w:rPr>
          <w:sz w:val="15"/>
          <w:szCs w:val="15"/>
        </w:rPr>
      </w:pPr>
      <w:r>
        <w:rPr>
          <w:rStyle w:val="Bodytext2"/>
          <w:b/>
          <w:bCs/>
          <w:sz w:val="15"/>
          <w:szCs w:val="15"/>
        </w:rPr>
        <w:t>Poplatky Vám vyúčtujeme ve faktuře za elektřinu.</w:t>
      </w:r>
    </w:p>
    <w:sectPr w:rsidR="002F54C9">
      <w:type w:val="continuous"/>
      <w:pgSz w:w="11900" w:h="16840"/>
      <w:pgMar w:top="977" w:right="815" w:bottom="977" w:left="13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144" w:rsidRDefault="00712144">
      <w:r>
        <w:separator/>
      </w:r>
    </w:p>
  </w:endnote>
  <w:endnote w:type="continuationSeparator" w:id="0">
    <w:p w:rsidR="00712144" w:rsidRDefault="0071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4C9" w:rsidRDefault="00712144">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4004310</wp:posOffset>
              </wp:positionH>
              <wp:positionV relativeFrom="page">
                <wp:posOffset>10417175</wp:posOffset>
              </wp:positionV>
              <wp:extent cx="2995930" cy="115570"/>
              <wp:effectExtent l="0" t="0" r="0" b="0"/>
              <wp:wrapNone/>
              <wp:docPr id="3" name="Shape 3"/>
              <wp:cNvGraphicFramePr/>
              <a:graphic xmlns:a="http://schemas.openxmlformats.org/drawingml/2006/main">
                <a:graphicData uri="http://schemas.microsoft.com/office/word/2010/wordprocessingShape">
                  <wps:wsp>
                    <wps:cNvSpPr txBox="1"/>
                    <wps:spPr>
                      <a:xfrm>
                        <a:off x="0" y="0"/>
                        <a:ext cx="2995930" cy="115570"/>
                      </a:xfrm>
                      <a:prstGeom prst="rect">
                        <a:avLst/>
                      </a:prstGeom>
                      <a:noFill/>
                    </wps:spPr>
                    <wps:txbx>
                      <w:txbxContent>
                        <w:p w:rsidR="002F54C9" w:rsidRDefault="00712144">
                          <w:pPr>
                            <w:pStyle w:val="Headerorfooter20"/>
                            <w:rPr>
                              <w:sz w:val="14"/>
                              <w:szCs w:val="14"/>
                            </w:rPr>
                          </w:pPr>
                          <w:r>
                            <w:rPr>
                              <w:rStyle w:val="Headerorfooter2"/>
                              <w:rFonts w:ascii="Arial" w:eastAsia="Arial" w:hAnsi="Arial" w:cs="Arial"/>
                              <w:sz w:val="14"/>
                              <w:szCs w:val="14"/>
                            </w:rPr>
                            <w:t xml:space="preserve">D41139 Číslo Smlouvy: 9553377241 </w:t>
                          </w:r>
                          <w:r>
                            <w:rPr>
                              <w:rStyle w:val="Headerorfooter2"/>
                              <w:rFonts w:ascii="Arial" w:eastAsia="Arial" w:hAnsi="Arial" w:cs="Arial"/>
                              <w:color w:val="DE8A85"/>
                              <w:sz w:val="14"/>
                              <w:szCs w:val="14"/>
                            </w:rPr>
                            <w:t xml:space="preserve">B2B Smlouva </w:t>
                          </w:r>
                          <w:r>
                            <w:rPr>
                              <w:rStyle w:val="Headerorfooter2"/>
                              <w:rFonts w:ascii="Arial" w:eastAsia="Arial" w:hAnsi="Arial" w:cs="Arial"/>
                              <w:sz w:val="14"/>
                              <w:szCs w:val="14"/>
                            </w:rPr>
                            <w:t xml:space="preserve">Strana </w:t>
                          </w: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r>
                            <w:rPr>
                              <w:rStyle w:val="Headerorfooter2"/>
                              <w:rFonts w:ascii="Arial" w:eastAsia="Arial" w:hAnsi="Arial" w:cs="Arial"/>
                              <w:sz w:val="14"/>
                              <w:szCs w:val="14"/>
                            </w:rPr>
                            <w:t xml:space="preserve"> 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15.30000000000001pt;margin-top:820.25pt;width:235.90000000000001pt;height:9.0999999999999996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sz w:val="14"/>
                        <w:szCs w:val="14"/>
                      </w:rPr>
                      <w:t xml:space="preserve">D41139 Číslo Smlouvy: 9553377241 </w:t>
                    </w:r>
                    <w:r>
                      <w:rPr>
                        <w:rStyle w:val="CharStyle7"/>
                        <w:rFonts w:ascii="Arial" w:eastAsia="Arial" w:hAnsi="Arial" w:cs="Arial"/>
                        <w:color w:val="DE8A85"/>
                        <w:sz w:val="14"/>
                        <w:szCs w:val="14"/>
                      </w:rPr>
                      <w:t xml:space="preserve">B2B Smlouva </w:t>
                    </w:r>
                    <w:r>
                      <w:rPr>
                        <w:rStyle w:val="CharStyle7"/>
                        <w:rFonts w:ascii="Arial" w:eastAsia="Arial" w:hAnsi="Arial" w:cs="Arial"/>
                        <w:sz w:val="14"/>
                        <w:szCs w:val="14"/>
                      </w:rPr>
                      <w:t xml:space="preserve">Strana </w:t>
                    </w:r>
                    <w:fldSimple w:instr=" PAGE \* MERGEFORMAT ">
                      <w:r>
                        <w:rPr>
                          <w:rStyle w:val="CharStyle7"/>
                          <w:rFonts w:ascii="Arial" w:eastAsia="Arial" w:hAnsi="Arial" w:cs="Arial"/>
                          <w:sz w:val="14"/>
                          <w:szCs w:val="14"/>
                        </w:rPr>
                        <w:t>#</w:t>
                      </w:r>
                    </w:fldSimple>
                    <w:r>
                      <w:rPr>
                        <w:rStyle w:val="CharStyle7"/>
                        <w:rFonts w:ascii="Arial" w:eastAsia="Arial" w:hAnsi="Arial" w:cs="Arial"/>
                        <w:sz w:val="14"/>
                        <w:szCs w:val="14"/>
                      </w:rPr>
                      <w:t xml:space="preserve"> 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4C9" w:rsidRDefault="00712144">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4006215</wp:posOffset>
              </wp:positionH>
              <wp:positionV relativeFrom="page">
                <wp:posOffset>10514965</wp:posOffset>
              </wp:positionV>
              <wp:extent cx="2999105" cy="118745"/>
              <wp:effectExtent l="0" t="0" r="0" b="0"/>
              <wp:wrapNone/>
              <wp:docPr id="6" name="Shape 6"/>
              <wp:cNvGraphicFramePr/>
              <a:graphic xmlns:a="http://schemas.openxmlformats.org/drawingml/2006/main">
                <a:graphicData uri="http://schemas.microsoft.com/office/word/2010/wordprocessingShape">
                  <wps:wsp>
                    <wps:cNvSpPr txBox="1"/>
                    <wps:spPr>
                      <a:xfrm>
                        <a:off x="0" y="0"/>
                        <a:ext cx="2999105" cy="118745"/>
                      </a:xfrm>
                      <a:prstGeom prst="rect">
                        <a:avLst/>
                      </a:prstGeom>
                      <a:noFill/>
                    </wps:spPr>
                    <wps:txbx>
                      <w:txbxContent>
                        <w:p w:rsidR="002F54C9" w:rsidRDefault="00712144">
                          <w:pPr>
                            <w:pStyle w:val="Headerorfooter20"/>
                            <w:rPr>
                              <w:sz w:val="14"/>
                              <w:szCs w:val="14"/>
                            </w:rPr>
                          </w:pPr>
                          <w:r>
                            <w:rPr>
                              <w:rStyle w:val="Headerorfooter2"/>
                              <w:rFonts w:ascii="Arial" w:eastAsia="Arial" w:hAnsi="Arial" w:cs="Arial"/>
                              <w:sz w:val="14"/>
                              <w:szCs w:val="14"/>
                            </w:rPr>
                            <w:t xml:space="preserve">D41139 Číslo Smlouvy: 9553377241 </w:t>
                          </w:r>
                          <w:r>
                            <w:rPr>
                              <w:rStyle w:val="Headerorfooter2"/>
                              <w:rFonts w:ascii="Arial" w:eastAsia="Arial" w:hAnsi="Arial" w:cs="Arial"/>
                              <w:color w:val="DE8A85"/>
                              <w:sz w:val="14"/>
                              <w:szCs w:val="14"/>
                            </w:rPr>
                            <w:t xml:space="preserve">B2B Smlouva </w:t>
                          </w:r>
                          <w:r>
                            <w:rPr>
                              <w:rStyle w:val="Headerorfooter2"/>
                              <w:rFonts w:ascii="Arial" w:eastAsia="Arial" w:hAnsi="Arial" w:cs="Arial"/>
                              <w:sz w:val="14"/>
                              <w:szCs w:val="14"/>
                            </w:rPr>
                            <w:t xml:space="preserve">Strana </w:t>
                          </w: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r>
                            <w:rPr>
                              <w:rStyle w:val="Headerorfooter2"/>
                              <w:rFonts w:ascii="Arial" w:eastAsia="Arial" w:hAnsi="Arial" w:cs="Arial"/>
                              <w:sz w:val="14"/>
                              <w:szCs w:val="14"/>
                            </w:rPr>
                            <w:t xml:space="preserve"> I 3</w:t>
                          </w:r>
                        </w:p>
                      </w:txbxContent>
                    </wps:txbx>
                    <wps:bodyPr wrap="none" lIns="0" tIns="0" rIns="0" bIns="0">
                      <a:spAutoFit/>
                    </wps:bodyPr>
                  </wps:wsp>
                </a:graphicData>
              </a:graphic>
            </wp:anchor>
          </w:drawing>
        </mc:Choice>
        <mc:Fallback>
          <w:pict>
            <v:shape id="_x0000_s1032" type="#_x0000_t202" style="position:absolute;margin-left:315.44999999999999pt;margin-top:827.95000000000005pt;width:236.15000000000001pt;height:9.3499999999999996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sz w:val="14"/>
                        <w:szCs w:val="14"/>
                      </w:rPr>
                      <w:t xml:space="preserve">D41139 Číslo Smlouvy: 9553377241 </w:t>
                    </w:r>
                    <w:r>
                      <w:rPr>
                        <w:rStyle w:val="CharStyle7"/>
                        <w:rFonts w:ascii="Arial" w:eastAsia="Arial" w:hAnsi="Arial" w:cs="Arial"/>
                        <w:color w:val="DE8A85"/>
                        <w:sz w:val="14"/>
                        <w:szCs w:val="14"/>
                      </w:rPr>
                      <w:t xml:space="preserve">B2B Smlouva </w:t>
                    </w:r>
                    <w:r>
                      <w:rPr>
                        <w:rStyle w:val="CharStyle7"/>
                        <w:rFonts w:ascii="Arial" w:eastAsia="Arial" w:hAnsi="Arial" w:cs="Arial"/>
                        <w:sz w:val="14"/>
                        <w:szCs w:val="14"/>
                      </w:rPr>
                      <w:t xml:space="preserve">Strana </w:t>
                    </w:r>
                    <w:fldSimple w:instr=" PAGE \* MERGEFORMAT ">
                      <w:r>
                        <w:rPr>
                          <w:rStyle w:val="CharStyle7"/>
                          <w:rFonts w:ascii="Arial" w:eastAsia="Arial" w:hAnsi="Arial" w:cs="Arial"/>
                          <w:sz w:val="14"/>
                          <w:szCs w:val="14"/>
                        </w:rPr>
                        <w:t>#</w:t>
                      </w:r>
                    </w:fldSimple>
                    <w:r>
                      <w:rPr>
                        <w:rStyle w:val="CharStyle7"/>
                        <w:rFonts w:ascii="Arial" w:eastAsia="Arial" w:hAnsi="Arial" w:cs="Arial"/>
                        <w:sz w:val="14"/>
                        <w:szCs w:val="14"/>
                      </w:rPr>
                      <w:t xml:space="preserve"> I 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4C9" w:rsidRDefault="002F54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4C9" w:rsidRDefault="00712144">
    <w:pPr>
      <w:spacing w:line="1" w:lineRule="exact"/>
    </w:pPr>
    <w:r>
      <w:rPr>
        <w:noProof/>
      </w:rPr>
      <mc:AlternateContent>
        <mc:Choice Requires="wps">
          <w:drawing>
            <wp:anchor distT="0" distB="0" distL="0" distR="0" simplePos="0" relativeHeight="62914701" behindDoc="1" locked="0" layoutInCell="1" allowOverlap="1">
              <wp:simplePos x="0" y="0"/>
              <wp:positionH relativeFrom="page">
                <wp:posOffset>6820535</wp:posOffset>
              </wp:positionH>
              <wp:positionV relativeFrom="page">
                <wp:posOffset>10424795</wp:posOffset>
              </wp:positionV>
              <wp:extent cx="155575" cy="97790"/>
              <wp:effectExtent l="0" t="0" r="0" b="0"/>
              <wp:wrapNone/>
              <wp:docPr id="24" name="Shape 24"/>
              <wp:cNvGraphicFramePr/>
              <a:graphic xmlns:a="http://schemas.openxmlformats.org/drawingml/2006/main">
                <a:graphicData uri="http://schemas.microsoft.com/office/word/2010/wordprocessingShape">
                  <wps:wsp>
                    <wps:cNvSpPr txBox="1"/>
                    <wps:spPr>
                      <a:xfrm>
                        <a:off x="0" y="0"/>
                        <a:ext cx="155575" cy="97790"/>
                      </a:xfrm>
                      <a:prstGeom prst="rect">
                        <a:avLst/>
                      </a:prstGeom>
                      <a:noFill/>
                    </wps:spPr>
                    <wps:txbx>
                      <w:txbxContent>
                        <w:p w:rsidR="002F54C9" w:rsidRDefault="00712144">
                          <w:pPr>
                            <w:pStyle w:val="Headerorfooter20"/>
                            <w:rPr>
                              <w:sz w:val="22"/>
                              <w:szCs w:val="22"/>
                            </w:rPr>
                          </w:pPr>
                          <w:r>
                            <w:rPr>
                              <w:rStyle w:val="Headerorfooter2"/>
                              <w:sz w:val="22"/>
                              <w:szCs w:val="22"/>
                            </w:rPr>
                            <w:t>1|2</w:t>
                          </w:r>
                        </w:p>
                      </w:txbxContent>
                    </wps:txbx>
                    <wps:bodyPr wrap="none" lIns="0" tIns="0" rIns="0" bIns="0">
                      <a:spAutoFit/>
                    </wps:bodyPr>
                  </wps:wsp>
                </a:graphicData>
              </a:graphic>
            </wp:anchor>
          </w:drawing>
        </mc:Choice>
        <mc:Fallback>
          <w:pict>
            <v:shape id="_x0000_s1050" type="#_x0000_t202" style="position:absolute;margin-left:537.04999999999995pt;margin-top:820.85000000000002pt;width:12.25pt;height:7.7000000000000002pt;z-index:-188744052;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sz w:val="22"/>
                        <w:szCs w:val="22"/>
                      </w:rPr>
                      <w:t>1|2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4C9" w:rsidRDefault="00712144">
    <w:pPr>
      <w:spacing w:line="1" w:lineRule="exact"/>
    </w:pPr>
    <w:r>
      <w:rPr>
        <w:noProof/>
      </w:rPr>
      <mc:AlternateContent>
        <mc:Choice Requires="wps">
          <w:drawing>
            <wp:anchor distT="0" distB="0" distL="0" distR="0" simplePos="0" relativeHeight="62914705" behindDoc="1" locked="0" layoutInCell="1" allowOverlap="1">
              <wp:simplePos x="0" y="0"/>
              <wp:positionH relativeFrom="page">
                <wp:posOffset>6874510</wp:posOffset>
              </wp:positionH>
              <wp:positionV relativeFrom="page">
                <wp:posOffset>10514330</wp:posOffset>
              </wp:positionV>
              <wp:extent cx="167640" cy="97790"/>
              <wp:effectExtent l="0" t="0" r="0" b="0"/>
              <wp:wrapNone/>
              <wp:docPr id="32" name="Shape 32"/>
              <wp:cNvGraphicFramePr/>
              <a:graphic xmlns:a="http://schemas.openxmlformats.org/drawingml/2006/main">
                <a:graphicData uri="http://schemas.microsoft.com/office/word/2010/wordprocessingShape">
                  <wps:wsp>
                    <wps:cNvSpPr txBox="1"/>
                    <wps:spPr>
                      <a:xfrm>
                        <a:off x="0" y="0"/>
                        <a:ext cx="167640" cy="97790"/>
                      </a:xfrm>
                      <a:prstGeom prst="rect">
                        <a:avLst/>
                      </a:prstGeom>
                      <a:noFill/>
                    </wps:spPr>
                    <wps:txbx>
                      <w:txbxContent>
                        <w:p w:rsidR="002F54C9" w:rsidRDefault="00712144">
                          <w:pPr>
                            <w:pStyle w:val="Headerorfooter20"/>
                            <w:rPr>
                              <w:sz w:val="17"/>
                              <w:szCs w:val="17"/>
                            </w:rPr>
                          </w:pPr>
                          <w:r>
                            <w:rPr>
                              <w:rStyle w:val="Headerorfooter2"/>
                              <w:sz w:val="17"/>
                              <w:szCs w:val="17"/>
                            </w:rPr>
                            <w:t>212</w:t>
                          </w:r>
                        </w:p>
                      </w:txbxContent>
                    </wps:txbx>
                    <wps:bodyPr wrap="none" lIns="0" tIns="0" rIns="0" bIns="0">
                      <a:spAutoFit/>
                    </wps:bodyPr>
                  </wps:wsp>
                </a:graphicData>
              </a:graphic>
            </wp:anchor>
          </w:drawing>
        </mc:Choice>
        <mc:Fallback>
          <w:pict>
            <v:shape id="_x0000_s1058" type="#_x0000_t202" style="position:absolute;margin-left:541.29999999999995pt;margin-top:827.89999999999998pt;width:13.200000000000001pt;height:7.7000000000000002pt;z-index:-188744048;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7"/>
                        <w:szCs w:val="17"/>
                      </w:rPr>
                    </w:pPr>
                    <w:r>
                      <w:rPr>
                        <w:rStyle w:val="CharStyle7"/>
                        <w:sz w:val="17"/>
                        <w:szCs w:val="17"/>
                      </w:rPr>
                      <w:t>212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144" w:rsidRDefault="00712144"/>
  </w:footnote>
  <w:footnote w:type="continuationSeparator" w:id="0">
    <w:p w:rsidR="00712144" w:rsidRDefault="007121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60E9"/>
    <w:multiLevelType w:val="multilevel"/>
    <w:tmpl w:val="1D8870A4"/>
    <w:lvl w:ilvl="0">
      <w:start w:val="7"/>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E04EF"/>
    <w:multiLevelType w:val="multilevel"/>
    <w:tmpl w:val="CDC47290"/>
    <w:lvl w:ilvl="0">
      <w:start w:val="1"/>
      <w:numFmt w:val="bullet"/>
      <w:lvlText w:val="-"/>
      <w:lvlJc w:val="left"/>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442ED"/>
    <w:multiLevelType w:val="multilevel"/>
    <w:tmpl w:val="98F689E2"/>
    <w:lvl w:ilvl="0">
      <w:start w:val="5"/>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F85299"/>
    <w:multiLevelType w:val="multilevel"/>
    <w:tmpl w:val="FD44A5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884EBB"/>
    <w:multiLevelType w:val="multilevel"/>
    <w:tmpl w:val="65CA5D3C"/>
    <w:lvl w:ilvl="0">
      <w:start w:val="1"/>
      <w:numFmt w:val="decimal"/>
      <w:lvlText w:val="%1."/>
      <w:lvlJc w:val="left"/>
      <w:rPr>
        <w:rFonts w:ascii="Arial" w:eastAsia="Arial" w:hAnsi="Arial" w:cs="Arial"/>
        <w:b/>
        <w:bCs/>
        <w:i w:val="0"/>
        <w:iCs w:val="0"/>
        <w:smallCaps w:val="0"/>
        <w:strike w:val="0"/>
        <w:color w:val="DE8A85"/>
        <w:spacing w:val="0"/>
        <w:w w:val="100"/>
        <w:position w:val="0"/>
        <w:sz w:val="16"/>
        <w:szCs w:val="16"/>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1A7038"/>
    <w:multiLevelType w:val="multilevel"/>
    <w:tmpl w:val="A51254F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4C9"/>
    <w:rsid w:val="002F54C9"/>
    <w:rsid w:val="00712144"/>
    <w:rsid w:val="00EC25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BF29"/>
  <w15:docId w15:val="{E2ABBF6E-FE43-4AE4-9A0E-C61BEB7A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4"/>
      <w:szCs w:val="14"/>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bCs/>
      <w:i/>
      <w:iCs/>
      <w:smallCaps w:val="0"/>
      <w:strike w:val="0"/>
      <w:color w:val="DE8A85"/>
      <w:sz w:val="100"/>
      <w:szCs w:val="100"/>
      <w:u w:val="none"/>
      <w:lang w:val="en-US" w:eastAsia="en-US" w:bidi="en-US"/>
    </w:rPr>
  </w:style>
  <w:style w:type="character" w:customStyle="1" w:styleId="Heading31">
    <w:name w:val="Heading #3|1_"/>
    <w:basedOn w:val="Standardnpsmoodstavce"/>
    <w:link w:val="Heading310"/>
    <w:rPr>
      <w:rFonts w:ascii="Arial" w:eastAsia="Arial" w:hAnsi="Arial" w:cs="Arial"/>
      <w:b/>
      <w:bCs/>
      <w:i w:val="0"/>
      <w:iCs w:val="0"/>
      <w:smallCaps w:val="0"/>
      <w:strike w:val="0"/>
      <w:color w:val="DE8A85"/>
      <w:u w:val="none"/>
    </w:rPr>
  </w:style>
  <w:style w:type="character" w:customStyle="1" w:styleId="Heading41">
    <w:name w:val="Heading #4|1_"/>
    <w:basedOn w:val="Standardnpsmoodstavce"/>
    <w:link w:val="Heading410"/>
    <w:rPr>
      <w:b w:val="0"/>
      <w:bCs w:val="0"/>
      <w:i w:val="0"/>
      <w:iCs w:val="0"/>
      <w:smallCaps w:val="0"/>
      <w:strike w:val="0"/>
      <w:u w:val="none"/>
    </w:rPr>
  </w:style>
  <w:style w:type="character" w:customStyle="1" w:styleId="Heading51">
    <w:name w:val="Heading #5|1_"/>
    <w:basedOn w:val="Standardnpsmoodstavce"/>
    <w:link w:val="Heading510"/>
    <w:rPr>
      <w:rFonts w:ascii="Arial" w:eastAsia="Arial" w:hAnsi="Arial" w:cs="Arial"/>
      <w:b/>
      <w:bCs/>
      <w:i w:val="0"/>
      <w:iCs w:val="0"/>
      <w:smallCaps w:val="0"/>
      <w:strike w:val="0"/>
      <w:color w:val="DE8A85"/>
      <w:sz w:val="16"/>
      <w:szCs w:val="16"/>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0"/>
      <w:szCs w:val="10"/>
      <w:u w:val="none"/>
    </w:rPr>
  </w:style>
  <w:style w:type="character" w:customStyle="1" w:styleId="Bodytext4">
    <w:name w:val="Body text|4_"/>
    <w:basedOn w:val="Standardnpsmoodstavce"/>
    <w:link w:val="Bodytext40"/>
    <w:rPr>
      <w:rFonts w:ascii="Arial" w:eastAsia="Arial" w:hAnsi="Arial" w:cs="Arial"/>
      <w:b/>
      <w:bCs/>
      <w:i w:val="0"/>
      <w:iCs w:val="0"/>
      <w:smallCaps w:val="0"/>
      <w:strike w:val="0"/>
      <w:color w:val="6798D3"/>
      <w:sz w:val="19"/>
      <w:szCs w:val="19"/>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6"/>
      <w:szCs w:val="16"/>
      <w:u w:val="none"/>
    </w:rPr>
  </w:style>
  <w:style w:type="character" w:customStyle="1" w:styleId="Heading21">
    <w:name w:val="Heading #2|1_"/>
    <w:basedOn w:val="Standardnpsmoodstavce"/>
    <w:link w:val="Heading210"/>
    <w:rPr>
      <w:rFonts w:ascii="Arial" w:eastAsia="Arial" w:hAnsi="Arial" w:cs="Arial"/>
      <w:b/>
      <w:bCs/>
      <w:i w:val="0"/>
      <w:iCs w:val="0"/>
      <w:smallCaps w:val="0"/>
      <w:strike w:val="0"/>
      <w:color w:val="DE8A85"/>
      <w:sz w:val="30"/>
      <w:szCs w:val="3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4"/>
      <w:szCs w:val="14"/>
      <w:u w:val="none"/>
    </w:rPr>
  </w:style>
  <w:style w:type="paragraph" w:customStyle="1" w:styleId="Bodytext10">
    <w:name w:val="Body text|1"/>
    <w:basedOn w:val="Normln"/>
    <w:link w:val="Bodytext1"/>
    <w:pPr>
      <w:spacing w:line="288" w:lineRule="auto"/>
    </w:pPr>
    <w:rPr>
      <w:rFonts w:ascii="Arial" w:eastAsia="Arial" w:hAnsi="Arial" w:cs="Arial"/>
      <w:sz w:val="14"/>
      <w:szCs w:val="14"/>
    </w:rPr>
  </w:style>
  <w:style w:type="paragraph" w:customStyle="1" w:styleId="Headerorfooter20">
    <w:name w:val="Header or footer|2"/>
    <w:basedOn w:val="Normln"/>
    <w:link w:val="Headerorfooter2"/>
    <w:rPr>
      <w:sz w:val="20"/>
      <w:szCs w:val="20"/>
    </w:rPr>
  </w:style>
  <w:style w:type="paragraph" w:customStyle="1" w:styleId="Heading110">
    <w:name w:val="Heading #1|1"/>
    <w:basedOn w:val="Normln"/>
    <w:link w:val="Heading11"/>
    <w:pPr>
      <w:outlineLvl w:val="0"/>
    </w:pPr>
    <w:rPr>
      <w:rFonts w:ascii="Arial" w:eastAsia="Arial" w:hAnsi="Arial" w:cs="Arial"/>
      <w:b/>
      <w:bCs/>
      <w:i/>
      <w:iCs/>
      <w:color w:val="DE8A85"/>
      <w:sz w:val="100"/>
      <w:szCs w:val="100"/>
      <w:lang w:val="en-US" w:eastAsia="en-US" w:bidi="en-US"/>
    </w:rPr>
  </w:style>
  <w:style w:type="paragraph" w:customStyle="1" w:styleId="Heading310">
    <w:name w:val="Heading #3|1"/>
    <w:basedOn w:val="Normln"/>
    <w:link w:val="Heading31"/>
    <w:pPr>
      <w:spacing w:after="40" w:line="300" w:lineRule="auto"/>
      <w:outlineLvl w:val="2"/>
    </w:pPr>
    <w:rPr>
      <w:rFonts w:ascii="Arial" w:eastAsia="Arial" w:hAnsi="Arial" w:cs="Arial"/>
      <w:b/>
      <w:bCs/>
      <w:color w:val="DE8A85"/>
    </w:rPr>
  </w:style>
  <w:style w:type="paragraph" w:customStyle="1" w:styleId="Heading410">
    <w:name w:val="Heading #4|1"/>
    <w:basedOn w:val="Normln"/>
    <w:link w:val="Heading41"/>
    <w:pPr>
      <w:spacing w:after="160"/>
      <w:outlineLvl w:val="3"/>
    </w:pPr>
  </w:style>
  <w:style w:type="paragraph" w:customStyle="1" w:styleId="Heading510">
    <w:name w:val="Heading #5|1"/>
    <w:basedOn w:val="Normln"/>
    <w:link w:val="Heading51"/>
    <w:pPr>
      <w:spacing w:line="276" w:lineRule="auto"/>
      <w:outlineLvl w:val="4"/>
    </w:pPr>
    <w:rPr>
      <w:rFonts w:ascii="Arial" w:eastAsia="Arial" w:hAnsi="Arial" w:cs="Arial"/>
      <w:b/>
      <w:bCs/>
      <w:color w:val="DE8A85"/>
      <w:sz w:val="16"/>
      <w:szCs w:val="16"/>
    </w:rPr>
  </w:style>
  <w:style w:type="paragraph" w:customStyle="1" w:styleId="Bodytext30">
    <w:name w:val="Body text|3"/>
    <w:basedOn w:val="Normln"/>
    <w:link w:val="Bodytext3"/>
    <w:rPr>
      <w:rFonts w:ascii="Arial" w:eastAsia="Arial" w:hAnsi="Arial" w:cs="Arial"/>
      <w:sz w:val="10"/>
      <w:szCs w:val="10"/>
    </w:rPr>
  </w:style>
  <w:style w:type="paragraph" w:customStyle="1" w:styleId="Bodytext40">
    <w:name w:val="Body text|4"/>
    <w:basedOn w:val="Normln"/>
    <w:link w:val="Bodytext4"/>
    <w:pPr>
      <w:spacing w:line="271" w:lineRule="auto"/>
      <w:jc w:val="center"/>
    </w:pPr>
    <w:rPr>
      <w:rFonts w:ascii="Arial" w:eastAsia="Arial" w:hAnsi="Arial" w:cs="Arial"/>
      <w:b/>
      <w:bCs/>
      <w:color w:val="6798D3"/>
      <w:sz w:val="19"/>
      <w:szCs w:val="19"/>
    </w:rPr>
  </w:style>
  <w:style w:type="paragraph" w:customStyle="1" w:styleId="Bodytext20">
    <w:name w:val="Body text|2"/>
    <w:basedOn w:val="Normln"/>
    <w:link w:val="Bodytext2"/>
    <w:pPr>
      <w:spacing w:after="220" w:line="317" w:lineRule="auto"/>
    </w:pPr>
    <w:rPr>
      <w:rFonts w:ascii="Arial" w:eastAsia="Arial" w:hAnsi="Arial" w:cs="Arial"/>
      <w:sz w:val="16"/>
      <w:szCs w:val="16"/>
    </w:rPr>
  </w:style>
  <w:style w:type="paragraph" w:customStyle="1" w:styleId="Heading210">
    <w:name w:val="Heading #2|1"/>
    <w:basedOn w:val="Normln"/>
    <w:link w:val="Heading21"/>
    <w:pPr>
      <w:spacing w:after="260" w:line="300" w:lineRule="auto"/>
      <w:ind w:left="860"/>
      <w:jc w:val="right"/>
      <w:outlineLvl w:val="1"/>
    </w:pPr>
    <w:rPr>
      <w:rFonts w:ascii="Arial" w:eastAsia="Arial" w:hAnsi="Arial" w:cs="Arial"/>
      <w:b/>
      <w:bCs/>
      <w:color w:val="DE8A85"/>
      <w:sz w:val="30"/>
      <w:szCs w:val="30"/>
    </w:rPr>
  </w:style>
  <w:style w:type="paragraph" w:customStyle="1" w:styleId="Other10">
    <w:name w:val="Other|1"/>
    <w:basedOn w:val="Normln"/>
    <w:link w:val="Other1"/>
    <w:pPr>
      <w:spacing w:line="288" w:lineRule="auto"/>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eon.cz"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eru.cz"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faktury@bnzlin.cz"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eon.cz"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businessline@eon.cz"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3582</Words>
  <Characters>21140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Vinklerová</dc:creator>
  <cp:keywords/>
  <cp:lastModifiedBy>Vinklerová Gabriela</cp:lastModifiedBy>
  <cp:revision>2</cp:revision>
  <dcterms:created xsi:type="dcterms:W3CDTF">2025-02-17T12:53:00Z</dcterms:created>
  <dcterms:modified xsi:type="dcterms:W3CDTF">2025-02-17T12:53:00Z</dcterms:modified>
</cp:coreProperties>
</file>