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98706E">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654768">
        <w:rPr>
          <w:rFonts w:ascii="Times New Roman" w:hAnsi="Times New Roman" w:cs="Times New Roman"/>
          <w:b w:val="0"/>
          <w:sz w:val="24"/>
          <w:szCs w:val="24"/>
        </w:rPr>
        <w:t xml:space="preserve">Poskytování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98706E">
        <w:rPr>
          <w:rFonts w:ascii="Times New Roman" w:hAnsi="Times New Roman" w:cs="Times New Roman"/>
          <w:b w:val="0"/>
          <w:sz w:val="24"/>
          <w:szCs w:val="24"/>
        </w:rPr>
        <w:t>– CASA EES</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523744" w:rsidRPr="00CC26D8" w:rsidTr="0012015D">
        <w:trPr>
          <w:trHeight w:val="297"/>
        </w:trPr>
        <w:tc>
          <w:tcPr>
            <w:tcW w:w="2655" w:type="dxa"/>
            <w:tcBorders>
              <w:top w:val="nil"/>
              <w:left w:val="nil"/>
              <w:bottom w:val="nil"/>
              <w:right w:val="nil"/>
            </w:tcBorders>
          </w:tcPr>
          <w:p w:rsidR="00523744" w:rsidRPr="00523744" w:rsidRDefault="00523744" w:rsidP="00523744">
            <w:pPr>
              <w:tabs>
                <w:tab w:val="center" w:pos="2124"/>
              </w:tabs>
              <w:spacing w:after="0" w:line="259" w:lineRule="auto"/>
              <w:ind w:left="0" w:firstLine="0"/>
              <w:jc w:val="left"/>
              <w:rPr>
                <w:rFonts w:ascii="Times New Roman" w:hAnsi="Times New Roman" w:cs="Times New Roman"/>
                <w:b/>
                <w:sz w:val="24"/>
                <w:szCs w:val="24"/>
              </w:rPr>
            </w:pPr>
            <w:r w:rsidRPr="00523744">
              <w:rPr>
                <w:rFonts w:ascii="Times New Roman" w:hAnsi="Times New Roman" w:cs="Times New Roman"/>
                <w:b/>
                <w:sz w:val="24"/>
                <w:szCs w:val="24"/>
              </w:rPr>
              <w:t xml:space="preserve">Název organizace  </w:t>
            </w:r>
            <w:r w:rsidRPr="00523744">
              <w:rPr>
                <w:rFonts w:ascii="Times New Roman" w:hAnsi="Times New Roman" w:cs="Times New Roman"/>
                <w:b/>
                <w:sz w:val="24"/>
                <w:szCs w:val="24"/>
              </w:rPr>
              <w:tab/>
              <w:t xml:space="preserve"> </w:t>
            </w:r>
          </w:p>
        </w:tc>
        <w:tc>
          <w:tcPr>
            <w:tcW w:w="6331" w:type="dxa"/>
            <w:tcBorders>
              <w:top w:val="nil"/>
              <w:left w:val="nil"/>
              <w:bottom w:val="nil"/>
              <w:right w:val="nil"/>
            </w:tcBorders>
          </w:tcPr>
          <w:p w:rsidR="00523744" w:rsidRPr="00523744" w:rsidRDefault="00523744" w:rsidP="00523744">
            <w:pPr>
              <w:spacing w:after="0" w:line="240" w:lineRule="auto"/>
              <w:rPr>
                <w:rFonts w:ascii="Times New Roman" w:hAnsi="Times New Roman" w:cs="Times New Roman"/>
                <w:b/>
                <w:sz w:val="24"/>
                <w:szCs w:val="24"/>
              </w:rPr>
            </w:pPr>
            <w:r w:rsidRPr="00523744">
              <w:rPr>
                <w:rFonts w:ascii="Times New Roman" w:hAnsi="Times New Roman" w:cs="Times New Roman"/>
                <w:b/>
                <w:sz w:val="24"/>
                <w:szCs w:val="24"/>
              </w:rPr>
              <w:t xml:space="preserve">Střední průmyslová škola Otrokovice </w:t>
            </w:r>
          </w:p>
        </w:tc>
      </w:tr>
      <w:tr w:rsidR="00523744" w:rsidRPr="0012015D" w:rsidTr="0012015D">
        <w:trPr>
          <w:trHeight w:val="293"/>
        </w:trPr>
        <w:tc>
          <w:tcPr>
            <w:tcW w:w="2655" w:type="dxa"/>
            <w:tcBorders>
              <w:top w:val="nil"/>
              <w:left w:val="nil"/>
              <w:bottom w:val="nil"/>
              <w:right w:val="nil"/>
            </w:tcBorders>
          </w:tcPr>
          <w:p w:rsidR="00523744" w:rsidRPr="0012015D" w:rsidRDefault="00523744" w:rsidP="00523744">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523744" w:rsidRPr="006B3676" w:rsidRDefault="00523744" w:rsidP="00523744">
            <w:pPr>
              <w:spacing w:after="0" w:line="240" w:lineRule="auto"/>
              <w:rPr>
                <w:rFonts w:ascii="Times New Roman" w:hAnsi="Times New Roman" w:cs="Times New Roman"/>
                <w:sz w:val="24"/>
                <w:szCs w:val="24"/>
              </w:rPr>
            </w:pPr>
            <w:r w:rsidRPr="006B3676">
              <w:rPr>
                <w:rFonts w:ascii="Times New Roman" w:hAnsi="Times New Roman" w:cs="Times New Roman"/>
                <w:sz w:val="24"/>
                <w:szCs w:val="24"/>
              </w:rPr>
              <w:t>tř. Tomáše Bati 1266, 76502 Otrokovice</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523744" w:rsidP="00A54CB9">
            <w:pPr>
              <w:spacing w:after="0" w:line="259" w:lineRule="auto"/>
              <w:ind w:left="0" w:right="54" w:firstLine="0"/>
              <w:jc w:val="left"/>
              <w:rPr>
                <w:rFonts w:ascii="Times New Roman" w:hAnsi="Times New Roman" w:cs="Times New Roman"/>
                <w:color w:val="auto"/>
                <w:sz w:val="24"/>
                <w:szCs w:val="24"/>
              </w:rPr>
            </w:pPr>
            <w:r w:rsidRPr="00523744">
              <w:rPr>
                <w:rFonts w:ascii="Times New Roman" w:hAnsi="Times New Roman" w:cs="Times New Roman"/>
                <w:color w:val="auto"/>
                <w:sz w:val="24"/>
                <w:szCs w:val="24"/>
              </w:rPr>
              <w:t>Mgr. Libor</w:t>
            </w:r>
            <w:r w:rsidR="005D0DC7">
              <w:rPr>
                <w:rFonts w:ascii="Times New Roman" w:hAnsi="Times New Roman" w:cs="Times New Roman"/>
                <w:color w:val="auto"/>
                <w:sz w:val="24"/>
                <w:szCs w:val="24"/>
              </w:rPr>
              <w:t>em</w:t>
            </w:r>
            <w:r w:rsidRPr="00523744">
              <w:rPr>
                <w:rFonts w:ascii="Times New Roman" w:hAnsi="Times New Roman" w:cs="Times New Roman"/>
                <w:color w:val="auto"/>
                <w:sz w:val="24"/>
                <w:szCs w:val="24"/>
              </w:rPr>
              <w:t xml:space="preserve"> </w:t>
            </w:r>
            <w:proofErr w:type="spellStart"/>
            <w:r w:rsidRPr="00523744">
              <w:rPr>
                <w:rFonts w:ascii="Times New Roman" w:hAnsi="Times New Roman" w:cs="Times New Roman"/>
                <w:color w:val="auto"/>
                <w:sz w:val="24"/>
                <w:szCs w:val="24"/>
              </w:rPr>
              <w:t>Basel</w:t>
            </w:r>
            <w:r w:rsidR="005D0DC7">
              <w:rPr>
                <w:rFonts w:ascii="Times New Roman" w:hAnsi="Times New Roman" w:cs="Times New Roman"/>
                <w:color w:val="auto"/>
                <w:sz w:val="24"/>
                <w:szCs w:val="24"/>
              </w:rPr>
              <w:t>em</w:t>
            </w:r>
            <w:proofErr w:type="spellEnd"/>
            <w:r w:rsidR="00644CA5" w:rsidRPr="00644CA5">
              <w:rPr>
                <w:rFonts w:ascii="Times New Roman" w:hAnsi="Times New Roman" w:cs="Times New Roman"/>
                <w:color w:val="auto"/>
                <w:sz w:val="24"/>
                <w:szCs w:val="24"/>
              </w:rPr>
              <w:t>,</w:t>
            </w:r>
            <w:r w:rsidR="00F6453A">
              <w:rPr>
                <w:rFonts w:ascii="Times New Roman" w:hAnsi="Times New Roman" w:cs="Times New Roman"/>
                <w:color w:val="auto"/>
                <w:sz w:val="24"/>
                <w:szCs w:val="24"/>
              </w:rPr>
              <w:t xml:space="preserve"> MBA,</w:t>
            </w:r>
            <w:r w:rsidR="00644CA5" w:rsidRPr="00644CA5">
              <w:rPr>
                <w:rFonts w:ascii="Times New Roman" w:hAnsi="Times New Roman" w:cs="Times New Roman"/>
                <w:color w:val="auto"/>
                <w:sz w:val="24"/>
                <w:szCs w:val="24"/>
              </w:rPr>
              <w:t xml:space="preserve"> </w:t>
            </w:r>
            <w:r w:rsidR="00F949BC" w:rsidRPr="00644CA5">
              <w:rPr>
                <w:rFonts w:ascii="Times New Roman" w:hAnsi="Times New Roman" w:cs="Times New Roman"/>
                <w:color w:val="auto"/>
                <w:sz w:val="24"/>
                <w:szCs w:val="24"/>
              </w:rPr>
              <w:t>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F6453A" w:rsidRDefault="00F6453A" w:rsidP="00F6453A">
            <w:pPr>
              <w:spacing w:after="0" w:line="259" w:lineRule="auto"/>
              <w:ind w:left="0" w:right="54" w:firstLine="0"/>
              <w:jc w:val="left"/>
              <w:rPr>
                <w:rFonts w:ascii="Times New Roman" w:hAnsi="Times New Roman" w:cs="Times New Roman"/>
                <w:color w:val="auto"/>
                <w:sz w:val="24"/>
                <w:szCs w:val="24"/>
              </w:rPr>
            </w:pPr>
            <w:r w:rsidRPr="00F6453A">
              <w:rPr>
                <w:rFonts w:ascii="Times New Roman" w:hAnsi="Times New Roman" w:cs="Times New Roman"/>
                <w:color w:val="auto"/>
                <w:sz w:val="24"/>
                <w:szCs w:val="24"/>
              </w:rPr>
              <w:t>Mgr. Libor Basel, MBA</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6453A" w:rsidRDefault="00E95D46" w:rsidP="002B35DE">
            <w:pPr>
              <w:spacing w:after="0" w:line="259" w:lineRule="auto"/>
              <w:ind w:left="0" w:right="54" w:firstLine="0"/>
              <w:jc w:val="left"/>
              <w:rPr>
                <w:rFonts w:ascii="Times New Roman" w:hAnsi="Times New Roman" w:cs="Times New Roman"/>
                <w:color w:val="auto"/>
                <w:sz w:val="24"/>
                <w:szCs w:val="24"/>
              </w:rPr>
            </w:pP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6453A" w:rsidRDefault="00B873F5"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B35DE" w:rsidRDefault="00E95D46" w:rsidP="002B35DE">
            <w:pPr>
              <w:spacing w:after="0" w:line="259" w:lineRule="auto"/>
              <w:ind w:left="0" w:right="54" w:firstLine="0"/>
              <w:jc w:val="left"/>
              <w:rPr>
                <w:rFonts w:ascii="Times New Roman" w:hAnsi="Times New Roman" w:cs="Times New Roman"/>
                <w:color w:val="FF0000"/>
                <w:sz w:val="24"/>
                <w:szCs w:val="24"/>
              </w:rPr>
            </w:pP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E95D46" w:rsidP="002B35DE">
            <w:pPr>
              <w:spacing w:after="0" w:line="259" w:lineRule="auto"/>
              <w:ind w:left="0" w:right="54" w:firstLine="0"/>
              <w:jc w:val="left"/>
              <w:rPr>
                <w:rFonts w:ascii="Times New Roman" w:hAnsi="Times New Roman" w:cs="Times New Roman"/>
                <w:color w:val="FF0000"/>
                <w:sz w:val="24"/>
                <w:szCs w:val="24"/>
              </w:rPr>
            </w:pP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523744" w:rsidP="0012015D">
            <w:pPr>
              <w:spacing w:after="0" w:line="259" w:lineRule="auto"/>
              <w:ind w:left="0" w:right="54" w:firstLine="0"/>
              <w:rPr>
                <w:rFonts w:ascii="Times New Roman" w:hAnsi="Times New Roman" w:cs="Times New Roman"/>
                <w:color w:val="auto"/>
                <w:sz w:val="24"/>
                <w:szCs w:val="24"/>
              </w:rPr>
            </w:pPr>
            <w:r w:rsidRPr="00523744">
              <w:rPr>
                <w:rFonts w:ascii="Times New Roman" w:hAnsi="Times New Roman" w:cs="Times New Roman"/>
                <w:color w:val="auto"/>
                <w:sz w:val="24"/>
                <w:szCs w:val="24"/>
              </w:rPr>
              <w:t>00128198</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6453A"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CZ00128198</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E95D46">
            <w:pPr>
              <w:spacing w:after="0" w:line="259" w:lineRule="auto"/>
              <w:ind w:left="0" w:firstLine="0"/>
              <w:jc w:val="left"/>
              <w:rPr>
                <w:rFonts w:ascii="Times New Roman" w:hAnsi="Times New Roman" w:cs="Times New Roman"/>
                <w:color w:val="auto"/>
                <w:sz w:val="24"/>
                <w:szCs w:val="24"/>
              </w:rPr>
            </w:pP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E95D46">
            <w:pPr>
              <w:spacing w:after="0" w:line="259" w:lineRule="auto"/>
              <w:ind w:left="0" w:firstLine="0"/>
              <w:jc w:val="left"/>
              <w:rPr>
                <w:rFonts w:ascii="Times New Roman" w:hAnsi="Times New Roman" w:cs="Times New Roman"/>
                <w:color w:val="auto"/>
                <w:sz w:val="24"/>
                <w:szCs w:val="24"/>
              </w:rPr>
            </w:pP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E95D46">
            <w:pPr>
              <w:spacing w:after="0" w:line="259" w:lineRule="auto"/>
              <w:ind w:left="0" w:firstLine="0"/>
              <w:jc w:val="left"/>
              <w:rPr>
                <w:rFonts w:ascii="Times New Roman" w:hAnsi="Times New Roman" w:cs="Times New Roman"/>
                <w:color w:val="auto"/>
                <w:sz w:val="24"/>
                <w:szCs w:val="24"/>
              </w:rPr>
            </w:pP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bookmarkStart w:id="0" w:name="_GoBack"/>
            <w:bookmarkEnd w:id="0"/>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98706E" w:rsidRDefault="0098706E">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FA61A9" w:rsidRPr="00644CA5">
              <w:rPr>
                <w:rFonts w:ascii="Times New Roman" w:hAnsi="Times New Roman" w:cs="Times New Roman"/>
                <w:sz w:val="24"/>
                <w:szCs w:val="24"/>
              </w:rPr>
              <w:t xml:space="preserve"> </w:t>
            </w:r>
            <w:r w:rsidR="00523744">
              <w:rPr>
                <w:rFonts w:ascii="Times New Roman" w:hAnsi="Times New Roman" w:cs="Times New Roman"/>
                <w:sz w:val="24"/>
                <w:szCs w:val="24"/>
              </w:rPr>
              <w:t>Otrokovicích</w:t>
            </w:r>
            <w:r w:rsidRPr="00644CA5">
              <w:rPr>
                <w:rFonts w:ascii="Times New Roman" w:hAnsi="Times New Roman" w:cs="Times New Roman"/>
                <w:i/>
                <w:color w:val="FF0000"/>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523744" w:rsidP="007F6EC8">
      <w:pPr>
        <w:spacing w:after="0" w:line="259" w:lineRule="auto"/>
        <w:ind w:left="4963" w:hanging="4963"/>
        <w:jc w:val="left"/>
        <w:rPr>
          <w:rFonts w:ascii="Times New Roman" w:hAnsi="Times New Roman" w:cs="Times New Roman"/>
          <w:color w:val="auto"/>
          <w:sz w:val="24"/>
          <w:szCs w:val="24"/>
        </w:rPr>
      </w:pPr>
      <w:r w:rsidRPr="00523744">
        <w:rPr>
          <w:rFonts w:ascii="Times New Roman" w:hAnsi="Times New Roman" w:cs="Times New Roman"/>
          <w:color w:val="auto"/>
          <w:sz w:val="24"/>
          <w:szCs w:val="24"/>
        </w:rPr>
        <w:t>Mgr. Libor Basel</w:t>
      </w:r>
      <w:r w:rsidR="0098706E">
        <w:rPr>
          <w:rFonts w:ascii="Times New Roman" w:hAnsi="Times New Roman" w:cs="Times New Roman"/>
          <w:color w:val="auto"/>
          <w:sz w:val="24"/>
          <w:szCs w:val="24"/>
        </w:rPr>
        <w:t xml:space="preserve">, </w:t>
      </w:r>
      <w:r w:rsidR="0098706E" w:rsidRPr="00F6453A">
        <w:rPr>
          <w:rFonts w:ascii="Times New Roman" w:hAnsi="Times New Roman" w:cs="Times New Roman"/>
          <w:color w:val="auto"/>
          <w:sz w:val="24"/>
          <w:szCs w:val="24"/>
        </w:rPr>
        <w:t>MBA</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523744" w:rsidP="004B70B5">
            <w:pPr>
              <w:spacing w:after="0" w:line="259" w:lineRule="auto"/>
              <w:ind w:left="0" w:firstLine="0"/>
              <w:jc w:val="left"/>
              <w:rPr>
                <w:rFonts w:ascii="Times New Roman" w:hAnsi="Times New Roman" w:cs="Times New Roman"/>
                <w:sz w:val="24"/>
                <w:szCs w:val="24"/>
              </w:rPr>
            </w:pPr>
            <w:r w:rsidRPr="00523744">
              <w:rPr>
                <w:rFonts w:ascii="Times New Roman" w:hAnsi="Times New Roman" w:cs="Times New Roman"/>
                <w:color w:val="auto"/>
                <w:sz w:val="24"/>
                <w:szCs w:val="24"/>
              </w:rPr>
              <w:t>Střední průmyslová škola Otrokovice</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523744" w:rsidP="006E0C0C">
            <w:pPr>
              <w:spacing w:after="160" w:line="259" w:lineRule="auto"/>
              <w:ind w:left="0" w:firstLine="0"/>
              <w:jc w:val="center"/>
              <w:rPr>
                <w:rFonts w:ascii="Times New Roman" w:hAnsi="Times New Roman" w:cs="Times New Roman"/>
                <w:sz w:val="24"/>
                <w:szCs w:val="24"/>
              </w:rPr>
            </w:pPr>
            <w:r w:rsidRPr="00523744">
              <w:rPr>
                <w:rFonts w:ascii="Times New Roman" w:hAnsi="Times New Roman" w:cs="Times New Roman"/>
                <w:sz w:val="24"/>
                <w:szCs w:val="24"/>
              </w:rPr>
              <w:t>00128198</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523744"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523744" w:rsidP="006E0C0C">
            <w:pPr>
              <w:spacing w:after="160" w:line="259" w:lineRule="auto"/>
              <w:ind w:left="0" w:firstLine="0"/>
              <w:jc w:val="center"/>
              <w:rPr>
                <w:rFonts w:ascii="Times New Roman" w:hAnsi="Times New Roman" w:cs="Times New Roman"/>
                <w:sz w:val="24"/>
                <w:szCs w:val="24"/>
              </w:rPr>
            </w:pPr>
            <w:r w:rsidRPr="00523744">
              <w:rPr>
                <w:rFonts w:ascii="Times New Roman" w:hAnsi="Times New Roman" w:cs="Times New Roman"/>
                <w:sz w:val="24"/>
                <w:szCs w:val="24"/>
              </w:rPr>
              <w:t>9 684,00</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0D" w:rsidRDefault="00A3170D">
      <w:pPr>
        <w:spacing w:after="0" w:line="240" w:lineRule="auto"/>
      </w:pPr>
      <w:r>
        <w:separator/>
      </w:r>
    </w:p>
  </w:endnote>
  <w:endnote w:type="continuationSeparator" w:id="0">
    <w:p w:rsidR="00A3170D" w:rsidRDefault="00A3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E95D4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0D" w:rsidRDefault="00A3170D">
      <w:pPr>
        <w:spacing w:after="0" w:line="240" w:lineRule="auto"/>
      </w:pPr>
      <w:r>
        <w:separator/>
      </w:r>
    </w:p>
  </w:footnote>
  <w:footnote w:type="continuationSeparator" w:id="0">
    <w:p w:rsidR="00A3170D" w:rsidRDefault="00A3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F5857"/>
    <w:rsid w:val="000F7182"/>
    <w:rsid w:val="0012015D"/>
    <w:rsid w:val="001368F2"/>
    <w:rsid w:val="001416EE"/>
    <w:rsid w:val="001560C1"/>
    <w:rsid w:val="0015711A"/>
    <w:rsid w:val="001779C4"/>
    <w:rsid w:val="001828DD"/>
    <w:rsid w:val="00183815"/>
    <w:rsid w:val="00184E39"/>
    <w:rsid w:val="00190046"/>
    <w:rsid w:val="001A2F47"/>
    <w:rsid w:val="001E582F"/>
    <w:rsid w:val="001F534E"/>
    <w:rsid w:val="002026F5"/>
    <w:rsid w:val="002413B1"/>
    <w:rsid w:val="002B14FD"/>
    <w:rsid w:val="002B35DE"/>
    <w:rsid w:val="002E4733"/>
    <w:rsid w:val="003358EB"/>
    <w:rsid w:val="003E4BA1"/>
    <w:rsid w:val="003F1DCD"/>
    <w:rsid w:val="00411ECA"/>
    <w:rsid w:val="00432CF5"/>
    <w:rsid w:val="00444CCD"/>
    <w:rsid w:val="00447C0D"/>
    <w:rsid w:val="00452479"/>
    <w:rsid w:val="004560AD"/>
    <w:rsid w:val="004B3711"/>
    <w:rsid w:val="004B70B5"/>
    <w:rsid w:val="004C47B9"/>
    <w:rsid w:val="00523744"/>
    <w:rsid w:val="005412F8"/>
    <w:rsid w:val="005B488B"/>
    <w:rsid w:val="005D0DC7"/>
    <w:rsid w:val="006300F1"/>
    <w:rsid w:val="0063272F"/>
    <w:rsid w:val="00643358"/>
    <w:rsid w:val="00644CA5"/>
    <w:rsid w:val="00646100"/>
    <w:rsid w:val="00654768"/>
    <w:rsid w:val="00657613"/>
    <w:rsid w:val="00672C36"/>
    <w:rsid w:val="00691C1B"/>
    <w:rsid w:val="006C27FF"/>
    <w:rsid w:val="006E0C0C"/>
    <w:rsid w:val="0073384D"/>
    <w:rsid w:val="00734291"/>
    <w:rsid w:val="00734833"/>
    <w:rsid w:val="00735510"/>
    <w:rsid w:val="007762B7"/>
    <w:rsid w:val="007822F0"/>
    <w:rsid w:val="00785973"/>
    <w:rsid w:val="007A2207"/>
    <w:rsid w:val="007E3B7C"/>
    <w:rsid w:val="007F6EC8"/>
    <w:rsid w:val="00812BAB"/>
    <w:rsid w:val="008139F8"/>
    <w:rsid w:val="00845D42"/>
    <w:rsid w:val="008B1400"/>
    <w:rsid w:val="0090075A"/>
    <w:rsid w:val="0098706E"/>
    <w:rsid w:val="0098771D"/>
    <w:rsid w:val="00990E74"/>
    <w:rsid w:val="009E1C2D"/>
    <w:rsid w:val="009F6C25"/>
    <w:rsid w:val="00A3170D"/>
    <w:rsid w:val="00A370C1"/>
    <w:rsid w:val="00A54CB9"/>
    <w:rsid w:val="00A95322"/>
    <w:rsid w:val="00B66185"/>
    <w:rsid w:val="00B873F5"/>
    <w:rsid w:val="00C16EBE"/>
    <w:rsid w:val="00C761ED"/>
    <w:rsid w:val="00C86306"/>
    <w:rsid w:val="00C9183E"/>
    <w:rsid w:val="00C95C98"/>
    <w:rsid w:val="00CB1B3D"/>
    <w:rsid w:val="00CC26D8"/>
    <w:rsid w:val="00CE4D6A"/>
    <w:rsid w:val="00CF71E6"/>
    <w:rsid w:val="00D36EEE"/>
    <w:rsid w:val="00D8453E"/>
    <w:rsid w:val="00DF7CD6"/>
    <w:rsid w:val="00E41863"/>
    <w:rsid w:val="00E95D46"/>
    <w:rsid w:val="00E96846"/>
    <w:rsid w:val="00EA3B79"/>
    <w:rsid w:val="00EC6EBF"/>
    <w:rsid w:val="00F05F99"/>
    <w:rsid w:val="00F572F6"/>
    <w:rsid w:val="00F57620"/>
    <w:rsid w:val="00F6453A"/>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7DC4"/>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8135">
      <w:bodyDiv w:val="1"/>
      <w:marLeft w:val="0"/>
      <w:marRight w:val="0"/>
      <w:marTop w:val="0"/>
      <w:marBottom w:val="0"/>
      <w:divBdr>
        <w:top w:val="none" w:sz="0" w:space="0" w:color="auto"/>
        <w:left w:val="none" w:sz="0" w:space="0" w:color="auto"/>
        <w:bottom w:val="none" w:sz="0" w:space="0" w:color="auto"/>
        <w:right w:val="none" w:sz="0" w:space="0" w:color="auto"/>
      </w:divBdr>
    </w:div>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10698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Jandousova Libuse</cp:lastModifiedBy>
  <cp:revision>2</cp:revision>
  <cp:lastPrinted>2017-03-07T12:02:00Z</cp:lastPrinted>
  <dcterms:created xsi:type="dcterms:W3CDTF">2017-08-07T11:24:00Z</dcterms:created>
  <dcterms:modified xsi:type="dcterms:W3CDTF">2017-08-07T11:24:00Z</dcterms:modified>
</cp:coreProperties>
</file>