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2A632CD6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bookmarkEnd w:id="1"/>
      <w:r w:rsidR="00C6625F">
        <w:rPr>
          <w:b/>
        </w:rPr>
        <w:t>Gymnázium, Trutnov, Jiráskovo náměstí 325</w:t>
      </w:r>
    </w:p>
    <w:p w14:paraId="7DE95287" w14:textId="10B6C2BE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C6625F">
        <w:t>60153237</w:t>
      </w:r>
    </w:p>
    <w:p w14:paraId="7B0FEF10" w14:textId="2DF47D2C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C6625F">
        <w:t>Jiráskovo náměstí 325, 541 01 Trutnov</w:t>
      </w:r>
    </w:p>
    <w:p w14:paraId="6CE19EA5" w14:textId="17BEBF0F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C6625F">
        <w:t>Mgr. Petr Skokan, ředitel školy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401E5E9B" w:rsidR="00F636F3" w:rsidRDefault="00F636F3" w:rsidP="00C6625F">
            <w:pPr>
              <w:jc w:val="both"/>
            </w:pPr>
            <w:r>
              <w:t xml:space="preserve">V Praze dne </w:t>
            </w:r>
            <w:r w:rsidR="00C6625F">
              <w:t>31. 5. 2017</w:t>
            </w:r>
            <w:bookmarkStart w:id="2" w:name="_GoBack"/>
            <w:bookmarkEnd w:id="2"/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2A74BE95" w:rsidR="00F636F3" w:rsidRDefault="00F636F3" w:rsidP="00C6625F">
            <w:pPr>
              <w:jc w:val="both"/>
            </w:pPr>
            <w:r>
              <w:t>V </w:t>
            </w:r>
            <w:r w:rsidR="00C6625F">
              <w:t>Trutnově dne 30. 5. 2017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1EFC4F95" w:rsidR="00F636F3" w:rsidRPr="00E60A3A" w:rsidRDefault="00C6625F" w:rsidP="00F16AB8">
            <w:pPr>
              <w:jc w:val="both"/>
            </w:pPr>
            <w:r>
              <w:t>Mgr. Petr Skokan, ředitel školy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8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8E11" w14:textId="77777777" w:rsidR="00D76723" w:rsidRDefault="00D76723" w:rsidP="00B43503">
      <w:pPr>
        <w:spacing w:after="0" w:line="240" w:lineRule="auto"/>
      </w:pPr>
      <w:r>
        <w:separator/>
      </w:r>
    </w:p>
  </w:endnote>
  <w:endnote w:type="continuationSeparator" w:id="0">
    <w:p w14:paraId="20138A28" w14:textId="77777777" w:rsidR="00D76723" w:rsidRDefault="00D76723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44F51276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6625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44F51276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6625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16907" w14:textId="77777777" w:rsidR="00D76723" w:rsidRDefault="00D76723" w:rsidP="00B43503">
      <w:pPr>
        <w:spacing w:after="0" w:line="240" w:lineRule="auto"/>
      </w:pPr>
      <w:r>
        <w:separator/>
      </w:r>
    </w:p>
  </w:footnote>
  <w:footnote w:type="continuationSeparator" w:id="0">
    <w:p w14:paraId="5897A03B" w14:textId="77777777" w:rsidR="00D76723" w:rsidRDefault="00D76723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6625F"/>
    <w:rsid w:val="00C87854"/>
    <w:rsid w:val="00C91A51"/>
    <w:rsid w:val="00CA58AB"/>
    <w:rsid w:val="00CD145D"/>
    <w:rsid w:val="00D6304B"/>
    <w:rsid w:val="00D63F73"/>
    <w:rsid w:val="00D64241"/>
    <w:rsid w:val="00D75513"/>
    <w:rsid w:val="00D7672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CEE8-C88F-46A2-A1F9-C145206E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Mgr. Petr Skokan</cp:lastModifiedBy>
  <cp:revision>2</cp:revision>
  <cp:lastPrinted>2017-03-15T09:32:00Z</cp:lastPrinted>
  <dcterms:created xsi:type="dcterms:W3CDTF">2017-08-07T11:28:00Z</dcterms:created>
  <dcterms:modified xsi:type="dcterms:W3CDTF">2017-08-07T11:28:00Z</dcterms:modified>
</cp:coreProperties>
</file>