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940" w:after="180" w:line="480" w:lineRule="auto"/>
        <w:ind w:left="0" w:right="0" w:firstLine="0"/>
        <w:jc w:val="center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Dohoda o narovnání (dodatek č. 2) ke</w:t>
        <w:br/>
        <w:t>SMLOUVĚ O DÍLO</w:t>
      </w:r>
      <w:bookmarkEnd w:id="0"/>
      <w:bookmarkEnd w:id="1"/>
      <w:bookmarkEnd w:id="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3" w:name="bookmark3"/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v souladu s § 2586 a násl. zákona č. 89/2012 Sb., občanský zákoník, ve znění pozdějších předpisů (dále jen „OZ“), (dále jen „dodatek“)</w:t>
      </w:r>
      <w:bookmarkEnd w:id="3"/>
      <w:bookmarkEnd w:id="4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5" w:name="bookmark5"/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66/2024</w:t>
      </w:r>
      <w:bookmarkEnd w:id="5"/>
      <w:bookmarkEnd w:id="6"/>
      <w:bookmarkEnd w:id="7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2720" w:right="0" w:firstLine="0"/>
        <w:jc w:val="left"/>
      </w:pPr>
      <w:bookmarkStart w:id="10" w:name="bookmark10"/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</w:t>
      </w:r>
      <w:bookmarkEnd w:id="10"/>
      <w:bookmarkEnd w:id="8"/>
      <w:bookmarkEnd w:id="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“VD Podhora – plovoucí FVE”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11" w:name="bookmark11"/>
      <w:bookmarkStart w:id="12" w:name="bookmark12"/>
      <w:bookmarkStart w:id="13" w:name="bookmark1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11"/>
      <w:bookmarkEnd w:id="12"/>
      <w:bookmarkEnd w:id="13"/>
    </w:p>
    <w:p>
      <w:pPr>
        <w:pStyle w:val="Style2"/>
        <w:keepNext/>
        <w:keepLines/>
        <w:widowControl w:val="0"/>
        <w:shd w:val="clear" w:color="auto" w:fill="auto"/>
        <w:tabs>
          <w:tab w:pos="2773" w:val="left"/>
        </w:tabs>
        <w:bidi w:val="0"/>
        <w:spacing w:before="0" w:after="0" w:line="240" w:lineRule="auto"/>
        <w:ind w:left="0" w:right="0" w:firstLine="0"/>
        <w:jc w:val="left"/>
      </w:pPr>
      <w:bookmarkStart w:id="14" w:name="bookmark14"/>
      <w:bookmarkStart w:id="15" w:name="bookmark15"/>
      <w:bookmarkStart w:id="16" w:name="bookmark16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  <w:bookmarkEnd w:id="14"/>
      <w:bookmarkEnd w:id="15"/>
      <w:bookmarkEnd w:id="16"/>
    </w:p>
    <w:p>
      <w:pPr>
        <w:pStyle w:val="Style2"/>
        <w:keepNext/>
        <w:keepLines/>
        <w:widowControl w:val="0"/>
        <w:shd w:val="clear" w:color="auto" w:fill="auto"/>
        <w:tabs>
          <w:tab w:pos="2773" w:val="left"/>
        </w:tabs>
        <w:bidi w:val="0"/>
        <w:spacing w:before="0" w:after="0" w:line="240" w:lineRule="auto"/>
        <w:ind w:left="0" w:right="0" w:firstLine="0"/>
        <w:jc w:val="left"/>
      </w:pPr>
      <w:bookmarkStart w:id="17" w:name="bookmark17"/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  <w:bookmarkEnd w:id="17"/>
      <w:bookmarkEnd w:id="18"/>
      <w:bookmarkEnd w:id="1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0" w:name="bookmark20"/>
      <w:bookmarkStart w:id="21" w:name="bookmark21"/>
      <w:bookmarkStart w:id="22" w:name="bookmark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  <w:bookmarkEnd w:id="20"/>
      <w:bookmarkEnd w:id="21"/>
      <w:bookmarkEnd w:id="2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23" w:name="bookmark23"/>
      <w:bookmarkStart w:id="24" w:name="bookmark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 a k jednání o věcech smluvních: oprávněn jednat o věcech technických:</w:t>
      </w:r>
      <w:bookmarkEnd w:id="23"/>
      <w:bookmarkEnd w:id="24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25" w:name="bookmark25"/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objednatele:</w:t>
      </w:r>
      <w:bookmarkEnd w:id="25"/>
      <w:bookmarkEnd w:id="26"/>
      <w:bookmarkEnd w:id="27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28" w:name="bookmark28"/>
      <w:bookmarkStart w:id="29" w:name="bookmark29"/>
      <w:bookmarkStart w:id="30" w:name="bookmark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manažer projektu</w:t>
      </w:r>
      <w:bookmarkEnd w:id="28"/>
      <w:bookmarkEnd w:id="29"/>
      <w:bookmarkEnd w:id="30"/>
    </w:p>
    <w:p>
      <w:pPr>
        <w:pStyle w:val="Style2"/>
        <w:keepNext/>
        <w:keepLines/>
        <w:widowControl w:val="0"/>
        <w:shd w:val="clear" w:color="auto" w:fill="auto"/>
        <w:tabs>
          <w:tab w:pos="2773" w:val="left"/>
        </w:tabs>
        <w:bidi w:val="0"/>
        <w:spacing w:before="0" w:after="0" w:line="240" w:lineRule="auto"/>
        <w:ind w:left="0" w:right="0" w:firstLine="0"/>
        <w:jc w:val="left"/>
      </w:pPr>
      <w:bookmarkStart w:id="31" w:name="bookmark31"/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  <w:bookmarkEnd w:id="31"/>
      <w:bookmarkEnd w:id="32"/>
      <w:bookmarkEnd w:id="33"/>
    </w:p>
    <w:p>
      <w:pPr>
        <w:pStyle w:val="Style2"/>
        <w:keepNext/>
        <w:keepLines/>
        <w:widowControl w:val="0"/>
        <w:shd w:val="clear" w:color="auto" w:fill="auto"/>
        <w:tabs>
          <w:tab w:pos="2773" w:val="left"/>
        </w:tabs>
        <w:bidi w:val="0"/>
        <w:spacing w:before="0" w:after="0" w:line="240" w:lineRule="auto"/>
        <w:ind w:left="0" w:right="0" w:firstLine="0"/>
        <w:jc w:val="left"/>
      </w:pPr>
      <w:bookmarkStart w:id="34" w:name="bookmark34"/>
      <w:bookmarkStart w:id="35" w:name="bookmark35"/>
      <w:bookmarkStart w:id="36" w:name="bookmark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  <w:bookmarkEnd w:id="34"/>
      <w:bookmarkEnd w:id="35"/>
      <w:bookmarkEnd w:id="3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7" w:name="bookmark37"/>
      <w:bookmarkStart w:id="38" w:name="bookmark38"/>
      <w:bookmarkStart w:id="39" w:name="bookmark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37"/>
      <w:bookmarkEnd w:id="38"/>
      <w:bookmarkEnd w:id="3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0" w:name="bookmark40"/>
      <w:bookmarkStart w:id="41" w:name="bookmark41"/>
      <w:bookmarkStart w:id="42" w:name="bookmark4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40"/>
      <w:bookmarkEnd w:id="41"/>
      <w:bookmarkEnd w:id="4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43" w:name="bookmark43"/>
      <w:bookmarkStart w:id="44" w:name="bookmark44"/>
      <w:bookmarkStart w:id="45" w:name="bookmark4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43"/>
      <w:bookmarkEnd w:id="44"/>
      <w:bookmarkEnd w:id="4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46" w:name="bookmark46"/>
      <w:bookmarkStart w:id="47" w:name="bookmark47"/>
      <w:bookmarkStart w:id="48" w:name="bookmark48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46"/>
      <w:bookmarkEnd w:id="47"/>
      <w:bookmarkEnd w:id="48"/>
    </w:p>
    <w:p>
      <w:pPr>
        <w:pStyle w:val="Style2"/>
        <w:keepNext/>
        <w:keepLines/>
        <w:widowControl w:val="0"/>
        <w:shd w:val="clear" w:color="auto" w:fill="auto"/>
        <w:tabs>
          <w:tab w:pos="2773" w:val="left"/>
        </w:tabs>
        <w:bidi w:val="0"/>
        <w:spacing w:before="0" w:after="0" w:line="240" w:lineRule="auto"/>
        <w:ind w:left="0" w:right="0" w:firstLine="0"/>
        <w:jc w:val="left"/>
      </w:pPr>
      <w:bookmarkStart w:id="49" w:name="bookmark49"/>
      <w:bookmarkStart w:id="50" w:name="bookmark50"/>
      <w:bookmarkStart w:id="51" w:name="bookmark51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KEROSIN s.r.o.</w:t>
      </w:r>
      <w:bookmarkEnd w:id="49"/>
      <w:bookmarkEnd w:id="50"/>
      <w:bookmarkEnd w:id="51"/>
    </w:p>
    <w:p>
      <w:pPr>
        <w:pStyle w:val="Style2"/>
        <w:keepNext/>
        <w:keepLines/>
        <w:widowControl w:val="0"/>
        <w:shd w:val="clear" w:color="auto" w:fill="auto"/>
        <w:tabs>
          <w:tab w:pos="2773" w:val="left"/>
        </w:tabs>
        <w:bidi w:val="0"/>
        <w:spacing w:before="0" w:after="0" w:line="240" w:lineRule="auto"/>
        <w:ind w:left="0" w:right="0" w:firstLine="0"/>
        <w:jc w:val="left"/>
      </w:pPr>
      <w:bookmarkStart w:id="52" w:name="bookmark52"/>
      <w:bookmarkStart w:id="53" w:name="bookmark53"/>
      <w:bookmarkStart w:id="54" w:name="bookmark5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Michelská 18/12A, Michle, 140 00 Praha 4</w:t>
      </w:r>
      <w:bookmarkEnd w:id="52"/>
      <w:bookmarkEnd w:id="53"/>
      <w:bookmarkEnd w:id="54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5" w:name="bookmark55"/>
      <w:bookmarkStart w:id="56" w:name="bookmark56"/>
      <w:bookmarkStart w:id="57" w:name="bookmark5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</w:t>
      </w:r>
      <w:bookmarkEnd w:id="55"/>
      <w:bookmarkEnd w:id="56"/>
      <w:bookmarkEnd w:id="57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8" w:name="bookmark58"/>
      <w:bookmarkStart w:id="59" w:name="bookmark59"/>
      <w:bookmarkStart w:id="60" w:name="bookmark6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</w:t>
      </w:r>
      <w:bookmarkEnd w:id="58"/>
      <w:bookmarkEnd w:id="59"/>
      <w:bookmarkEnd w:id="60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1" w:name="bookmark61"/>
      <w:bookmarkStart w:id="62" w:name="bookmark62"/>
      <w:bookmarkStart w:id="63" w:name="bookmark63"/>
      <w:bookmarkStart w:id="64" w:name="bookmark6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technických:</w:t>
      </w:r>
      <w:bookmarkEnd w:id="61"/>
      <w:bookmarkEnd w:id="62"/>
      <w:bookmarkEnd w:id="63"/>
      <w:bookmarkEnd w:id="64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5" w:name="bookmark65"/>
      <w:bookmarkStart w:id="66" w:name="bookmark66"/>
      <w:bookmarkStart w:id="67" w:name="bookmark6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stavbyvedoucí:</w:t>
      </w:r>
      <w:bookmarkEnd w:id="65"/>
      <w:bookmarkEnd w:id="66"/>
      <w:bookmarkEnd w:id="67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8" w:name="bookmark68"/>
      <w:bookmarkStart w:id="69" w:name="bookmark69"/>
      <w:bookmarkStart w:id="70" w:name="bookmark7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manažer stavby:</w:t>
      </w:r>
      <w:bookmarkEnd w:id="68"/>
      <w:bookmarkEnd w:id="69"/>
      <w:bookmarkEnd w:id="70"/>
    </w:p>
    <w:p>
      <w:pPr>
        <w:pStyle w:val="Style2"/>
        <w:keepNext/>
        <w:keepLines/>
        <w:widowControl w:val="0"/>
        <w:shd w:val="clear" w:color="auto" w:fill="auto"/>
        <w:tabs>
          <w:tab w:pos="2773" w:val="left"/>
        </w:tabs>
        <w:bidi w:val="0"/>
        <w:spacing w:before="0" w:after="0" w:line="240" w:lineRule="auto"/>
        <w:ind w:left="0" w:right="0" w:firstLine="0"/>
        <w:jc w:val="left"/>
      </w:pPr>
      <w:bookmarkStart w:id="71" w:name="bookmark71"/>
      <w:bookmarkStart w:id="72" w:name="bookmark72"/>
      <w:bookmarkStart w:id="73" w:name="bookmark7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09095861</w:t>
      </w:r>
      <w:bookmarkEnd w:id="71"/>
      <w:bookmarkEnd w:id="72"/>
      <w:bookmarkEnd w:id="73"/>
    </w:p>
    <w:p>
      <w:pPr>
        <w:pStyle w:val="Style2"/>
        <w:keepNext/>
        <w:keepLines/>
        <w:widowControl w:val="0"/>
        <w:shd w:val="clear" w:color="auto" w:fill="auto"/>
        <w:tabs>
          <w:tab w:pos="2773" w:val="left"/>
        </w:tabs>
        <w:bidi w:val="0"/>
        <w:spacing w:before="0" w:after="0" w:line="240" w:lineRule="auto"/>
        <w:ind w:left="0" w:right="0" w:firstLine="0"/>
        <w:jc w:val="left"/>
      </w:pPr>
      <w:bookmarkStart w:id="74" w:name="bookmark74"/>
      <w:bookmarkStart w:id="75" w:name="bookmark75"/>
      <w:bookmarkStart w:id="76" w:name="bookmark7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CZ09095861</w:t>
      </w:r>
      <w:bookmarkEnd w:id="74"/>
      <w:bookmarkEnd w:id="75"/>
      <w:bookmarkEnd w:id="7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7" w:name="bookmark77"/>
      <w:bookmarkStart w:id="78" w:name="bookmark78"/>
      <w:bookmarkStart w:id="79" w:name="bookmark7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77"/>
      <w:bookmarkEnd w:id="78"/>
      <w:bookmarkEnd w:id="7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0" w:name="bookmark80"/>
      <w:bookmarkStart w:id="81" w:name="bookmark81"/>
      <w:bookmarkStart w:id="82" w:name="bookmark8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80"/>
      <w:bookmarkEnd w:id="81"/>
      <w:bookmarkEnd w:id="8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3" w:name="bookmark83"/>
      <w:bookmarkStart w:id="84" w:name="bookmark84"/>
      <w:bookmarkStart w:id="85" w:name="bookmark8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Městský soud v Praze, oddíl C, vložka 330854</w:t>
      </w:r>
      <w:bookmarkEnd w:id="83"/>
      <w:bookmarkEnd w:id="84"/>
      <w:bookmarkEnd w:id="85"/>
    </w:p>
    <w:p>
      <w:pPr>
        <w:pStyle w:val="Style2"/>
        <w:keepNext/>
        <w:keepLines/>
        <w:widowControl w:val="0"/>
        <w:shd w:val="clear" w:color="auto" w:fill="auto"/>
        <w:tabs>
          <w:tab w:pos="2773" w:val="left"/>
        </w:tabs>
        <w:bidi w:val="0"/>
        <w:spacing w:before="0" w:after="0" w:line="240" w:lineRule="auto"/>
        <w:ind w:left="0" w:right="0" w:firstLine="0"/>
        <w:jc w:val="left"/>
      </w:pPr>
      <w:bookmarkStart w:id="86" w:name="bookmark86"/>
      <w:bookmarkStart w:id="87" w:name="bookmark87"/>
      <w:bookmarkStart w:id="88" w:name="bookmark8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tab/>
        <w:t>e-mail:</w:t>
      </w:r>
      <w:bookmarkEnd w:id="86"/>
      <w:bookmarkEnd w:id="87"/>
      <w:bookmarkEnd w:id="8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89" w:name="bookmark89"/>
      <w:bookmarkStart w:id="90" w:name="bookmark90"/>
      <w:bookmarkStart w:id="91" w:name="bookmark9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  <w:bookmarkEnd w:id="89"/>
      <w:bookmarkEnd w:id="90"/>
      <w:bookmarkEnd w:id="91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Preambule a prohlášení smluvních stran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0" w:val="left"/>
        </w:tabs>
        <w:bidi w:val="0"/>
        <w:spacing w:before="0" w:line="240" w:lineRule="auto"/>
        <w:ind w:left="680" w:right="0" w:hanging="360"/>
        <w:jc w:val="both"/>
      </w:pPr>
      <w:bookmarkStart w:id="92" w:name="bookmark92"/>
      <w:bookmarkEnd w:id="9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 02.02.2024 uzavřely smluvní strany smlouvu o dílo číslo smlouvy objednatele: 66/2024 s názvem „VD Podhora – plovoucí FVE“, ke které byl dne 07.11.2024 uzavřen dodatek č. 1 (dále jen jako „Smlouva“), kterým došlo k posunu termínu předání a převzetí dokončeného díla do 16.12.2024. Smluvní strany shodně konstatují, že dílo se nepodařilo ke dni 16.12.2024 provést dle Smlouvy. Předmětem plnění dle Smlouvy je dodávka a realizace plovoucí fotovoltaické elektrárny umístěné na hladině vodní nádrže Podhora.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0" w:val="left"/>
        </w:tabs>
        <w:bidi w:val="0"/>
        <w:spacing w:before="0" w:line="240" w:lineRule="auto"/>
        <w:ind w:left="0" w:right="0" w:firstLine="320"/>
        <w:jc w:val="both"/>
      </w:pPr>
      <w:bookmarkStart w:id="93" w:name="bookmark93"/>
      <w:bookmarkEnd w:id="9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činí nesporným, že důvodem zpoždění oproti sjednanému termínu je: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0" w:val="left"/>
        </w:tabs>
        <w:bidi w:val="0"/>
        <w:spacing w:before="0" w:line="240" w:lineRule="auto"/>
        <w:ind w:left="1040" w:right="0" w:hanging="360"/>
        <w:jc w:val="both"/>
      </w:pPr>
      <w:bookmarkStart w:id="94" w:name="bookmark94"/>
      <w:bookmarkEnd w:id="9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rámci podané žádosti o stavební povolení byl opakovaně KÚKK vznášen požadavek na doplnění dokladů. Dne 12.9.2024 bylo předmětné řízení odloženo Usnesením č.j. KK/4276/ZZ/24. Dne 17.10.2024 byla podána opětovná žádost o stavební povolení. Následně 24.10.2024 vznesen KÚKK požadavek na doplnění JES. Podklady se smluvním stranám podařilo doplnit až dne 8.11.2024.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0" w:val="left"/>
        </w:tabs>
        <w:bidi w:val="0"/>
        <w:spacing w:before="0" w:line="240" w:lineRule="auto"/>
        <w:ind w:left="0" w:right="0" w:firstLine="680"/>
        <w:jc w:val="both"/>
      </w:pPr>
      <w:bookmarkStart w:id="95" w:name="bookmark95"/>
      <w:bookmarkEnd w:id="9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v současné době stále čeká na vydání stavebního povolení.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0" w:val="left"/>
        </w:tabs>
        <w:bidi w:val="0"/>
        <w:spacing w:before="0" w:line="240" w:lineRule="auto"/>
        <w:ind w:left="1040" w:right="0" w:hanging="360"/>
        <w:jc w:val="both"/>
      </w:pPr>
      <w:bookmarkStart w:id="96" w:name="bookmark96"/>
      <w:bookmarkEnd w:id="9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Požadavek Inspekčního orgánu Mostecké montážní na změnu technických parametrů plovoucí konstrukce oproti smluvně ujednanému zadání, resp. projektové dokumentaci, která tvoří přílohu Smlouvy. Požadavky jsou shrnuty v Inspekční zprávě Plavidla č.j. 026/12/2024 a č.j. 027/12/2024.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0" w:val="left"/>
        </w:tabs>
        <w:bidi w:val="0"/>
        <w:spacing w:before="0" w:line="240" w:lineRule="auto"/>
        <w:ind w:left="0" w:right="0" w:firstLine="320"/>
        <w:jc w:val="both"/>
      </w:pPr>
      <w:bookmarkStart w:id="97" w:name="bookmark97"/>
      <w:bookmarkEnd w:id="9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dohoda o narovnání je v pořadí 2. dodatkem této Smlouvy.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0" w:val="left"/>
        </w:tabs>
        <w:bidi w:val="0"/>
        <w:spacing w:before="0" w:line="240" w:lineRule="auto"/>
        <w:ind w:left="680" w:right="0" w:hanging="360"/>
        <w:jc w:val="both"/>
      </w:pPr>
      <w:bookmarkStart w:id="98" w:name="bookmark98"/>
      <w:bookmarkEnd w:id="9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průběhu realizace předmětné zakázky dle Smlouvy přijaly smluvní strany opatření, že objednatel zajistí legislativní úkony potřebné pro realizaci díla s tím, že zhotovitel zajistí prostřednictvím svého poddodavatele, společnosti Mostecká montážní a.s., zpracování dokumentace pro provedení stavby tak, aby vyhovovala požadavkům Inspekčního orgánu Mostecké montážní dle Inspekční zprávy Plavidla č.j. 026/12/2024 a č.j. 027/12/2024 pro vydání lodního osvědčení.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0" w:val="left"/>
        </w:tabs>
        <w:bidi w:val="0"/>
        <w:spacing w:before="0" w:line="240" w:lineRule="auto"/>
        <w:ind w:left="680" w:right="0" w:hanging="360"/>
        <w:jc w:val="both"/>
      </w:pPr>
      <w:bookmarkStart w:id="99" w:name="bookmark99"/>
      <w:bookmarkEnd w:id="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činí nesporným, že vzhledem ke skutečnostem uvedeným v čl. I. odst. 2 této dohody není možné dílo realizovat dle Smlouvy, zejména pak dle projektové dokumentace, která tvoří přílohu Smlouvy.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0" w:val="left"/>
        </w:tabs>
        <w:bidi w:val="0"/>
        <w:spacing w:before="0" w:after="440" w:line="240" w:lineRule="auto"/>
        <w:ind w:left="680" w:right="0" w:hanging="360"/>
        <w:jc w:val="both"/>
      </w:pPr>
      <w:bookmarkStart w:id="100" w:name="bookmark100"/>
      <w:bookmarkEnd w:id="10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návaznosti na předchozí odstavec smluvní strany prohlašují, že objednatel má stále zájem o provedení díla zhotovitelem, a proto zhotovitel předložil dne 22.01.2025 návrh změny předmětu plnění díla, smluvní ceny a termínu plnění.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Narovnání vzájemných práv a povinností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80" w:val="left"/>
        </w:tabs>
        <w:bidi w:val="0"/>
        <w:spacing w:before="0" w:line="240" w:lineRule="auto"/>
        <w:ind w:left="680" w:right="0" w:hanging="360"/>
        <w:jc w:val="both"/>
      </w:pPr>
      <w:bookmarkStart w:id="101" w:name="bookmark101"/>
      <w:bookmarkEnd w:id="10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návaznosti na skutečnosti uvedené v čl. I. této dohody se smluvní strany dohodly na narovnání vzájemných práv a povinností ze Smlouvy tak, aby byly splněny požadavky inspekčního orgánu, které jsou nutné k získání stavebního povolení, a dílo bylo možné dokončit.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80" w:val="left"/>
        </w:tabs>
        <w:bidi w:val="0"/>
        <w:spacing w:before="0" w:line="240" w:lineRule="auto"/>
        <w:ind w:left="680" w:right="0" w:hanging="360"/>
        <w:jc w:val="both"/>
      </w:pPr>
      <w:bookmarkStart w:id="102" w:name="bookmark102"/>
      <w:bookmarkEnd w:id="10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úpravě čl. I. Smlouvy tak, jak je uvedeno v příloze č. 3 této dohody. V této příloze jsou vyznačeny méně práce, které nebudou realizovány, ale také více práce, které je nutné vzhledem k okolnostem popsaným v čl. I odst. 2 této dohody nutné realizovat pro získání stavebního povolení, kterým je podmíněno řádné provedení díla.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2" w:val="left"/>
        </w:tabs>
        <w:bidi w:val="0"/>
        <w:spacing w:before="0" w:after="440" w:line="240" w:lineRule="auto"/>
        <w:ind w:left="660" w:right="0" w:hanging="340"/>
        <w:jc w:val="both"/>
      </w:pPr>
      <w:bookmarkStart w:id="103" w:name="bookmark103"/>
      <w:bookmarkEnd w:id="10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návaznosti na úpravu předmětu díla se smluvní strany dále dohodly na úpravě čl. III. odst. 4 Smlouvy takto: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6415" w:val="left"/>
        </w:tabs>
        <w:bidi w:val="0"/>
        <w:spacing w:before="0" w:after="44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 celkové smluvní ceny bez DPH:</w:t>
        <w:tab/>
        <w:t>2 101 353 Kč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6415" w:val="left"/>
        </w:tabs>
        <w:bidi w:val="0"/>
        <w:spacing w:before="0" w:after="440" w:line="240" w:lineRule="auto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 celkové smluvní ceny bez DPH:</w:t>
        <w:tab/>
        <w:t>2 433 079 Kč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2" w:val="left"/>
        </w:tabs>
        <w:bidi w:val="0"/>
        <w:spacing w:before="0" w:after="440" w:line="240" w:lineRule="auto"/>
        <w:ind w:left="660" w:right="0" w:hanging="340"/>
        <w:jc w:val="both"/>
      </w:pPr>
      <w:bookmarkStart w:id="104" w:name="bookmark104"/>
      <w:bookmarkEnd w:id="10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Vzhledem k výše uvedeným změnám se zhotovitel a objednatel dohodli na úpravě termínů plnění ujednaných v čl. II odst. 1 Smlouvy takto: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 čl. II. odst. 1 Smlouvy: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7" w:val="left"/>
        </w:tabs>
        <w:bidi w:val="0"/>
        <w:spacing w:before="0" w:line="240" w:lineRule="auto"/>
        <w:ind w:left="0" w:right="0" w:firstLine="320"/>
        <w:jc w:val="both"/>
      </w:pPr>
      <w:bookmarkStart w:id="105" w:name="bookmark105"/>
      <w:bookmarkEnd w:id="10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převzetí staveniště: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6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převzít staveniště nejpozději do 15 kalendářních dní od nabytí účinnosti této smlouvy o dílo.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7" w:val="left"/>
        </w:tabs>
        <w:bidi w:val="0"/>
        <w:spacing w:before="0" w:line="240" w:lineRule="auto"/>
        <w:ind w:left="0" w:right="0" w:firstLine="320"/>
        <w:jc w:val="both"/>
      </w:pPr>
      <w:bookmarkStart w:id="106" w:name="bookmark106"/>
      <w:bookmarkEnd w:id="10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 po převzetí staveniště.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7" w:val="left"/>
        </w:tabs>
        <w:bidi w:val="0"/>
        <w:spacing w:before="0" w:line="240" w:lineRule="auto"/>
        <w:ind w:left="0" w:right="0" w:firstLine="320"/>
        <w:jc w:val="both"/>
      </w:pPr>
      <w:bookmarkStart w:id="107" w:name="bookmark107"/>
      <w:bookmarkEnd w:id="10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dokončeného díla: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6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16.12. 2024. Převzetí díla je podmíněno schválením prvního paralelního připojení ze strany ČEZ Distribuce, a.s.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7" w:val="left"/>
        </w:tabs>
        <w:bidi w:val="0"/>
        <w:spacing w:before="0" w:line="240" w:lineRule="auto"/>
        <w:ind w:left="0" w:right="0" w:firstLine="320"/>
        <w:jc w:val="both"/>
      </w:pPr>
      <w:bookmarkStart w:id="108" w:name="bookmark108"/>
      <w:bookmarkEnd w:id="10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vyklizení staveniště: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6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ke dni předání a převzetí dokončeného díla vyklidit staveniště a upravit ho do stavu předepsaného příslušnou projektovou dokumentací, nebo není- li tento stav projektovou dokumentací specifikován, tak do původního stavu.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 čl. II. odst. 1 Smlouvy: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71" w:val="left"/>
        </w:tabs>
        <w:bidi w:val="0"/>
        <w:spacing w:before="0" w:line="240" w:lineRule="auto"/>
        <w:ind w:left="0" w:right="0" w:firstLine="0"/>
        <w:jc w:val="both"/>
      </w:pPr>
      <w:bookmarkStart w:id="109" w:name="bookmark109"/>
      <w:bookmarkEnd w:id="10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převzetí staveniště: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6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převzít staveniště nejpozději do 15 kalendářních dní od nabytí účinnosti této smlouvy o dílo.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7" w:val="left"/>
        </w:tabs>
        <w:bidi w:val="0"/>
        <w:spacing w:before="0" w:line="240" w:lineRule="auto"/>
        <w:ind w:left="0" w:right="0" w:firstLine="320"/>
        <w:jc w:val="both"/>
      </w:pPr>
      <w:bookmarkStart w:id="110" w:name="bookmark110"/>
      <w:bookmarkEnd w:id="1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 po převzetí staveniště.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7" w:val="left"/>
        </w:tabs>
        <w:bidi w:val="0"/>
        <w:spacing w:before="0" w:line="240" w:lineRule="auto"/>
        <w:ind w:left="0" w:right="0" w:firstLine="320"/>
        <w:jc w:val="both"/>
      </w:pPr>
      <w:bookmarkStart w:id="111" w:name="bookmark111"/>
      <w:bookmarkEnd w:id="1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dokončeného díla: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660" w:right="0" w:firstLine="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Nejpozději do 31.10. 2025.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Převzetí díla je podmíněno schválením prvního paralelního připojení ze strany ČEZ Distribuce, a.s.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7" w:val="left"/>
        </w:tabs>
        <w:bidi w:val="0"/>
        <w:spacing w:before="0" w:line="240" w:lineRule="auto"/>
        <w:ind w:left="0" w:right="0" w:firstLine="320"/>
        <w:jc w:val="both"/>
      </w:pPr>
      <w:bookmarkStart w:id="112" w:name="bookmark112"/>
      <w:bookmarkEnd w:id="1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vyklizení staveniště: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6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ke dni předání a převzetí dokončeného díla vyklidit staveniště a upravit ho do stavu předepsaného příslušnou projektovou dokumentací, nebo není- li tento stav projektovou dokumentací specifikován, tak do původního stavu.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2" w:val="left"/>
        </w:tabs>
        <w:bidi w:val="0"/>
        <w:spacing w:before="0" w:line="240" w:lineRule="auto"/>
        <w:ind w:left="660" w:right="0" w:hanging="340"/>
        <w:jc w:val="both"/>
      </w:pPr>
      <w:bookmarkStart w:id="113" w:name="bookmark113"/>
      <w:bookmarkEnd w:id="1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účelem zajištění splnění podmínky uvedené v čl. I. odst. 2 písm. c) této dohody se smluvní strany dohodly, že objednatel zajistí součinnost spočívající v zadání „Výroby a montáže ocelové konstrukce pro PFVE Podhora“ tak, jak je uvedeno v příloze č. 4 této dohody, a to u společnosti Mostecká montážní a.s.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2" w:val="left"/>
        </w:tabs>
        <w:bidi w:val="0"/>
        <w:spacing w:before="0" w:line="240" w:lineRule="auto"/>
        <w:ind w:left="660" w:right="0" w:hanging="340"/>
        <w:jc w:val="both"/>
      </w:pPr>
      <w:bookmarkStart w:id="114" w:name="bookmark114"/>
      <w:bookmarkEnd w:id="1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návaznosti na součinnost objednatele ujednané dle čl. II. odst. 5 této dohody se zhotovitel zavazuje:</w:t>
      </w:r>
      <w:r>
        <w:br w:type="page"/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97" w:val="left"/>
        </w:tabs>
        <w:bidi w:val="0"/>
        <w:spacing w:before="0" w:line="240" w:lineRule="auto"/>
        <w:ind w:left="1100" w:right="0" w:firstLine="0"/>
        <w:jc w:val="both"/>
      </w:pPr>
      <w:bookmarkStart w:id="115" w:name="bookmark115"/>
      <w:bookmarkEnd w:id="1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19.3.2025 dodat 1 ks plováku S1000 a 1 ks plováku S200,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97" w:val="left"/>
        </w:tabs>
        <w:bidi w:val="0"/>
        <w:spacing w:before="0" w:line="240" w:lineRule="auto"/>
        <w:ind w:left="1100" w:right="0" w:firstLine="0"/>
        <w:jc w:val="both"/>
      </w:pPr>
      <w:bookmarkStart w:id="116" w:name="bookmark116"/>
      <w:bookmarkEnd w:id="1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10.4.2025 dodat zbývající plováky S1000 a S200,</w:t>
      </w:r>
    </w:p>
    <w:p>
      <w:pPr>
        <w:pStyle w:val="Style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97" w:val="left"/>
        </w:tabs>
        <w:bidi w:val="0"/>
        <w:spacing w:before="0" w:after="440" w:line="240" w:lineRule="auto"/>
        <w:ind w:left="1100" w:right="0" w:firstLine="0"/>
        <w:jc w:val="both"/>
      </w:pPr>
      <w:bookmarkStart w:id="117" w:name="bookmark117"/>
      <w:bookmarkEnd w:id="1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28.2.2025 dodat vzorek nosné konstrukce FV panelů.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</w:p>
    <w:p>
      <w:pPr>
        <w:pStyle w:val="Style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62" w:val="left"/>
        </w:tabs>
        <w:bidi w:val="0"/>
        <w:spacing w:before="0" w:line="240" w:lineRule="auto"/>
        <w:ind w:left="740" w:right="0" w:hanging="360"/>
        <w:jc w:val="both"/>
      </w:pPr>
      <w:bookmarkStart w:id="118" w:name="bookmark118"/>
      <w:bookmarkEnd w:id="1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dohoda nabývá platnosti dnem jejího podpisu poslední ze smluvních stran a účinnosti zveřejněním v Registru smluv.</w:t>
      </w:r>
    </w:p>
    <w:p>
      <w:pPr>
        <w:pStyle w:val="Style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62" w:val="left"/>
        </w:tabs>
        <w:bidi w:val="0"/>
        <w:spacing w:before="0" w:line="240" w:lineRule="auto"/>
        <w:ind w:left="740" w:right="0" w:hanging="360"/>
        <w:jc w:val="both"/>
      </w:pPr>
      <w:bookmarkStart w:id="119" w:name="bookmark119"/>
      <w:bookmarkEnd w:id="1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dohoda a vztahy z ní vyplývající se řídí českým právním řádem. Práva a povinnosti výslovně neupravené touto dohodou se řídí zejména ustanoveními občanského zákoníku.</w:t>
      </w:r>
    </w:p>
    <w:p>
      <w:pPr>
        <w:pStyle w:val="Style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62" w:val="left"/>
        </w:tabs>
        <w:bidi w:val="0"/>
        <w:spacing w:before="0" w:line="240" w:lineRule="auto"/>
        <w:ind w:left="740" w:right="0" w:hanging="360"/>
        <w:jc w:val="both"/>
      </w:pPr>
      <w:bookmarkStart w:id="120" w:name="bookmark120"/>
      <w:bookmarkEnd w:id="1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dohoda může být měněna pouze ve formě písemných dodatků podepsaných oběma smluvními stranami.</w:t>
      </w:r>
    </w:p>
    <w:p>
      <w:pPr>
        <w:pStyle w:val="Style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62" w:val="left"/>
        </w:tabs>
        <w:bidi w:val="0"/>
        <w:spacing w:before="0" w:after="1180" w:line="240" w:lineRule="auto"/>
        <w:ind w:left="740" w:right="0" w:hanging="360"/>
        <w:jc w:val="both"/>
      </w:pPr>
      <w:bookmarkStart w:id="121" w:name="bookmark121"/>
      <w:bookmarkEnd w:id="1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si tuto dohodu řádně přečetly, jejímu obsahu porozuměly a že je projevem jejich pravé, svobodné a vážné vůle prosté omylu a dále že tato dohoda nebyla ujednána v tísni, ani za jinak nápadně nevýhodných podmínek a veškerá prohlášení v dohodě odpovídají skutečnosti, což níže stvrzují svými podpisy.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Přílohy:</w:t>
      </w:r>
    </w:p>
    <w:p>
      <w:pPr>
        <w:pStyle w:val="Style9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62" w:val="left"/>
        </w:tabs>
        <w:bidi w:val="0"/>
        <w:spacing w:before="0" w:line="240" w:lineRule="auto"/>
        <w:ind w:left="0" w:right="0" w:firstLine="380"/>
        <w:jc w:val="both"/>
      </w:pPr>
      <w:bookmarkStart w:id="122" w:name="bookmark122"/>
      <w:bookmarkEnd w:id="1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z kontrolního dne stavby konaného dne 14.3.2024</w:t>
      </w:r>
    </w:p>
    <w:p>
      <w:pPr>
        <w:pStyle w:val="Style9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62" w:val="left"/>
        </w:tabs>
        <w:bidi w:val="0"/>
        <w:spacing w:before="0" w:line="240" w:lineRule="auto"/>
        <w:ind w:left="0" w:right="0" w:firstLine="380"/>
        <w:jc w:val="both"/>
      </w:pPr>
      <w:bookmarkStart w:id="123" w:name="bookmark123"/>
      <w:bookmarkEnd w:id="1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z kontrolního dne stavby konaného dne 1.10.2024</w:t>
      </w:r>
    </w:p>
    <w:p>
      <w:pPr>
        <w:pStyle w:val="Style9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62" w:val="left"/>
        </w:tabs>
        <w:bidi w:val="0"/>
        <w:spacing w:before="0" w:line="240" w:lineRule="auto"/>
        <w:ind w:left="0" w:right="0" w:firstLine="380"/>
        <w:jc w:val="both"/>
      </w:pPr>
      <w:bookmarkStart w:id="124" w:name="bookmark124"/>
      <w:bookmarkEnd w:id="1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Oceněný soupis prací změn závazku ze dne 22.01.2025</w:t>
      </w:r>
    </w:p>
    <w:p>
      <w:pPr>
        <w:pStyle w:val="Style9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62" w:val="left"/>
        </w:tabs>
        <w:bidi w:val="0"/>
        <w:spacing w:before="0" w:after="0" w:line="240" w:lineRule="auto"/>
        <w:ind w:left="740" w:right="0" w:hanging="36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004" w:left="1409" w:right="1369" w:bottom="1292" w:header="576" w:footer="3" w:gutter="0"/>
          <w:pgNumType w:start="1"/>
          <w:cols w:space="720"/>
          <w:noEndnote/>
          <w:rtlGutter w:val="0"/>
          <w:docGrid w:linePitch="360"/>
        </w:sectPr>
      </w:pPr>
      <w:bookmarkStart w:id="125" w:name="bookmark125"/>
      <w:bookmarkEnd w:id="1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Nabídka na výrobu a montáž ocelové konstrukce pro PFVE Podhora ze dne 24.1.2025 od Mostecké montážní a.s.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7" w:after="3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0" w:right="0" w:bottom="1399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oprávněný zástupce objednatele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1394" w:right="2335" w:bottom="1399" w:header="0" w:footer="3" w:gutter="0"/>
          <w:cols w:num="2" w:space="1801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Humpolci 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0" w:right="0" w:bottom="1119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framePr w:w="2659" w:h="610" w:wrap="none" w:vAnchor="text" w:hAnchor="page" w:x="141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investiční ředitel</w:t>
      </w:r>
    </w:p>
    <w:p>
      <w:pPr>
        <w:pStyle w:val="Style9"/>
        <w:keepNext w:val="0"/>
        <w:keepLines w:val="0"/>
        <w:framePr w:w="2659" w:h="610" w:wrap="none" w:vAnchor="text" w:hAnchor="page" w:x="141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9"/>
        <w:keepNext w:val="0"/>
        <w:keepLines w:val="0"/>
        <w:framePr w:w="4090" w:h="581" w:wrap="none" w:vAnchor="text" w:hAnchor="page" w:x="645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</w:t>
      </w:r>
    </w:p>
    <w:p>
      <w:pPr>
        <w:pStyle w:val="Style9"/>
        <w:keepNext w:val="0"/>
        <w:keepLines w:val="0"/>
        <w:framePr w:w="4090" w:h="581" w:wrap="none" w:vAnchor="text" w:hAnchor="page" w:x="645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KEROSIN s.r.o.</w:t>
      </w:r>
    </w:p>
    <w:p>
      <w:pPr>
        <w:widowControl w:val="0"/>
        <w:spacing w:after="60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85" w:left="1394" w:right="1384" w:bottom="1119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Stránka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5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</w:p>
    <w:sectPr>
      <w:footerReference w:type="default" r:id="rId6"/>
      <w:footnotePr>
        <w:pos w:val="pageBottom"/>
        <w:numFmt w:val="decimal"/>
        <w:numRestart w:val="continuous"/>
      </w:footnotePr>
      <w:pgSz w:w="11909" w:h="16838"/>
      <w:pgMar w:top="15590" w:left="9169" w:right="1386" w:bottom="673" w:header="15162" w:footer="245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5852160</wp:posOffset>
              </wp:positionH>
              <wp:positionV relativeFrom="page">
                <wp:posOffset>9935210</wp:posOffset>
              </wp:positionV>
              <wp:extent cx="822960" cy="20129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0.80000000000001pt;margin-top:782.30000000000007pt;width:64.799999999999997pt;height:15.8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Pavlasová Jitka</dc:creator>
  <cp:keywords/>
</cp:coreProperties>
</file>