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1"/>
        <w:gridCol w:w="2081"/>
        <w:gridCol w:w="2922"/>
        <w:gridCol w:w="1556"/>
        <w:gridCol w:w="960"/>
      </w:tblGrid>
      <w:tr w:rsidR="00D1233E" w:rsidRPr="00D1233E" w:rsidTr="00D1233E">
        <w:trPr>
          <w:trHeight w:val="949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Smlouva o poskytnutí služeb</w:t>
            </w: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 xml:space="preserve">uzavřená podle </w:t>
            </w:r>
            <w:proofErr w:type="spellStart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ust</w:t>
            </w:r>
            <w:proofErr w:type="spellEnd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. § 1746 odst. 2 a </w:t>
            </w:r>
            <w:proofErr w:type="spellStart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násl</w:t>
            </w:r>
            <w:proofErr w:type="spellEnd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. zákona č. 89/2012 Sb.</w:t>
            </w: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>(dále jen občanský zákoník)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SMLUVNÍ STRANY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Objednatel: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Základní škola Karlovy Vary, Krušnohorská 11, příspěvková organizace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 sídlem: </w:t>
            </w: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Krušnohorská 735/11, 360 10 Karlovy Vary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69979359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Vedení školy: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289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Tel., mobil: 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289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E-mail:   </w:t>
            </w: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289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Web: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r w:rsidRPr="00D1233E"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  <w:t>zsruzovyvrch.edupage.org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289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(dále jen „Objednatel“)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Poskytovatel: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Bezva agentura s.r.o.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Se sídlem: </w:t>
            </w: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Chlumova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206/21, Žižkov, 130 00 Praha 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7805888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CZ07805888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bankovní spojení: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Zastoupená: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Tel., mobil: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E-mail:  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r:id="rId4" w:history="1">
              <w:r w:rsidRPr="00D1233E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svp@bezvaparta.cz</w:t>
              </w:r>
            </w:hyperlink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Web: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bezvaparta.cz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cs-CZ"/>
              </w:rPr>
              <w:t xml:space="preserve"> (dále jen „Poskytovatel“) 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I. PŘEDMĚT SMLOUVY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1058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Předmětem této smlouvy o poskytování služeb (dále také jen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SoPS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) je závazek Poskytovatele, dle podmínek stanovených v této smlouvě, zajistit pro Objednatele školu v přírodě (dále jen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) a závazek Objednatele zaplatit za to Poskytovateli sjednanou cenu školy v přírodě. Pro účely této smlouvy se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rozumí zotavovací pobyt pro děti ve věku do 15 let, který organizuje základní škola bez ohledu na počet dnů trvání.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II. ZÁKLADNÍ VYMEZENÍ </w:t>
            </w:r>
            <w:proofErr w:type="spellStart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ŠvP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38"/>
        </w:trPr>
        <w:tc>
          <w:tcPr>
            <w:tcW w:w="24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Místo pobytu</w:t>
            </w:r>
          </w:p>
        </w:tc>
        <w:tc>
          <w:tcPr>
            <w:tcW w:w="655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Rekreační areál Poslův Mlýn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38"/>
        </w:trPr>
        <w:tc>
          <w:tcPr>
            <w:tcW w:w="24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5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Doksy č. p. 976, 472 01 Doksy, ČR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38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Termín ŠVP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: </w:t>
            </w: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26. května</w:t>
            </w: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do:</w:t>
            </w:r>
            <w:proofErr w:type="gram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30. května 2025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počet nocí: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480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Ubytování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dvou až sedm</w:t>
            </w: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ilůžkové pokoje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Rozpis</w:t>
            </w:r>
            <w:proofErr w:type="gram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ubytování viz ubytovací </w:t>
            </w: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přehled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518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Stravování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Plná penze (5x denně), celodenní pitný režim 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Dle vyhlášky MZ ČR č.106/2001 Sb.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38"/>
        </w:trPr>
        <w:tc>
          <w:tcPr>
            <w:tcW w:w="24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Zájezdové autobusy vybavené bezpečnostními pásy</w:t>
            </w:r>
          </w:p>
        </w:tc>
        <w:tc>
          <w:tcPr>
            <w:tcW w:w="4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Nástupní místo:</w:t>
            </w: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KV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Arena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, Západní 1812, 360 01 Karlovy Vary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469"/>
        </w:trPr>
        <w:tc>
          <w:tcPr>
            <w:tcW w:w="24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289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Odjezd od školy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26. 5. 7.30</w:t>
            </w:r>
          </w:p>
        </w:tc>
        <w:tc>
          <w:tcPr>
            <w:tcW w:w="4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Časy budou upřesněny v Protokolu 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289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odjezd z RS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30. 5. 14.00</w:t>
            </w:r>
          </w:p>
        </w:tc>
        <w:tc>
          <w:tcPr>
            <w:tcW w:w="447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III. DALŠÍ SLUŽBY ZAHRNUTÉ V CENĚ </w:t>
            </w:r>
            <w:proofErr w:type="spellStart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>1. Zajištění instruktorů v počtu 26.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 Zajištění zdravotního dozoru pro děti podle právních předpisů pro zotavovací akce pro děti.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3. Zajištění dopravy, která je součástí ceny.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4. Zajištění dohledu nad areálem a budovami v době nočního klidu 22.00 – 6.00.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5. Zajištění vhodných prostor pro školní výuku.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6. Zajištění odpoledního a večerního programu pro děti v čase od 14.00 – 20.00.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7. Zajištění doplňkových dopoledních aktivit v rozsahu jednoho dopoledne.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8. Zdarma doprava, ubytování a strava pro pedagogický dozor školy v počtu – 27 osob.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9. Zdarma zapůjčení sportovních pomůcek.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10. Poskytnutí fotografií a videozáznamu ze školy v přírodě.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IV. CENA </w:t>
            </w:r>
            <w:proofErr w:type="spellStart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Cena </w:t>
            </w:r>
            <w:proofErr w:type="spellStart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za osobu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osob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Dítě (oběd – oběd + svačina)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           5 390 Kč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493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2 657 270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Pedagogický dozor školy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           2 800 Kč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 ceně balíčku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Pedagogové navíc*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           2 800 Kč 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61 600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Děti pedagogů do 9 let**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 xml:space="preserve">                                 1 000 Kč </w:t>
            </w:r>
          </w:p>
        </w:tc>
        <w:tc>
          <w:tcPr>
            <w:tcW w:w="2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          -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7"/>
                <w:szCs w:val="17"/>
                <w:lang w:eastAsia="cs-CZ"/>
              </w:rPr>
              <w:t>Děti pedagogů od 9 let do 15 let**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           1 340 Kč </w:t>
            </w:r>
          </w:p>
        </w:tc>
        <w:tc>
          <w:tcPr>
            <w:tcW w:w="2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          -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 ceně balíčku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746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             2 718 870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45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Úhrada ceny </w:t>
            </w:r>
            <w:proofErr w:type="spellStart"/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</w:p>
        </w:tc>
        <w:tc>
          <w:tcPr>
            <w:tcW w:w="29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výše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splatnost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1. zálohová faktura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1 359 435 Kč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31.12.2025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2. zálohová faktura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       1 359 435 Kč 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28.02.2025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420"/>
        </w:trPr>
        <w:tc>
          <w:tcPr>
            <w:tcW w:w="2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Konečná faktura 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  <w:t>Dle vyúčtování poslední den pobytu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4"/>
                <w:szCs w:val="14"/>
                <w:lang w:eastAsia="cs-CZ"/>
              </w:rPr>
              <w:t>Čtrnáct dní po skončení pobytu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23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* pedagogové navíc nejsou součástí ceny 5 390- Kč/os.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7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** děti pedagogů budou uhrazeny v den příjezdu na školu v přírodě na recepci rekreačního areálu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1260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Celková cena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 je sjednána jako konečná bez ohledu na to, zda dojde ke snížení počtu osob oproti stavu v době sjednání této smlouvy. Za případné navýšení ceny na jednoho účastníka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 v důsledku snížení počtu osob účastnících se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 nese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dpovědnost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 Objednatel. Tímto není dotčeno právo na poskytnutí slevy dle ustanovení VP. Výše uvedené ceny za osobu mají pouze orientační význam pro kalkulaci celkové ceny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 a tato cena odpovídá výsledné ceně přepočtené na jednoho účastníka pouze v případě, že se strany Objednatele nedojde ke snížení počtu účastníků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. Tím nejsou dotčeny případné nároky Objednatele na snížení celkové ceny dle Všeobecných podmínek pro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 (viz dále).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1009"/>
        </w:trPr>
        <w:tc>
          <w:tcPr>
            <w:tcW w:w="9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V případě, že průměrný roční index spotřebitelských cen dle údajů Českého statistického úřadu, publikovaných na jeho internetových stránkách, uvedený ke kalendářnímu měsíci, v němž byla tato smlouva uzavřena, vzroste k prvnímu dni kalendářního měsíce, který bezprostředně předchází první den termínu sjednané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, o více než 3%, je Poskytovatel oprávněn jednostranně navýšit celkovou cenu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 xml:space="preserve"> o výši tohoto indexu. Poskytovatel je povinen oznámit písemně Objednateli navýšení ceny dle předcházející věty nejpozději 5 dní po ukončení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V. DALŠÍ UJEDNÁNÍ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1163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Objednatel je obeznámen s dalšími smluvními podmínkami (Všeobecné podmínky pro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, které jsou jako příloha </w:t>
            </w: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č.1 nedílnou</w:t>
            </w:r>
            <w:proofErr w:type="gram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součástí této smlouvy) a souhlasí s nimi. Objednatel se dále zavazuje dodat Poskytovateli Ubytovací přehled se jmenným seznamem všech účastníků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nejpozději 30 dnů před zahájením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a zároveň prohlašují tímto, že povinnostem jím přihlášených účastníků </w:t>
            </w:r>
            <w:proofErr w:type="spell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ŠvP</w:t>
            </w:r>
            <w:proofErr w:type="spell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vůči Poskytovateli a dalším poskytovatelům služeb dostojí jako svým vlastním.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743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Poskytovatel je oprávněn postoupit práva a povinnosti z této smlouvy, případně postoupit tuto smlouvu na třetí osobu bez souhlasu Objednatele za podmínky, že se bude jednat o </w:t>
            </w:r>
            <w:proofErr w:type="gramStart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osobu jejíž</w:t>
            </w:r>
            <w:proofErr w:type="gramEnd"/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vlastnická struktura je shodná s vlastnickou strukturou Poskytovatele a tato osoba bude mít podnikatelské oprávnění k zajištění účelu této smlouvy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263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Změny a doplňky ve smlouvě je možné provést po dohodě obou smluvních stran.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529"/>
        </w:trPr>
        <w:tc>
          <w:tcPr>
            <w:tcW w:w="90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Žádné ustanovení této smlouvy nepovažují smluvní strany za obchodní tajemství a podpisem této smlouvy bezvýhradně souhlasí s jejím uveřejněním včetně jejích změn a dodatků.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15"/>
        </w:trPr>
        <w:tc>
          <w:tcPr>
            <w:tcW w:w="2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VI. PODPISY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Poskytovatel:</w:t>
            </w:r>
          </w:p>
        </w:tc>
        <w:tc>
          <w:tcPr>
            <w:tcW w:w="447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 Praze dne 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33E" w:rsidRPr="00D1233E" w:rsidRDefault="00D1233E" w:rsidP="00D123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454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podpis </w:t>
            </w:r>
          </w:p>
        </w:tc>
        <w:tc>
          <w:tcPr>
            <w:tcW w:w="447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D1233E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podpis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683"/>
        </w:trPr>
        <w:tc>
          <w:tcPr>
            <w:tcW w:w="454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47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1233E" w:rsidRPr="00D1233E" w:rsidTr="00D1233E">
        <w:trPr>
          <w:trHeight w:val="300"/>
        </w:trPr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33E" w:rsidRPr="00D1233E" w:rsidRDefault="00D1233E" w:rsidP="00D12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51E2F" w:rsidRDefault="00251E2F"/>
    <w:sectPr w:rsidR="00251E2F" w:rsidSect="00251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233E"/>
    <w:rsid w:val="00251E2F"/>
    <w:rsid w:val="00D1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E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23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p@bezvapart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5177</Characters>
  <Application>Microsoft Office Word</Application>
  <DocSecurity>0</DocSecurity>
  <Lines>43</Lines>
  <Paragraphs>12</Paragraphs>
  <ScaleCrop>false</ScaleCrop>
  <Company>HP Inc.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2025-02-14T10:14:00Z</dcterms:created>
  <dcterms:modified xsi:type="dcterms:W3CDTF">2025-02-14T10:15:00Z</dcterms:modified>
</cp:coreProperties>
</file>