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rPr>
      </w:pPr>
      <w:r>
        <w:rPr>
          <w:rFonts w:cs="Arial" w:ascii="Arial" w:hAnsi="Arial"/>
          <w:b/>
          <w:u w:val="single"/>
        </w:rPr>
        <w:t>Rezervační smlouva na dodávky náhradního plnění v roce 2025</w:t>
      </w:r>
    </w:p>
    <w:p>
      <w:pPr>
        <w:pStyle w:val="Normal"/>
        <w:spacing w:lineRule="atLeast" w:line="100"/>
        <w:rPr>
          <w:rFonts w:ascii="Arial" w:hAnsi="Arial" w:cs="Arial"/>
          <w:sz w:val="22"/>
          <w:szCs w:val="22"/>
        </w:rPr>
      </w:pPr>
      <w:r>
        <w:rPr>
          <w:rFonts w:cs="Arial" w:ascii="Arial" w:hAnsi="Arial"/>
          <w:sz w:val="22"/>
          <w:szCs w:val="22"/>
        </w:rPr>
      </w:r>
    </w:p>
    <w:p>
      <w:pPr>
        <w:pStyle w:val="Normal"/>
        <w:spacing w:lineRule="atLeast" w:line="100"/>
        <w:rPr>
          <w:rFonts w:ascii="Arial" w:hAnsi="Arial" w:cs="Arial"/>
          <w:sz w:val="22"/>
          <w:szCs w:val="22"/>
        </w:rPr>
      </w:pPr>
      <w:r>
        <w:rPr>
          <w:rFonts w:cs="Arial" w:ascii="Arial" w:hAnsi="Arial"/>
          <w:sz w:val="22"/>
          <w:szCs w:val="22"/>
        </w:rPr>
      </w:r>
    </w:p>
    <w:p>
      <w:pPr>
        <w:pStyle w:val="Odstavecseseznamem1"/>
        <w:ind w:left="0" w:hanging="0"/>
        <w:jc w:val="both"/>
        <w:rPr>
          <w:rStyle w:val="Platne1"/>
          <w:rFonts w:ascii="Arial" w:hAnsi="Arial" w:cs="Arial"/>
          <w:sz w:val="22"/>
          <w:szCs w:val="22"/>
        </w:rPr>
      </w:pPr>
      <w:r>
        <w:rPr>
          <w:rStyle w:val="Platne1"/>
          <w:rFonts w:cs="Arial" w:ascii="Arial" w:hAnsi="Arial"/>
          <w:b/>
          <w:bCs/>
          <w:sz w:val="22"/>
          <w:szCs w:val="22"/>
        </w:rPr>
        <w:t>Fruit servis s.r.o.</w:t>
      </w:r>
    </w:p>
    <w:p>
      <w:pPr>
        <w:pStyle w:val="Odstavecseseznamem1"/>
        <w:ind w:left="0" w:hanging="0"/>
        <w:jc w:val="both"/>
        <w:rPr>
          <w:rStyle w:val="Platne1"/>
          <w:rFonts w:ascii="Arial" w:hAnsi="Arial" w:cs="Arial"/>
          <w:sz w:val="22"/>
          <w:szCs w:val="22"/>
        </w:rPr>
      </w:pPr>
      <w:r>
        <w:rPr>
          <w:rStyle w:val="Platne1"/>
          <w:rFonts w:cs="Arial" w:ascii="Arial" w:hAnsi="Arial"/>
          <w:sz w:val="22"/>
          <w:szCs w:val="22"/>
        </w:rPr>
        <w:t>se sídlem: se sídlem: Blanická 388/6, Hodolany, 779 00 Olomouc</w:t>
      </w:r>
    </w:p>
    <w:p>
      <w:pPr>
        <w:pStyle w:val="Odstavecseseznamem1"/>
        <w:ind w:left="0" w:hanging="0"/>
        <w:jc w:val="both"/>
        <w:rPr>
          <w:rStyle w:val="Platne1"/>
          <w:rFonts w:ascii="Arial" w:hAnsi="Arial" w:cs="Arial"/>
          <w:sz w:val="22"/>
          <w:szCs w:val="22"/>
        </w:rPr>
      </w:pPr>
      <w:r>
        <w:rPr>
          <w:rStyle w:val="Platne1"/>
          <w:rFonts w:cs="Arial" w:ascii="Arial" w:hAnsi="Arial"/>
          <w:sz w:val="22"/>
          <w:szCs w:val="22"/>
        </w:rPr>
        <w:t>IČO: 29275164</w:t>
      </w:r>
    </w:p>
    <w:p>
      <w:pPr>
        <w:pStyle w:val="Odstavecseseznamem1"/>
        <w:ind w:left="0" w:hanging="0"/>
        <w:rPr>
          <w:rStyle w:val="Platne1"/>
          <w:rFonts w:ascii="Arial" w:hAnsi="Arial" w:cs="Arial"/>
          <w:sz w:val="22"/>
          <w:szCs w:val="22"/>
        </w:rPr>
      </w:pPr>
      <w:r>
        <w:rPr>
          <w:rStyle w:val="Platne1"/>
          <w:rFonts w:cs="Arial" w:ascii="Arial" w:hAnsi="Arial"/>
          <w:sz w:val="22"/>
          <w:szCs w:val="22"/>
        </w:rPr>
        <w:t>DIČ: CZ29275164</w:t>
      </w:r>
    </w:p>
    <w:p>
      <w:pPr>
        <w:pStyle w:val="Odstavecseseznamem1"/>
        <w:tabs>
          <w:tab w:val="left" w:pos="993" w:leader="none"/>
        </w:tabs>
        <w:ind w:left="0" w:hanging="0"/>
        <w:rPr>
          <w:rStyle w:val="Platne1"/>
          <w:rFonts w:ascii="Arial" w:hAnsi="Arial" w:cs="Arial"/>
          <w:sz w:val="22"/>
          <w:szCs w:val="22"/>
        </w:rPr>
      </w:pPr>
      <w:r>
        <w:rPr>
          <w:rStyle w:val="Platne1"/>
          <w:rFonts w:cs="Arial" w:ascii="Arial" w:hAnsi="Arial"/>
          <w:sz w:val="22"/>
          <w:szCs w:val="22"/>
        </w:rPr>
        <w:t xml:space="preserve">jednající: </w:t>
        <w:tab/>
        <w:t>Adam Kolek, jednatel</w:t>
      </w:r>
    </w:p>
    <w:p>
      <w:pPr>
        <w:pStyle w:val="Odstavecseseznamem1"/>
        <w:ind w:left="0" w:hanging="0"/>
        <w:jc w:val="both"/>
        <w:rPr>
          <w:rStyle w:val="Platne1"/>
          <w:rFonts w:ascii="Arial" w:hAnsi="Arial" w:cs="Arial"/>
          <w:i/>
          <w:i/>
          <w:sz w:val="22"/>
          <w:szCs w:val="22"/>
        </w:rPr>
      </w:pPr>
      <w:r>
        <w:rPr>
          <w:rStyle w:val="Platne1"/>
          <w:rFonts w:cs="Arial" w:ascii="Arial" w:hAnsi="Arial"/>
          <w:sz w:val="22"/>
          <w:szCs w:val="22"/>
        </w:rPr>
        <w:t>Zapsaná v obchodním rejstříku vedeného u Krajského soudu v Ostravě, oddíl C, vložka 77621.</w:t>
      </w:r>
    </w:p>
    <w:p>
      <w:pPr>
        <w:pStyle w:val="Odstavecseseznamem1"/>
        <w:ind w:left="0" w:hanging="0"/>
        <w:jc w:val="both"/>
        <w:rPr>
          <w:rFonts w:ascii="Arial" w:hAnsi="Arial" w:cs="Arial"/>
          <w:b/>
          <w:b/>
          <w:sz w:val="22"/>
          <w:szCs w:val="22"/>
        </w:rPr>
      </w:pPr>
      <w:r>
        <w:rPr>
          <w:rStyle w:val="Platne1"/>
          <w:rFonts w:cs="Arial" w:ascii="Arial" w:hAnsi="Arial"/>
          <w:i/>
          <w:sz w:val="22"/>
          <w:szCs w:val="22"/>
        </w:rPr>
        <w:t xml:space="preserve">(jako </w:t>
      </w:r>
      <w:r>
        <w:rPr>
          <w:rStyle w:val="Platne1"/>
          <w:rFonts w:cs="Arial" w:ascii="Arial" w:hAnsi="Arial"/>
          <w:b/>
          <w:i/>
          <w:sz w:val="22"/>
          <w:szCs w:val="22"/>
        </w:rPr>
        <w:t>„dodavatel”</w:t>
      </w:r>
      <w:r>
        <w:rPr>
          <w:rStyle w:val="Platne1"/>
          <w:rFonts w:cs="Arial" w:ascii="Arial" w:hAnsi="Arial"/>
          <w:i/>
          <w:sz w:val="22"/>
          <w:szCs w:val="22"/>
        </w:rPr>
        <w:t xml:space="preserve"> na straně jedné) </w:t>
      </w:r>
    </w:p>
    <w:p>
      <w:pPr>
        <w:pStyle w:val="Normal"/>
        <w:spacing w:lineRule="atLeast" w:line="100"/>
        <w:rPr>
          <w:rFonts w:ascii="Arial" w:hAnsi="Arial" w:cs="Arial"/>
          <w:b/>
          <w:b/>
          <w:sz w:val="10"/>
          <w:szCs w:val="10"/>
        </w:rPr>
      </w:pPr>
      <w:r>
        <w:rPr>
          <w:rFonts w:cs="Arial" w:ascii="Arial" w:hAnsi="Arial"/>
          <w:b/>
          <w:sz w:val="10"/>
          <w:szCs w:val="10"/>
        </w:rPr>
      </w:r>
    </w:p>
    <w:p>
      <w:pPr>
        <w:pStyle w:val="Normal"/>
        <w:spacing w:lineRule="atLeast" w:line="100"/>
        <w:rPr>
          <w:rFonts w:ascii="Arial" w:hAnsi="Arial" w:cs="Arial"/>
          <w:sz w:val="22"/>
          <w:szCs w:val="22"/>
        </w:rPr>
      </w:pPr>
      <w:r>
        <w:rPr>
          <w:rFonts w:cs="Arial" w:ascii="Arial" w:hAnsi="Arial"/>
          <w:sz w:val="22"/>
          <w:szCs w:val="22"/>
        </w:rPr>
        <w:t>a</w:t>
      </w:r>
    </w:p>
    <w:p>
      <w:pPr>
        <w:pStyle w:val="Normal"/>
        <w:spacing w:lineRule="atLeast" w:line="100"/>
        <w:rPr>
          <w:rFonts w:ascii="Arial" w:hAnsi="Arial" w:cs="Arial"/>
          <w:sz w:val="10"/>
          <w:szCs w:val="10"/>
        </w:rPr>
      </w:pPr>
      <w:r>
        <w:rPr>
          <w:rFonts w:cs="Arial" w:ascii="Arial" w:hAnsi="Arial"/>
          <w:sz w:val="10"/>
          <w:szCs w:val="10"/>
        </w:rPr>
      </w:r>
    </w:p>
    <w:p>
      <w:pPr>
        <w:pStyle w:val="Normal"/>
        <w:spacing w:lineRule="atLeast" w:line="100"/>
        <w:rPr>
          <w:rFonts w:ascii="Arial" w:hAnsi="Arial" w:cs="Arial"/>
          <w:b/>
          <w:b/>
          <w:sz w:val="22"/>
          <w:szCs w:val="22"/>
        </w:rPr>
      </w:pPr>
      <w:r>
        <w:rPr>
          <w:rFonts w:cs="Arial" w:ascii="Arial" w:hAnsi="Arial"/>
          <w:b/>
          <w:sz w:val="22"/>
          <w:szCs w:val="22"/>
        </w:rPr>
        <w:t>Základní škola Šumperk. 8.května 63</w:t>
      </w:r>
    </w:p>
    <w:p>
      <w:pPr>
        <w:pStyle w:val="Normal"/>
        <w:spacing w:lineRule="atLeast" w:line="100"/>
        <w:rPr>
          <w:rFonts w:ascii="Arial" w:hAnsi="Arial" w:cs="Arial"/>
          <w:sz w:val="22"/>
          <w:szCs w:val="22"/>
        </w:rPr>
      </w:pPr>
      <w:r>
        <w:rPr>
          <w:rFonts w:cs="Arial" w:ascii="Arial" w:hAnsi="Arial"/>
          <w:sz w:val="22"/>
          <w:szCs w:val="22"/>
        </w:rPr>
        <w:t>8.května 870/63, 787 01 Šumperk</w:t>
      </w:r>
    </w:p>
    <w:p>
      <w:pPr>
        <w:pStyle w:val="Normal"/>
        <w:spacing w:lineRule="atLeast" w:line="100"/>
        <w:rPr>
          <w:rFonts w:ascii="Arial" w:hAnsi="Arial" w:cs="Arial"/>
          <w:sz w:val="22"/>
          <w:szCs w:val="22"/>
        </w:rPr>
      </w:pPr>
      <w:r>
        <w:rPr>
          <w:rFonts w:cs="Arial" w:ascii="Arial" w:hAnsi="Arial"/>
          <w:sz w:val="22"/>
          <w:szCs w:val="22"/>
        </w:rPr>
        <w:t>IČ: 00852317</w:t>
      </w:r>
    </w:p>
    <w:p>
      <w:pPr>
        <w:pStyle w:val="Normal"/>
        <w:spacing w:lineRule="atLeast" w:line="100"/>
        <w:rPr>
          <w:rFonts w:ascii="Arial" w:hAnsi="Arial" w:cs="Arial"/>
          <w:sz w:val="22"/>
          <w:szCs w:val="22"/>
        </w:rPr>
      </w:pPr>
      <w:r>
        <w:rPr>
          <w:rFonts w:cs="Arial" w:ascii="Arial" w:hAnsi="Arial"/>
          <w:sz w:val="22"/>
          <w:szCs w:val="22"/>
        </w:rPr>
        <w:t>jednající: Mgr. Petr Křivohlávek, ředitel</w:t>
      </w:r>
    </w:p>
    <w:p>
      <w:pPr>
        <w:pStyle w:val="Normal"/>
        <w:spacing w:lineRule="atLeast" w:line="100"/>
        <w:rPr/>
      </w:pPr>
      <w:r>
        <w:rPr>
          <w:rFonts w:cs="Arial" w:ascii="Arial" w:hAnsi="Arial"/>
          <w:sz w:val="22"/>
          <w:szCs w:val="22"/>
        </w:rPr>
        <w:t xml:space="preserve">email pro notifikaci náhradního plnění: </w:t>
      </w:r>
      <w:r>
        <w:rPr>
          <w:rFonts w:cs="Arial" w:ascii="Arial" w:hAnsi="Arial"/>
          <w:sz w:val="22"/>
          <w:szCs w:val="22"/>
        </w:rPr>
        <w:t>xxxxxxxxx</w:t>
      </w:r>
      <w:r>
        <w:rPr>
          <w:rFonts w:cs="Arial" w:ascii="Arial" w:hAnsi="Arial"/>
          <w:sz w:val="22"/>
          <w:szCs w:val="22"/>
        </w:rPr>
        <w:t>@</w:t>
      </w:r>
      <w:r>
        <w:rPr>
          <w:rFonts w:cs="Arial" w:ascii="Arial" w:hAnsi="Arial"/>
          <w:sz w:val="22"/>
          <w:szCs w:val="22"/>
        </w:rPr>
        <w:t>xxxxxxx</w:t>
      </w:r>
      <w:r>
        <w:rPr>
          <w:rFonts w:cs="Arial" w:ascii="Arial" w:hAnsi="Arial"/>
          <w:sz w:val="22"/>
          <w:szCs w:val="22"/>
        </w:rPr>
        <w:t>.</w:t>
      </w:r>
      <w:r>
        <w:rPr>
          <w:rFonts w:cs="Arial" w:ascii="Arial" w:hAnsi="Arial"/>
          <w:sz w:val="22"/>
          <w:szCs w:val="22"/>
        </w:rPr>
        <w:t>xx</w:t>
      </w:r>
    </w:p>
    <w:p>
      <w:pPr>
        <w:pStyle w:val="Normal"/>
        <w:spacing w:lineRule="atLeast" w:line="100"/>
        <w:rPr>
          <w:rFonts w:ascii="Arial" w:hAnsi="Arial" w:cs="Arial"/>
          <w:sz w:val="22"/>
          <w:szCs w:val="22"/>
        </w:rPr>
      </w:pPr>
      <w:r>
        <w:rPr>
          <w:rStyle w:val="Platne1"/>
          <w:rFonts w:cs="Arial" w:ascii="Arial" w:hAnsi="Arial"/>
          <w:i/>
          <w:sz w:val="22"/>
          <w:szCs w:val="22"/>
        </w:rPr>
        <w:t xml:space="preserve">(jako </w:t>
      </w:r>
      <w:r>
        <w:rPr>
          <w:rStyle w:val="Platne1"/>
          <w:rFonts w:cs="Arial" w:ascii="Arial" w:hAnsi="Arial"/>
          <w:b/>
          <w:i/>
          <w:sz w:val="22"/>
          <w:szCs w:val="22"/>
        </w:rPr>
        <w:t>„odběratel“</w:t>
      </w:r>
      <w:r>
        <w:rPr>
          <w:rStyle w:val="Platne1"/>
          <w:rFonts w:cs="Arial" w:ascii="Arial" w:hAnsi="Arial"/>
          <w:i/>
          <w:sz w:val="22"/>
          <w:szCs w:val="22"/>
        </w:rPr>
        <w:t xml:space="preserve"> na straně druhé)</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uzavírají tuto smlouvu s ohledem na spolupráci při poskytování náhradního plnění dle ust. § 81 zákona č. 435/2004 Sb., o zaměstnanosti, v</w:t>
      </w:r>
      <w:r>
        <w:rPr>
          <w:rFonts w:cs="Arial" w:ascii="Arial" w:hAnsi="Arial"/>
          <w:sz w:val="22"/>
          <w:szCs w:val="22"/>
          <w:lang w:val="en-US"/>
        </w:rPr>
        <w:t xml:space="preserve"> platném znění (dále jen </w:t>
      </w:r>
      <w:r>
        <w:rPr>
          <w:rFonts w:cs="Arial" w:ascii="Arial" w:hAnsi="Arial"/>
          <w:sz w:val="22"/>
          <w:szCs w:val="22"/>
        </w:rPr>
        <w:t>„zákon o zaměstnanosti“)</w:t>
      </w:r>
      <w:r>
        <w:rPr>
          <w:rFonts w:cs="Arial" w:ascii="Arial" w:hAnsi="Arial"/>
          <w:sz w:val="22"/>
          <w:szCs w:val="22"/>
          <w:lang w:val="en-US"/>
        </w:rPr>
        <w:t xml:space="preserve"> a vyhlášky č. 518/2004 Sb., kterou se provádí zákon o zaměstnanosti.</w:t>
      </w:r>
    </w:p>
    <w:p>
      <w:pPr>
        <w:pStyle w:val="Normal"/>
        <w:jc w:val="both"/>
        <w:rPr>
          <w:rFonts w:ascii="Arial" w:hAnsi="Arial" w:cs="Arial"/>
          <w:sz w:val="10"/>
          <w:szCs w:val="10"/>
        </w:rPr>
      </w:pPr>
      <w:r>
        <w:rPr>
          <w:rFonts w:cs="Arial" w:ascii="Arial" w:hAnsi="Arial"/>
          <w:sz w:val="10"/>
          <w:szCs w:val="10"/>
        </w:rPr>
      </w:r>
    </w:p>
    <w:p>
      <w:pPr>
        <w:pStyle w:val="Normal"/>
        <w:spacing w:lineRule="atLeast" w:line="100"/>
        <w:rPr>
          <w:rFonts w:ascii="Arial" w:hAnsi="Arial" w:cs="Arial"/>
          <w:sz w:val="22"/>
          <w:szCs w:val="22"/>
        </w:rPr>
      </w:pPr>
      <w:r>
        <w:rPr>
          <w:rFonts w:cs="Arial" w:ascii="Arial" w:hAnsi="Arial"/>
          <w:sz w:val="22"/>
          <w:szCs w:val="22"/>
        </w:rPr>
      </w:r>
    </w:p>
    <w:p>
      <w:pPr>
        <w:pStyle w:val="Normal"/>
        <w:spacing w:lineRule="atLeast" w:line="100"/>
        <w:rPr>
          <w:rFonts w:ascii="Arial" w:hAnsi="Arial" w:cs="Arial"/>
          <w:sz w:val="22"/>
          <w:szCs w:val="22"/>
        </w:rPr>
      </w:pPr>
      <w:r>
        <w:rPr>
          <w:rFonts w:cs="Arial" w:ascii="Arial" w:hAnsi="Arial"/>
          <w:sz w:val="22"/>
          <w:szCs w:val="22"/>
        </w:rPr>
      </w:r>
    </w:p>
    <w:p>
      <w:pPr>
        <w:pStyle w:val="Normal"/>
        <w:spacing w:lineRule="atLeast" w:line="100"/>
        <w:jc w:val="center"/>
        <w:rPr>
          <w:rFonts w:ascii="Arial" w:hAnsi="Arial" w:cs="Arial"/>
          <w:b/>
          <w:b/>
          <w:sz w:val="22"/>
          <w:szCs w:val="22"/>
        </w:rPr>
      </w:pPr>
      <w:r>
        <w:rPr>
          <w:rFonts w:cs="Arial" w:ascii="Arial" w:hAnsi="Arial"/>
          <w:b/>
          <w:sz w:val="22"/>
          <w:szCs w:val="22"/>
        </w:rPr>
        <w:t>I.</w:t>
      </w:r>
    </w:p>
    <w:p>
      <w:pPr>
        <w:pStyle w:val="Normal"/>
        <w:spacing w:lineRule="atLeast" w:line="100"/>
        <w:jc w:val="center"/>
        <w:rPr>
          <w:rFonts w:ascii="Arial" w:hAnsi="Arial" w:cs="Arial"/>
          <w:sz w:val="22"/>
          <w:szCs w:val="22"/>
        </w:rPr>
      </w:pPr>
      <w:r>
        <w:rPr>
          <w:rFonts w:cs="Arial" w:ascii="Arial" w:hAnsi="Arial"/>
          <w:b/>
          <w:sz w:val="22"/>
          <w:szCs w:val="22"/>
        </w:rPr>
        <w:t>Preambule</w:t>
      </w:r>
    </w:p>
    <w:p>
      <w:pPr>
        <w:pStyle w:val="Normal"/>
        <w:spacing w:lineRule="atLeast" w:line="100"/>
        <w:jc w:val="both"/>
        <w:rPr>
          <w:rFonts w:ascii="Arial" w:hAnsi="Arial" w:cs="Arial"/>
          <w:sz w:val="10"/>
          <w:szCs w:val="10"/>
        </w:rPr>
      </w:pPr>
      <w:r>
        <w:rPr>
          <w:rFonts w:cs="Arial" w:ascii="Arial" w:hAnsi="Arial"/>
          <w:sz w:val="10"/>
          <w:szCs w:val="10"/>
        </w:rPr>
      </w:r>
    </w:p>
    <w:p>
      <w:pPr>
        <w:pStyle w:val="Normal"/>
        <w:spacing w:lineRule="atLeast" w:line="100"/>
        <w:jc w:val="both"/>
        <w:rPr>
          <w:rFonts w:ascii="Arial" w:hAnsi="Arial" w:cs="Arial"/>
          <w:sz w:val="22"/>
          <w:szCs w:val="22"/>
        </w:rPr>
      </w:pPr>
      <w:r>
        <w:rPr>
          <w:rFonts w:cs="Arial" w:ascii="Arial" w:hAnsi="Arial"/>
          <w:sz w:val="22"/>
          <w:szCs w:val="22"/>
        </w:rPr>
        <w:t>Dodavatel prohlašuje, že zaměstnává dle ust. § 81 a násl. zákona o zaměstnanosti, jakožto i provádějících právních předpisů</w:t>
      </w:r>
      <w:r>
        <w:rPr>
          <w:rFonts w:cs="Arial" w:ascii="Arial" w:hAnsi="Arial"/>
          <w:sz w:val="22"/>
          <w:szCs w:val="22"/>
          <w:lang w:val="en-US"/>
        </w:rPr>
        <w:t>,</w:t>
      </w:r>
      <w:r>
        <w:rPr>
          <w:rFonts w:cs="Arial" w:ascii="Arial" w:hAnsi="Arial"/>
          <w:sz w:val="22"/>
          <w:szCs w:val="22"/>
        </w:rPr>
        <w:t xml:space="preserve"> dostatečné množství zaměstnanců se zdravotním znevýhodněním či zdravotním postižením pro účely výpočtu přepočteného stavu těchto zaměstnanců tak, aby mohl řádně poskytovat tzv. </w:t>
      </w:r>
      <w:r>
        <w:rPr>
          <w:rFonts w:cs="Arial" w:ascii="Arial" w:hAnsi="Arial"/>
          <w:bCs/>
          <w:sz w:val="22"/>
          <w:szCs w:val="22"/>
        </w:rPr>
        <w:t xml:space="preserve">náhradní plnění, a to ve smyslu a za podmínek upravenými speciálními zákony (dále také „náhradní plnění“). Rezervace objemu výše uvedeného představuje účel této smlouvy. Dodavatel dále prohlašuje, že vede evidenci o poskytnutém „náhradním plnění“ ve smyslu § 81 zákona o zaměstnanosti, že na základě této evidence provádí průběžnou kontrolu limitů pro poskytování náhradního plnění a že objem náhradního plnění, jehož rezervace je předmětem této smlouvy, uvedené zákonné limity nepřekračuje. </w:t>
      </w:r>
    </w:p>
    <w:p>
      <w:pPr>
        <w:pStyle w:val="Normal"/>
        <w:jc w:val="both"/>
        <w:rPr>
          <w:rFonts w:ascii="Arial" w:hAnsi="Arial" w:cs="Arial"/>
          <w:sz w:val="22"/>
          <w:szCs w:val="22"/>
        </w:rPr>
      </w:pPr>
      <w:r>
        <w:rPr>
          <w:rFonts w:cs="Arial" w:ascii="Arial" w:hAnsi="Arial"/>
          <w:sz w:val="22"/>
          <w:szCs w:val="22"/>
        </w:rPr>
      </w:r>
    </w:p>
    <w:p>
      <w:pPr>
        <w:pStyle w:val="Normal"/>
        <w:spacing w:lineRule="atLeast" w:line="100"/>
        <w:jc w:val="center"/>
        <w:rPr>
          <w:rFonts w:ascii="Arial" w:hAnsi="Arial" w:cs="Arial"/>
          <w:b/>
          <w:b/>
          <w:sz w:val="22"/>
          <w:szCs w:val="22"/>
        </w:rPr>
      </w:pPr>
      <w:r>
        <w:rPr>
          <w:rFonts w:cs="Arial" w:ascii="Arial" w:hAnsi="Arial"/>
          <w:b/>
          <w:sz w:val="22"/>
          <w:szCs w:val="22"/>
        </w:rPr>
        <w:t>II.</w:t>
      </w:r>
    </w:p>
    <w:p>
      <w:pPr>
        <w:pStyle w:val="Normal"/>
        <w:spacing w:lineRule="atLeast" w:line="100"/>
        <w:jc w:val="center"/>
        <w:rPr>
          <w:rFonts w:ascii="Arial" w:hAnsi="Arial" w:cs="Arial"/>
          <w:sz w:val="22"/>
          <w:szCs w:val="22"/>
        </w:rPr>
      </w:pPr>
      <w:r>
        <w:rPr>
          <w:rFonts w:cs="Arial" w:ascii="Arial" w:hAnsi="Arial"/>
          <w:b/>
          <w:sz w:val="22"/>
          <w:szCs w:val="22"/>
        </w:rPr>
        <w:t>Práva a povinnosti stran</w:t>
      </w:r>
    </w:p>
    <w:p>
      <w:pPr>
        <w:pStyle w:val="Normal"/>
        <w:spacing w:lineRule="atLeast" w:line="100"/>
        <w:jc w:val="center"/>
        <w:rPr>
          <w:rFonts w:ascii="Arial" w:hAnsi="Arial" w:cs="Arial"/>
          <w:sz w:val="10"/>
          <w:szCs w:val="10"/>
        </w:rPr>
      </w:pPr>
      <w:r>
        <w:rPr>
          <w:rFonts w:cs="Arial" w:ascii="Arial" w:hAnsi="Arial"/>
          <w:sz w:val="10"/>
          <w:szCs w:val="10"/>
        </w:rPr>
      </w:r>
    </w:p>
    <w:p>
      <w:pPr>
        <w:pStyle w:val="Normal"/>
        <w:numPr>
          <w:ilvl w:val="0"/>
          <w:numId w:val="2"/>
        </w:numPr>
        <w:tabs>
          <w:tab w:val="clear" w:pos="709"/>
        </w:tabs>
        <w:spacing w:lineRule="atLeast" w:line="100"/>
        <w:ind w:left="0" w:hanging="0"/>
        <w:jc w:val="both"/>
        <w:rPr>
          <w:rFonts w:ascii="Arial" w:hAnsi="Arial" w:cs="Arial"/>
          <w:sz w:val="22"/>
          <w:szCs w:val="22"/>
        </w:rPr>
      </w:pPr>
      <w:r>
        <w:rPr>
          <w:rFonts w:cs="Arial" w:ascii="Arial" w:hAnsi="Arial"/>
          <w:sz w:val="22"/>
          <w:szCs w:val="22"/>
        </w:rPr>
        <w:t xml:space="preserve">Odběratel se zavazuje odebrat od dodavatele zboží v právním rámci náhradního plnění v objemu </w:t>
      </w:r>
      <w:r>
        <w:rPr>
          <w:rFonts w:cs="Arial" w:ascii="Arial" w:hAnsi="Arial"/>
          <w:b/>
          <w:sz w:val="22"/>
          <w:szCs w:val="22"/>
        </w:rPr>
        <w:t xml:space="preserve">150 000,- Kč bez DPH </w:t>
      </w:r>
      <w:r>
        <w:rPr>
          <w:rFonts w:cs="Arial" w:ascii="Arial" w:hAnsi="Arial"/>
          <w:sz w:val="22"/>
          <w:szCs w:val="22"/>
        </w:rPr>
        <w:t>(dále jen „rezervovaný objem“) v průběhu kalendářního roku 2025. DPH bude fakturováno dle současných platných právních předpisů.</w:t>
      </w:r>
    </w:p>
    <w:p>
      <w:pPr>
        <w:pStyle w:val="Normal"/>
        <w:spacing w:lineRule="atLeast" w:line="100"/>
        <w:jc w:val="both"/>
        <w:rPr>
          <w:rFonts w:ascii="Arial" w:hAnsi="Arial" w:cs="Arial"/>
          <w:sz w:val="22"/>
          <w:szCs w:val="22"/>
        </w:rPr>
      </w:pPr>
      <w:r>
        <w:rPr>
          <w:rFonts w:cs="Arial" w:ascii="Arial" w:hAnsi="Arial"/>
          <w:sz w:val="22"/>
          <w:szCs w:val="22"/>
        </w:rPr>
      </w:r>
    </w:p>
    <w:p>
      <w:pPr>
        <w:pStyle w:val="Normal"/>
        <w:numPr>
          <w:ilvl w:val="0"/>
          <w:numId w:val="2"/>
        </w:numPr>
        <w:tabs>
          <w:tab w:val="clear" w:pos="709"/>
        </w:tabs>
        <w:spacing w:lineRule="atLeast" w:line="100"/>
        <w:ind w:left="0" w:hanging="0"/>
        <w:jc w:val="both"/>
        <w:rPr>
          <w:rFonts w:ascii="Arial" w:hAnsi="Arial" w:cs="Arial"/>
          <w:sz w:val="22"/>
          <w:szCs w:val="22"/>
        </w:rPr>
      </w:pPr>
      <w:r>
        <w:rPr>
          <w:rFonts w:cs="Arial" w:ascii="Arial" w:hAnsi="Arial"/>
          <w:sz w:val="22"/>
          <w:szCs w:val="22"/>
        </w:rPr>
        <w:t>Dodavatel se zavazuje rezervovat odběrateli celý rezervovaný objem náhradního plnění, specifikovaný v čl. II, odst. 1 této smlouvy, a to na základě závazných objednávek odběratele. V případě nedodržení sjednané částky plněním dodávek a nenahlášením skutečnosti, že dodavatel není schopen dodávky splnit do 30. 11. 2025, se dodavatel zavazuje k povinnosti uhradit odběrateli smluvní pokutu ve výši 5 % z hodnoty nedodaného zboží do sjednaného ročního objemu. V případě, že se dodavatel dostane vinou vyšší moci do mimořádné situace, kdy objektivně nebude moci plnit své závazky plynoucí z této smlouvy, uvědomí o této skutečnosti odběratele. V tomto případě je dodavatel zproštěn povinnosti úhrady smluvní pokuty ve prospěch odběratel.</w:t>
      </w:r>
    </w:p>
    <w:p>
      <w:pPr>
        <w:pStyle w:val="Normal"/>
        <w:spacing w:lineRule="atLeast" w:line="100"/>
        <w:jc w:val="both"/>
        <w:rPr>
          <w:rFonts w:ascii="Arial" w:hAnsi="Arial" w:cs="Arial"/>
          <w:sz w:val="22"/>
          <w:szCs w:val="22"/>
        </w:rPr>
      </w:pPr>
      <w:r>
        <w:rPr>
          <w:rFonts w:cs="Arial" w:ascii="Arial" w:hAnsi="Arial"/>
          <w:sz w:val="22"/>
          <w:szCs w:val="22"/>
        </w:rPr>
      </w:r>
    </w:p>
    <w:p>
      <w:pPr>
        <w:pStyle w:val="Normal"/>
        <w:spacing w:lineRule="atLeast" w:line="100"/>
        <w:jc w:val="both"/>
        <w:rPr>
          <w:rFonts w:ascii="Arial" w:hAnsi="Arial" w:cs="Arial"/>
          <w:sz w:val="22"/>
          <w:szCs w:val="22"/>
        </w:rPr>
      </w:pPr>
      <w:r>
        <w:rPr>
          <w:rFonts w:cs="Arial" w:ascii="Arial" w:hAnsi="Arial"/>
          <w:sz w:val="22"/>
          <w:szCs w:val="22"/>
        </w:rPr>
      </w:r>
    </w:p>
    <w:p>
      <w:pPr>
        <w:pStyle w:val="Normal"/>
        <w:numPr>
          <w:ilvl w:val="0"/>
          <w:numId w:val="2"/>
        </w:numPr>
        <w:tabs>
          <w:tab w:val="clear" w:pos="709"/>
        </w:tabs>
        <w:spacing w:lineRule="atLeast" w:line="100"/>
        <w:ind w:left="0" w:hanging="0"/>
        <w:jc w:val="both"/>
        <w:rPr>
          <w:rFonts w:ascii="Arial" w:hAnsi="Arial" w:cs="Arial"/>
          <w:sz w:val="22"/>
          <w:szCs w:val="22"/>
        </w:rPr>
      </w:pPr>
      <w:r>
        <w:rPr>
          <w:rFonts w:cs="Arial" w:ascii="Arial" w:hAnsi="Arial"/>
          <w:sz w:val="22"/>
          <w:szCs w:val="22"/>
        </w:rPr>
        <w:t>Odběratel se zavazuje vyčerpat celý rezervovaný objem náhradního plnění dle čl. II, odst. 1 této smlouvy do 31. 12. 2025. V případě, že se odběrateli nebude dařit naplnit rezervovaný objem, musí nejpozději do 30. 11. 2025 nahlásit dodavateli závazně objem náhradního plnění, který je schopen do 31. 12. 2025 naplnit. Pokud tak odběratel písemně neučiní, bude dodavatel tuto částku závazně rezervovat do 31. 12. 2025. V takovémto případě se odběratel zavazuje uhradit dodavateli smluvní odměnu ve výši 5 % z neodebraného objemu zboží na základě vystavené faktury dodavatelem do 31. 1. 2026 s dobou splatnosti 30 dní. V případě, že se odběratel dostane vinou vyšší moci do mimořádné situace, kdy objektivně nebude moci plnit své závazky plynoucí z této smlouvy, uvědomí o této skutečnosti dodavatel. V tomto případě je odběratel zproštěn povinnosti úhrady smluvní pokuty ve prospěch dodavatele.</w:t>
      </w:r>
    </w:p>
    <w:p>
      <w:pPr>
        <w:pStyle w:val="ListParagraph"/>
        <w:rPr>
          <w:rFonts w:ascii="Arial" w:hAnsi="Arial" w:cs="Arial"/>
          <w:sz w:val="22"/>
          <w:szCs w:val="22"/>
        </w:rPr>
      </w:pPr>
      <w:r>
        <w:rPr>
          <w:rFonts w:cs="Arial" w:ascii="Arial" w:hAnsi="Arial"/>
          <w:sz w:val="22"/>
          <w:szCs w:val="22"/>
        </w:rPr>
      </w:r>
    </w:p>
    <w:p>
      <w:pPr>
        <w:pStyle w:val="ListParagraph"/>
        <w:numPr>
          <w:ilvl w:val="0"/>
          <w:numId w:val="2"/>
        </w:numPr>
        <w:tabs>
          <w:tab w:val="clear" w:pos="709"/>
        </w:tabs>
        <w:ind w:left="0" w:hanging="0"/>
        <w:jc w:val="both"/>
        <w:rPr>
          <w:rFonts w:ascii="Arial" w:hAnsi="Arial" w:cs="Arial"/>
          <w:sz w:val="22"/>
          <w:szCs w:val="22"/>
        </w:rPr>
      </w:pPr>
      <w:r>
        <w:rPr>
          <w:rFonts w:cs="Arial" w:ascii="Arial" w:hAnsi="Arial"/>
          <w:sz w:val="22"/>
          <w:szCs w:val="22"/>
        </w:rPr>
        <w:t xml:space="preserve">Dodavatel se zavazuje, že informace, které získá při obchodním plnění pro odběratele, neposkytne třetím osobám a bude chápat tyto informace jako obchodní tajemství. V případě porušení takového závazku souhlasí s možností okamžitého ukončení této smlouvy a k vymáhání prokazatelné škody vzniklé tímto konáním. </w:t>
      </w:r>
    </w:p>
    <w:p>
      <w:pPr>
        <w:pStyle w:val="Normal"/>
        <w:spacing w:lineRule="atLeast" w:line="100"/>
        <w:rPr>
          <w:rFonts w:ascii="Arial" w:hAnsi="Arial" w:cs="Arial"/>
          <w:b/>
          <w:b/>
          <w:sz w:val="22"/>
          <w:szCs w:val="22"/>
        </w:rPr>
      </w:pPr>
      <w:r>
        <w:rPr>
          <w:rFonts w:cs="Arial" w:ascii="Arial" w:hAnsi="Arial"/>
          <w:b/>
          <w:sz w:val="22"/>
          <w:szCs w:val="22"/>
        </w:rPr>
      </w:r>
    </w:p>
    <w:p>
      <w:pPr>
        <w:pStyle w:val="Normal"/>
        <w:spacing w:lineRule="atLeast" w:line="100"/>
        <w:jc w:val="center"/>
        <w:rPr>
          <w:rFonts w:ascii="Arial" w:hAnsi="Arial" w:cs="Arial"/>
          <w:b/>
          <w:b/>
          <w:sz w:val="22"/>
          <w:szCs w:val="22"/>
        </w:rPr>
      </w:pPr>
      <w:r>
        <w:rPr>
          <w:rFonts w:cs="Arial" w:ascii="Arial" w:hAnsi="Arial"/>
          <w:b/>
          <w:sz w:val="22"/>
          <w:szCs w:val="22"/>
        </w:rPr>
        <w:t>III.</w:t>
      </w:r>
    </w:p>
    <w:p>
      <w:pPr>
        <w:pStyle w:val="Normal"/>
        <w:spacing w:lineRule="atLeast" w:line="100"/>
        <w:jc w:val="center"/>
        <w:rPr>
          <w:rFonts w:ascii="Arial" w:hAnsi="Arial" w:cs="Arial"/>
          <w:color w:val="000000"/>
          <w:sz w:val="22"/>
          <w:szCs w:val="22"/>
        </w:rPr>
      </w:pPr>
      <w:r>
        <w:rPr>
          <w:rFonts w:cs="Arial" w:ascii="Arial" w:hAnsi="Arial"/>
          <w:b/>
          <w:sz w:val="22"/>
          <w:szCs w:val="22"/>
        </w:rPr>
        <w:t>Závěrečná ustanovení</w:t>
      </w:r>
    </w:p>
    <w:p>
      <w:pPr>
        <w:pStyle w:val="Nadpis4"/>
        <w:numPr>
          <w:ilvl w:val="3"/>
          <w:numId w:val="3"/>
        </w:numPr>
        <w:tabs>
          <w:tab w:val="clear" w:pos="709"/>
        </w:tabs>
        <w:spacing w:lineRule="atLeast" w:line="100" w:before="0" w:after="0"/>
        <w:ind w:left="0" w:hanging="0"/>
        <w:jc w:val="both"/>
        <w:rPr>
          <w:rFonts w:ascii="Arial" w:hAnsi="Arial" w:cs="Arial"/>
          <w:color w:val="000000"/>
          <w:sz w:val="22"/>
          <w:szCs w:val="22"/>
        </w:rPr>
      </w:pPr>
      <w:r>
        <w:rPr>
          <w:rFonts w:cs="Arial" w:ascii="Arial" w:hAnsi="Arial"/>
          <w:color w:val="000000"/>
          <w:sz w:val="22"/>
          <w:szCs w:val="22"/>
        </w:rPr>
      </w:r>
    </w:p>
    <w:p>
      <w:pPr>
        <w:pStyle w:val="Tlotextu"/>
        <w:numPr>
          <w:ilvl w:val="0"/>
          <w:numId w:val="4"/>
        </w:numPr>
        <w:tabs>
          <w:tab w:val="clear" w:pos="709"/>
        </w:tabs>
        <w:spacing w:lineRule="atLeast" w:line="100" w:before="0" w:after="0"/>
        <w:ind w:left="0" w:hanging="0"/>
        <w:jc w:val="both"/>
        <w:rPr>
          <w:rFonts w:ascii="Arial" w:hAnsi="Arial" w:cs="Arial"/>
          <w:color w:val="000000"/>
          <w:sz w:val="22"/>
          <w:szCs w:val="22"/>
        </w:rPr>
      </w:pPr>
      <w:r>
        <w:rPr>
          <w:rFonts w:cs="Arial" w:ascii="Arial" w:hAnsi="Arial"/>
          <w:color w:val="000000"/>
          <w:sz w:val="22"/>
          <w:szCs w:val="22"/>
        </w:rPr>
        <w:t>Smluvní strany výslovně prohlašují, že se s obsahem této smlouvy seznámily, nemají k němu žádných výhrad ani připomínek. Dále prohlašují, že tato smlouva byla uzavřena svobodně, vážně a srozumitelně, nikoliv v tísni a za nápadně nevýhodných podmínek. Na důkaz toho připojují své podpisy.</w:t>
      </w:r>
    </w:p>
    <w:p>
      <w:pPr>
        <w:pStyle w:val="Tlotextu"/>
        <w:spacing w:lineRule="atLeast" w:line="100" w:before="0" w:after="0"/>
        <w:jc w:val="both"/>
        <w:rPr>
          <w:rFonts w:ascii="Arial" w:hAnsi="Arial" w:cs="Arial"/>
          <w:color w:val="000000"/>
          <w:sz w:val="22"/>
          <w:szCs w:val="22"/>
        </w:rPr>
      </w:pPr>
      <w:r>
        <w:rPr>
          <w:rFonts w:cs="Arial" w:ascii="Arial" w:hAnsi="Arial"/>
          <w:color w:val="000000"/>
          <w:sz w:val="22"/>
          <w:szCs w:val="22"/>
        </w:rPr>
      </w:r>
    </w:p>
    <w:p>
      <w:pPr>
        <w:pStyle w:val="Tlotextu"/>
        <w:numPr>
          <w:ilvl w:val="0"/>
          <w:numId w:val="4"/>
        </w:numPr>
        <w:tabs>
          <w:tab w:val="clear" w:pos="709"/>
        </w:tabs>
        <w:spacing w:lineRule="atLeast" w:line="100" w:before="0" w:after="0"/>
        <w:ind w:left="0" w:hanging="0"/>
        <w:jc w:val="both"/>
        <w:rPr>
          <w:rFonts w:ascii="Arial" w:hAnsi="Arial" w:cs="Arial"/>
          <w:color w:val="000000"/>
          <w:sz w:val="22"/>
          <w:szCs w:val="22"/>
        </w:rPr>
      </w:pPr>
      <w:r>
        <w:rPr>
          <w:rFonts w:cs="Arial" w:ascii="Arial" w:hAnsi="Arial"/>
          <w:color w:val="000000"/>
          <w:sz w:val="22"/>
          <w:szCs w:val="22"/>
        </w:rPr>
        <w:t xml:space="preserve">Tato smlouva je sepsána ve 2 stejnopisech, z nichž každý má platnost originálu a po jednom obdrží každá ze smluvních stran. </w:t>
      </w:r>
    </w:p>
    <w:p>
      <w:pPr>
        <w:pStyle w:val="Tlotextu"/>
        <w:spacing w:lineRule="atLeast" w:line="100" w:before="0" w:after="0"/>
        <w:jc w:val="both"/>
        <w:rPr>
          <w:rFonts w:ascii="Arial" w:hAnsi="Arial" w:cs="Arial"/>
          <w:color w:val="000000"/>
          <w:sz w:val="22"/>
          <w:szCs w:val="22"/>
        </w:rPr>
      </w:pPr>
      <w:r>
        <w:rPr>
          <w:rFonts w:cs="Arial" w:ascii="Arial" w:hAnsi="Arial"/>
          <w:color w:val="000000"/>
          <w:sz w:val="22"/>
          <w:szCs w:val="22"/>
        </w:rPr>
      </w:r>
    </w:p>
    <w:p>
      <w:pPr>
        <w:pStyle w:val="Tlotextu"/>
        <w:numPr>
          <w:ilvl w:val="0"/>
          <w:numId w:val="4"/>
        </w:numPr>
        <w:tabs>
          <w:tab w:val="clear" w:pos="709"/>
        </w:tabs>
        <w:spacing w:lineRule="atLeast" w:line="100" w:before="0" w:after="0"/>
        <w:ind w:left="0" w:hanging="0"/>
        <w:jc w:val="both"/>
        <w:rPr>
          <w:rFonts w:ascii="Arial" w:hAnsi="Arial" w:cs="Arial"/>
          <w:color w:val="000000"/>
          <w:sz w:val="22"/>
          <w:szCs w:val="22"/>
        </w:rPr>
      </w:pPr>
      <w:r>
        <w:rPr>
          <w:rFonts w:cs="Arial" w:ascii="Arial" w:hAnsi="Arial"/>
          <w:color w:val="000000"/>
          <w:sz w:val="22"/>
          <w:szCs w:val="22"/>
        </w:rPr>
        <w:t>Tato smlouva může být měněna pouze písemně formou dodatků, podepsaných oběma stranami.</w:t>
      </w:r>
    </w:p>
    <w:p>
      <w:pPr>
        <w:pStyle w:val="Tlotextu"/>
        <w:spacing w:lineRule="atLeast" w:line="100" w:before="0" w:after="0"/>
        <w:jc w:val="both"/>
        <w:rPr>
          <w:rFonts w:ascii="Arial" w:hAnsi="Arial" w:cs="Arial"/>
          <w:color w:val="000000"/>
          <w:sz w:val="22"/>
          <w:szCs w:val="22"/>
        </w:rPr>
      </w:pPr>
      <w:r>
        <w:rPr>
          <w:rFonts w:cs="Arial" w:ascii="Arial" w:hAnsi="Arial"/>
          <w:color w:val="000000"/>
          <w:sz w:val="22"/>
          <w:szCs w:val="22"/>
        </w:rPr>
      </w:r>
    </w:p>
    <w:p>
      <w:pPr>
        <w:pStyle w:val="Tlotextu"/>
        <w:spacing w:lineRule="atLeast" w:line="100" w:before="0" w:after="0"/>
        <w:jc w:val="both"/>
        <w:rPr>
          <w:rFonts w:ascii="Arial" w:hAnsi="Arial" w:cs="Arial"/>
          <w:color w:val="000000"/>
          <w:sz w:val="22"/>
          <w:szCs w:val="22"/>
        </w:rPr>
      </w:pPr>
      <w:r>
        <w:rPr>
          <w:rFonts w:cs="Arial" w:ascii="Arial" w:hAnsi="Arial"/>
          <w:color w:val="000000"/>
          <w:sz w:val="22"/>
          <w:szCs w:val="22"/>
        </w:rPr>
      </w:r>
    </w:p>
    <w:p>
      <w:pPr>
        <w:pStyle w:val="Tlotextu"/>
        <w:spacing w:lineRule="atLeast" w:line="100" w:before="0" w:after="0"/>
        <w:jc w:val="both"/>
        <w:rPr>
          <w:rFonts w:ascii="Arial" w:hAnsi="Arial" w:cs="Arial"/>
          <w:color w:val="000000"/>
          <w:sz w:val="22"/>
          <w:szCs w:val="22"/>
        </w:rPr>
      </w:pPr>
      <w:r>
        <w:rPr>
          <w:rFonts w:cs="Arial" w:ascii="Arial" w:hAnsi="Arial"/>
          <w:color w:val="000000"/>
          <w:sz w:val="22"/>
          <w:szCs w:val="22"/>
        </w:rPr>
      </w:r>
    </w:p>
    <w:p>
      <w:pPr>
        <w:pStyle w:val="Normal"/>
        <w:tabs>
          <w:tab w:val="left" w:pos="2127" w:leader="none"/>
          <w:tab w:val="left" w:pos="5387" w:leader="none"/>
          <w:tab w:val="left" w:pos="7088" w:leader="none"/>
        </w:tabs>
        <w:spacing w:lineRule="atLeast" w:line="100"/>
        <w:rPr>
          <w:rStyle w:val="Platne1"/>
          <w:rFonts w:ascii="Arial" w:hAnsi="Arial" w:cs="Arial"/>
          <w:sz w:val="22"/>
          <w:szCs w:val="22"/>
        </w:rPr>
      </w:pPr>
      <w:r>
        <w:rPr>
          <w:rFonts w:cs="Arial" w:ascii="Arial" w:hAnsi="Arial"/>
          <w:color w:val="000000"/>
          <w:sz w:val="22"/>
          <w:szCs w:val="22"/>
        </w:rPr>
        <w:t xml:space="preserve">V </w:t>
        <w:tab/>
        <w:t>dne</w:t>
        <w:tab/>
        <w:t>V</w:t>
        <w:tab/>
        <w:t>dne</w:t>
      </w:r>
    </w:p>
    <w:p>
      <w:pPr>
        <w:pStyle w:val="Odstavecseseznamem1"/>
        <w:tabs>
          <w:tab w:val="left" w:pos="7485" w:leader="none"/>
        </w:tabs>
        <w:ind w:left="0" w:hanging="0"/>
        <w:jc w:val="both"/>
        <w:rPr>
          <w:rFonts w:ascii="Arial" w:hAnsi="Arial" w:cs="Arial"/>
          <w:sz w:val="22"/>
          <w:szCs w:val="22"/>
        </w:rPr>
      </w:pPr>
      <w:r>
        <w:rPr>
          <w:rStyle w:val="Platne1"/>
          <w:rFonts w:cs="Arial" w:ascii="Arial" w:hAnsi="Arial"/>
          <w:sz w:val="22"/>
          <w:szCs w:val="22"/>
        </w:rPr>
        <w:tab/>
      </w:r>
    </w:p>
    <w:p>
      <w:pPr>
        <w:pStyle w:val="Odstavecseseznamem1"/>
        <w:tabs>
          <w:tab w:val="left" w:pos="5370" w:leader="none"/>
        </w:tabs>
        <w:ind w:left="0" w:hanging="0"/>
        <w:jc w:val="both"/>
        <w:rPr>
          <w:rFonts w:ascii="Arial" w:hAnsi="Arial" w:cs="Arial"/>
          <w:sz w:val="22"/>
          <w:szCs w:val="22"/>
        </w:rPr>
      </w:pPr>
      <w:r>
        <w:rPr>
          <w:rFonts w:cs="Arial" w:ascii="Arial" w:hAnsi="Arial"/>
          <w:sz w:val="22"/>
          <w:szCs w:val="22"/>
        </w:rPr>
      </w:r>
    </w:p>
    <w:p>
      <w:pPr>
        <w:pStyle w:val="Odstavecseseznamem1"/>
        <w:tabs>
          <w:tab w:val="left" w:pos="5370" w:leader="none"/>
        </w:tabs>
        <w:ind w:left="0" w:hanging="0"/>
        <w:jc w:val="both"/>
        <w:rPr>
          <w:rFonts w:ascii="Arial" w:hAnsi="Arial" w:cs="Arial"/>
          <w:sz w:val="22"/>
          <w:szCs w:val="22"/>
        </w:rPr>
      </w:pPr>
      <w:r>
        <w:rPr>
          <w:rFonts w:cs="Arial" w:ascii="Arial" w:hAnsi="Arial"/>
          <w:sz w:val="22"/>
          <w:szCs w:val="22"/>
        </w:rPr>
      </w:r>
    </w:p>
    <w:p>
      <w:pPr>
        <w:pStyle w:val="Normal"/>
        <w:tabs>
          <w:tab w:val="left" w:pos="5370" w:leader="none"/>
        </w:tabs>
        <w:spacing w:lineRule="atLeast" w:line="100"/>
        <w:rPr>
          <w:rFonts w:ascii="Arial" w:hAnsi="Arial" w:cs="Arial"/>
          <w:sz w:val="22"/>
          <w:szCs w:val="22"/>
        </w:rPr>
      </w:pPr>
      <w:r>
        <w:rPr>
          <w:rFonts w:cs="Arial" w:ascii="Arial" w:hAnsi="Arial"/>
          <w:sz w:val="22"/>
          <w:szCs w:val="22"/>
        </w:rPr>
      </w:r>
    </w:p>
    <w:p>
      <w:pPr>
        <w:pStyle w:val="Normal"/>
        <w:tabs>
          <w:tab w:val="left" w:pos="5370" w:leader="none"/>
        </w:tabs>
        <w:spacing w:lineRule="atLeast" w:line="100"/>
        <w:rPr>
          <w:rFonts w:ascii="Arial" w:hAnsi="Arial" w:cs="Arial"/>
          <w:sz w:val="22"/>
          <w:szCs w:val="22"/>
        </w:rPr>
      </w:pPr>
      <w:r>
        <w:rPr>
          <w:rFonts w:cs="Arial" w:ascii="Arial" w:hAnsi="Arial"/>
          <w:sz w:val="22"/>
          <w:szCs w:val="22"/>
        </w:rPr>
      </w:r>
    </w:p>
    <w:p>
      <w:pPr>
        <w:pStyle w:val="Normal"/>
        <w:tabs>
          <w:tab w:val="left" w:pos="5370" w:leader="none"/>
        </w:tabs>
        <w:spacing w:lineRule="atLeast" w:line="100"/>
        <w:rPr>
          <w:rFonts w:ascii="Arial" w:hAnsi="Arial" w:cs="Arial"/>
          <w:sz w:val="22"/>
          <w:szCs w:val="22"/>
        </w:rPr>
      </w:pPr>
      <w:r>
        <w:rPr>
          <w:rFonts w:cs="Arial" w:ascii="Arial" w:hAnsi="Arial"/>
          <w:sz w:val="22"/>
          <w:szCs w:val="22"/>
        </w:rPr>
      </w:r>
    </w:p>
    <w:p>
      <w:pPr>
        <w:pStyle w:val="Normal"/>
        <w:tabs>
          <w:tab w:val="left" w:pos="5370" w:leader="none"/>
        </w:tabs>
        <w:spacing w:lineRule="atLeast" w:line="100"/>
        <w:rPr>
          <w:rFonts w:ascii="Arial" w:hAnsi="Arial" w:cs="Arial"/>
          <w:sz w:val="22"/>
          <w:szCs w:val="22"/>
        </w:rPr>
      </w:pPr>
      <w:r>
        <w:rPr>
          <w:rFonts w:cs="Arial" w:ascii="Arial" w:hAnsi="Arial"/>
          <w:sz w:val="22"/>
          <w:szCs w:val="22"/>
        </w:rPr>
        <w:t xml:space="preserve">    ……………………</w:t>
      </w:r>
      <w:r>
        <w:rPr>
          <w:rFonts w:cs="Arial" w:ascii="Arial" w:hAnsi="Arial"/>
          <w:sz w:val="22"/>
          <w:szCs w:val="22"/>
        </w:rPr>
        <w:t>...................</w:t>
        <w:tab/>
        <w:t>……………………………...</w:t>
      </w:r>
    </w:p>
    <w:p>
      <w:pPr>
        <w:pStyle w:val="Normal"/>
        <w:tabs>
          <w:tab w:val="left" w:pos="5370" w:leader="none"/>
        </w:tabs>
        <w:spacing w:lineRule="atLeast" w:line="100"/>
        <w:rPr>
          <w:rFonts w:ascii="Arial" w:hAnsi="Arial" w:cs="Arial"/>
          <w:sz w:val="22"/>
          <w:szCs w:val="22"/>
        </w:rPr>
      </w:pPr>
      <w:r>
        <w:rPr>
          <w:rFonts w:cs="Arial" w:ascii="Arial" w:hAnsi="Arial"/>
          <w:sz w:val="22"/>
          <w:szCs w:val="22"/>
        </w:rPr>
        <w:t xml:space="preserve">    </w:t>
      </w:r>
      <w:r>
        <w:rPr>
          <w:rFonts w:cs="Arial" w:ascii="Arial" w:hAnsi="Arial"/>
          <w:sz w:val="22"/>
          <w:szCs w:val="22"/>
        </w:rPr>
        <w:t>Mgr. Petr Křivohlávek</w:t>
      </w:r>
      <w:r>
        <w:rPr>
          <w:rStyle w:val="Platne1"/>
          <w:rFonts w:cs="Arial" w:ascii="Arial" w:hAnsi="Arial"/>
          <w:color w:val="0000FF"/>
          <w:sz w:val="22"/>
          <w:szCs w:val="22"/>
        </w:rPr>
        <w:tab/>
      </w:r>
      <w:r>
        <w:rPr>
          <w:rStyle w:val="Platne1"/>
          <w:rFonts w:cs="Arial" w:ascii="Arial" w:hAnsi="Arial"/>
          <w:color w:val="000000"/>
          <w:sz w:val="22"/>
          <w:szCs w:val="22"/>
        </w:rPr>
        <w:t>Adam Kolek, jednatel</w:t>
      </w:r>
      <w:r>
        <w:rPr>
          <w:rStyle w:val="Platne1"/>
          <w:rFonts w:cs="Arial" w:ascii="Arial" w:hAnsi="Arial"/>
          <w:color w:val="0000FF"/>
          <w:sz w:val="22"/>
          <w:szCs w:val="22"/>
        </w:rPr>
        <w:br/>
      </w:r>
      <w:r>
        <w:rPr>
          <w:rStyle w:val="Platne1"/>
          <w:rFonts w:cs="Arial" w:ascii="Arial" w:hAnsi="Arial"/>
          <w:color w:val="000000"/>
          <w:sz w:val="22"/>
          <w:szCs w:val="22"/>
        </w:rPr>
        <w:t xml:space="preserve">    za odběratele</w:t>
        <w:tab/>
        <w:t>za</w:t>
      </w:r>
      <w:r>
        <w:rPr>
          <w:rFonts w:cs="Arial" w:ascii="Arial" w:hAnsi="Arial"/>
          <w:sz w:val="22"/>
          <w:szCs w:val="22"/>
        </w:rPr>
        <w:t xml:space="preserve"> dodavatele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tabs>
          <w:tab w:val="left" w:pos="5370" w:leader="none"/>
        </w:tabs>
        <w:spacing w:lineRule="atLeast" w:line="100"/>
        <w:rPr/>
      </w:pPr>
      <w:r>
        <w:rPr/>
      </w:r>
    </w:p>
    <w:sectPr>
      <w:type w:val="nextPage"/>
      <w:pgSz w:w="11906" w:h="16838"/>
      <w:pgMar w:left="1418" w:right="1134" w:header="0" w:top="1276"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dpis4"/>
      <w:numFmt w:val="decimal"/>
      <w:lvlText w:val="%4."/>
      <w:lvlJc w:val="left"/>
      <w:pPr>
        <w:tabs>
          <w:tab w:val="num" w:pos="1800"/>
        </w:tabs>
        <w:ind w:left="1800" w:hanging="36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sz w:val="22"/>
        <w:b w:val="false"/>
        <w:szCs w:val="24"/>
        <w:bCs w:val="false"/>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5e9c"/>
    <w:pPr>
      <w:widowControl w:val="false"/>
      <w:suppressAutoHyphens w:val="true"/>
      <w:bidi w:val="0"/>
      <w:spacing w:lineRule="auto" w:line="240" w:before="0" w:after="0"/>
      <w:jc w:val="left"/>
    </w:pPr>
    <w:rPr>
      <w:rFonts w:ascii="Times New Roman" w:hAnsi="Times New Roman" w:eastAsia="MS PMincho" w:cs="Times New Roman"/>
      <w:color w:val="auto"/>
      <w:kern w:val="2"/>
      <w:sz w:val="24"/>
      <w:szCs w:val="24"/>
      <w:lang w:val="cs-CZ" w:eastAsia="en-US" w:bidi="ar-SA"/>
    </w:rPr>
  </w:style>
  <w:style w:type="paragraph" w:styleId="Nadpis4">
    <w:name w:val="Heading 4"/>
    <w:basedOn w:val="Normal"/>
    <w:next w:val="Tlotextu"/>
    <w:link w:val="Nadpis4Char"/>
    <w:qFormat/>
    <w:rsid w:val="00497fd8"/>
    <w:pPr>
      <w:keepNext w:val="true"/>
      <w:widowControl w:val="false"/>
      <w:numPr>
        <w:ilvl w:val="3"/>
        <w:numId w:val="1"/>
      </w:numPr>
      <w:suppressAutoHyphens w:val="true"/>
      <w:bidi w:val="0"/>
      <w:spacing w:lineRule="auto" w:line="240" w:before="240" w:after="60"/>
      <w:jc w:val="left"/>
      <w:outlineLvl w:val="3"/>
    </w:pPr>
    <w:rPr>
      <w:rFonts w:ascii="Calibri" w:hAnsi="Calibri" w:eastAsia="Times New Roman" w:cs="Times New Roman"/>
      <w:b/>
      <w:bCs/>
      <w:kern w:val="2"/>
      <w:sz w:val="28"/>
      <w:szCs w:val="28"/>
      <w:lang w:eastAsia="ar-SA"/>
    </w:rPr>
  </w:style>
  <w:style w:type="character" w:styleId="DefaultParagraphFont" w:default="1">
    <w:name w:val="Default Paragraph Font"/>
    <w:uiPriority w:val="1"/>
    <w:semiHidden/>
    <w:unhideWhenUsed/>
    <w:qFormat/>
    <w:rPr/>
  </w:style>
  <w:style w:type="character" w:styleId="Platne1" w:customStyle="1">
    <w:name w:val="platne1"/>
    <w:qFormat/>
    <w:rsid w:val="00b95e9c"/>
    <w:rPr>
      <w:rFonts w:cs="Times New Roman"/>
    </w:rPr>
  </w:style>
  <w:style w:type="character" w:styleId="Nadpis4Char" w:customStyle="1">
    <w:name w:val="Nadpis 4 Char"/>
    <w:basedOn w:val="DefaultParagraphFont"/>
    <w:link w:val="Nadpis4"/>
    <w:qFormat/>
    <w:rsid w:val="00497fd8"/>
    <w:rPr>
      <w:rFonts w:ascii="Calibri" w:hAnsi="Calibri" w:eastAsia="Times New Roman" w:cs="Times New Roman"/>
      <w:b/>
      <w:bCs/>
      <w:kern w:val="2"/>
      <w:sz w:val="28"/>
      <w:szCs w:val="28"/>
      <w:lang w:eastAsia="ar-SA"/>
    </w:rPr>
  </w:style>
  <w:style w:type="character" w:styleId="ZkladntextChar" w:customStyle="1">
    <w:name w:val="Základní text Char"/>
    <w:basedOn w:val="DefaultParagraphFont"/>
    <w:link w:val="Zkladntext"/>
    <w:qFormat/>
    <w:rsid w:val="00497fd8"/>
    <w:rPr>
      <w:rFonts w:ascii="Times New Roman" w:hAnsi="Times New Roman" w:eastAsia="MS PMincho" w:cs="Times New Roman"/>
      <w:kern w:val="2"/>
      <w:sz w:val="24"/>
      <w:szCs w:val="24"/>
    </w:rPr>
  </w:style>
  <w:style w:type="character" w:styleId="Strong">
    <w:name w:val="Strong"/>
    <w:basedOn w:val="DefaultParagraphFont"/>
    <w:uiPriority w:val="22"/>
    <w:qFormat/>
    <w:rsid w:val="00226e89"/>
    <w:rPr>
      <w:b/>
      <w:bCs/>
    </w:rPr>
  </w:style>
  <w:style w:type="character" w:styleId="ListLabel1">
    <w:name w:val="ListLabel 1"/>
    <w:qFormat/>
    <w:rPr>
      <w:rFonts w:ascii="Arial" w:hAnsi="Arial" w:cs="Arial"/>
      <w:b w:val="false"/>
      <w:bCs w:val="false"/>
      <w:sz w:val="22"/>
      <w:szCs w:val="24"/>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497fd8"/>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tavecseseznamem1" w:customStyle="1">
    <w:name w:val="Odstavec se seznamem1"/>
    <w:qFormat/>
    <w:rsid w:val="00b95e9c"/>
    <w:pPr>
      <w:widowControl w:val="false"/>
      <w:suppressAutoHyphens w:val="true"/>
      <w:bidi w:val="0"/>
      <w:spacing w:lineRule="atLeast" w:line="100" w:before="0" w:after="0"/>
      <w:ind w:left="708" w:hanging="0"/>
      <w:jc w:val="left"/>
    </w:pPr>
    <w:rPr>
      <w:rFonts w:ascii="Times New Roman" w:hAnsi="Times New Roman" w:eastAsia="Times New Roman" w:cs="Times New Roman"/>
      <w:color w:val="auto"/>
      <w:kern w:val="2"/>
      <w:sz w:val="20"/>
      <w:szCs w:val="20"/>
      <w:lang w:eastAsia="ar-SA" w:val="cs-CZ" w:bidi="ar-SA"/>
    </w:rPr>
  </w:style>
  <w:style w:type="paragraph" w:styleId="ListParagraph">
    <w:name w:val="List Paragraph"/>
    <w:basedOn w:val="Normal"/>
    <w:uiPriority w:val="34"/>
    <w:qFormat/>
    <w:rsid w:val="00fc02bb"/>
    <w:pPr>
      <w:spacing w:before="0" w:after="0"/>
      <w:ind w:left="720" w:hanging="0"/>
      <w:contextualSpacing/>
    </w:pPr>
    <w:rPr/>
  </w:style>
  <w:style w:type="paragraph" w:styleId="Default" w:customStyle="1">
    <w:name w:val="Default"/>
    <w:qFormat/>
    <w:rsid w:val="00fc02bb"/>
    <w:pPr>
      <w:widowControl/>
      <w:bidi w:val="0"/>
      <w:spacing w:lineRule="auto" w:line="240" w:before="0" w:after="0"/>
      <w:jc w:val="left"/>
    </w:pPr>
    <w:rPr>
      <w:rFonts w:ascii="Times New Roman" w:hAnsi="Times New Roman" w:cs="Times New Roman" w:eastAsia="Calibri"/>
      <w:color w:val="000000"/>
      <w:kern w:val="0"/>
      <w:sz w:val="24"/>
      <w:szCs w:val="24"/>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LibreOffice/6.1.0.3$Windows_X86_64 LibreOffice_project/efb621ed25068d70781dc026f7e9c5187a4decd1</Application>
  <Pages>2</Pages>
  <Words>660</Words>
  <Characters>3836</Characters>
  <CharactersWithSpaces>4475</CharactersWithSpaces>
  <Paragraphs>34</Paragraphs>
  <Company>Finanční správa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2020-11-12T16:32:00Z</dcterms:created>
  <dc:creator>Misha</dc:creator>
  <dc:description/>
  <dc:language>cs-CZ</dc:language>
  <cp:lastModifiedBy/>
  <dcterms:modified xsi:type="dcterms:W3CDTF">2025-02-14T10:23:49Z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Finanční správa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