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28" w:rsidRDefault="00C05286">
      <w:pPr>
        <w:spacing w:line="199" w:lineRule="auto"/>
        <w:ind w:left="4176"/>
        <w:rPr>
          <w:rFonts w:ascii="Times New Roman" w:hAnsi="Times New Roman"/>
          <w:b/>
          <w:color w:val="000000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w w:val="105"/>
          <w:sz w:val="27"/>
          <w:lang w:val="cs-CZ"/>
        </w:rPr>
        <w:t>DOHODA</w:t>
      </w:r>
    </w:p>
    <w:p w:rsidR="006C2628" w:rsidRDefault="00C05286">
      <w:pPr>
        <w:spacing w:before="144"/>
        <w:ind w:left="576"/>
        <w:jc w:val="center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o provedení záchranného archeologického výzkumu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br/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podle §, 22 odst.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 1 zákona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č. 20/1987 Sb. o státní památkové péči, v platném znění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br/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a §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 1746 odst. 2 zákona č. 89/2012 Sb. Zákona občanského zákoníku, v platném znění</w:t>
      </w:r>
    </w:p>
    <w:p w:rsidR="006C2628" w:rsidRDefault="00C05286">
      <w:pPr>
        <w:spacing w:before="252" w:line="201" w:lineRule="auto"/>
        <w:ind w:left="4608"/>
        <w:rPr>
          <w:rFonts w:ascii="Times New Roman" w:hAnsi="Times New Roman"/>
          <w:b/>
          <w:color w:val="000000"/>
          <w:spacing w:val="-12"/>
          <w:w w:val="110"/>
          <w:sz w:val="17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12"/>
          <w:w w:val="110"/>
          <w:sz w:val="17"/>
          <w:lang w:val="cs-CZ"/>
        </w:rPr>
        <w:t>MEZI</w:t>
      </w:r>
      <w:proofErr w:type="gramEnd"/>
    </w:p>
    <w:p w:rsidR="006C2628" w:rsidRDefault="00C05286">
      <w:pPr>
        <w:tabs>
          <w:tab w:val="right" w:pos="4198"/>
        </w:tabs>
        <w:spacing w:before="468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OBJEDNATELEM:</w:t>
      </w:r>
      <w:r>
        <w:rPr>
          <w:rFonts w:ascii="Times New Roman" w:hAnsi="Times New Roman"/>
          <w:color w:val="000000"/>
          <w:sz w:val="16"/>
          <w:lang w:val="cs-CZ"/>
        </w:rPr>
        <w:tab/>
        <w:t xml:space="preserve">  </w:t>
      </w:r>
      <w:r>
        <w:rPr>
          <w:rFonts w:ascii="Times New Roman" w:hAnsi="Times New Roman"/>
          <w:b/>
          <w:color w:val="000000"/>
          <w:spacing w:val="-2"/>
          <w:w w:val="110"/>
          <w:sz w:val="17"/>
          <w:lang w:val="cs-CZ"/>
        </w:rPr>
        <w:t>OBEC VRACLAV</w:t>
      </w:r>
    </w:p>
    <w:p w:rsidR="006C2628" w:rsidRDefault="00C05286">
      <w:pPr>
        <w:spacing w:before="72"/>
        <w:ind w:left="2808"/>
        <w:rPr>
          <w:rFonts w:ascii="Times New Roman" w:hAnsi="Times New Roman"/>
          <w:b/>
          <w:color w:val="000000"/>
          <w:w w:val="110"/>
          <w:sz w:val="17"/>
          <w:lang w:val="cs-CZ"/>
        </w:rPr>
      </w:pPr>
      <w:r>
        <w:rPr>
          <w:rFonts w:ascii="Times New Roman" w:hAnsi="Times New Roman"/>
          <w:b/>
          <w:color w:val="000000"/>
          <w:w w:val="110"/>
          <w:sz w:val="17"/>
          <w:lang w:val="cs-CZ"/>
        </w:rPr>
        <w:t>VRACLAV 66</w:t>
      </w:r>
    </w:p>
    <w:p w:rsidR="006C2628" w:rsidRDefault="00C05286">
      <w:pPr>
        <w:spacing w:before="36"/>
        <w:ind w:left="2808"/>
        <w:rPr>
          <w:rFonts w:ascii="Times New Roman" w:hAnsi="Times New Roman"/>
          <w:b/>
          <w:color w:val="000000"/>
          <w:w w:val="110"/>
          <w:sz w:val="17"/>
          <w:lang w:val="cs-CZ"/>
        </w:rPr>
      </w:pPr>
      <w:r>
        <w:rPr>
          <w:rFonts w:ascii="Times New Roman" w:hAnsi="Times New Roman"/>
          <w:b/>
          <w:color w:val="000000"/>
          <w:w w:val="110"/>
          <w:sz w:val="17"/>
          <w:lang w:val="cs-CZ"/>
        </w:rPr>
        <w:t>565 42</w:t>
      </w:r>
    </w:p>
    <w:p w:rsidR="006C2628" w:rsidRDefault="00C05286">
      <w:pPr>
        <w:tabs>
          <w:tab w:val="right" w:pos="5744"/>
        </w:tabs>
        <w:spacing w:before="360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ZASTOUPENÝM:</w:t>
      </w:r>
      <w:r>
        <w:rPr>
          <w:rFonts w:ascii="Times New Roman" w:hAnsi="Times New Roman"/>
          <w:color w:val="000000"/>
          <w:sz w:val="16"/>
          <w:lang w:val="cs-CZ"/>
        </w:rPr>
        <w:tab/>
      </w:r>
      <w:r>
        <w:rPr>
          <w:rFonts w:ascii="Times New Roman" w:hAnsi="Times New Roman"/>
          <w:color w:val="000000"/>
          <w:spacing w:val="-26"/>
          <w:sz w:val="21"/>
          <w:lang w:val="cs-CZ"/>
        </w:rPr>
        <w:t xml:space="preserve">ING. </w:t>
      </w:r>
      <w:r w:rsidR="00A426DF">
        <w:rPr>
          <w:rFonts w:ascii="Times New Roman" w:hAnsi="Times New Roman"/>
          <w:color w:val="000000"/>
          <w:spacing w:val="-26"/>
          <w:sz w:val="21"/>
          <w:lang w:val="cs-CZ"/>
        </w:rPr>
        <w:t xml:space="preserve"> </w:t>
      </w:r>
      <w:r>
        <w:rPr>
          <w:rFonts w:ascii="Times New Roman" w:hAnsi="Times New Roman"/>
          <w:color w:val="000000"/>
          <w:spacing w:val="-26"/>
          <w:sz w:val="21"/>
          <w:lang w:val="cs-CZ"/>
        </w:rPr>
        <w:t xml:space="preserve">PAVLEM </w:t>
      </w:r>
      <w:r w:rsidR="00A426DF">
        <w:rPr>
          <w:rFonts w:ascii="Times New Roman" w:hAnsi="Times New Roman"/>
          <w:color w:val="000000"/>
          <w:spacing w:val="-26"/>
          <w:sz w:val="21"/>
          <w:lang w:val="cs-CZ"/>
        </w:rPr>
        <w:t xml:space="preserve"> </w:t>
      </w:r>
      <w:r>
        <w:rPr>
          <w:rFonts w:ascii="Times New Roman" w:hAnsi="Times New Roman"/>
          <w:color w:val="000000"/>
          <w:spacing w:val="-26"/>
          <w:sz w:val="21"/>
          <w:lang w:val="cs-CZ"/>
        </w:rPr>
        <w:t xml:space="preserve">OSINKEM, </w:t>
      </w:r>
      <w:r w:rsidR="00A426DF">
        <w:rPr>
          <w:rFonts w:ascii="Times New Roman" w:hAnsi="Times New Roman"/>
          <w:color w:val="000000"/>
          <w:spacing w:val="-26"/>
          <w:sz w:val="21"/>
          <w:lang w:val="cs-CZ"/>
        </w:rPr>
        <w:t xml:space="preserve"> </w:t>
      </w:r>
      <w:r>
        <w:rPr>
          <w:rFonts w:ascii="Times New Roman" w:hAnsi="Times New Roman"/>
          <w:color w:val="000000"/>
          <w:spacing w:val="-26"/>
          <w:sz w:val="21"/>
          <w:lang w:val="cs-CZ"/>
        </w:rPr>
        <w:t>STAROSTOU</w:t>
      </w:r>
    </w:p>
    <w:p w:rsidR="006C2628" w:rsidRDefault="00C05286">
      <w:pPr>
        <w:spacing w:line="302" w:lineRule="auto"/>
        <w:ind w:right="7488"/>
        <w:rPr>
          <w:rFonts w:ascii="Times New Roman" w:hAnsi="Times New Roman"/>
          <w:color w:val="000000"/>
          <w:spacing w:val="-3"/>
          <w:sz w:val="16"/>
          <w:lang w:val="cs-CZ"/>
        </w:rPr>
      </w:pPr>
      <w:r>
        <w:rPr>
          <w:rFonts w:ascii="Times New Roman" w:hAnsi="Times New Roman"/>
          <w:color w:val="000000"/>
          <w:spacing w:val="-3"/>
          <w:sz w:val="16"/>
          <w:lang w:val="cs-CZ"/>
        </w:rPr>
        <w:t xml:space="preserve">BANKOVNÍ SPOJENÍ: </w:t>
      </w:r>
      <w:r>
        <w:rPr>
          <w:rFonts w:ascii="Times New Roman" w:hAnsi="Times New Roman"/>
          <w:color w:val="000000"/>
          <w:sz w:val="16"/>
          <w:lang w:val="cs-CZ"/>
        </w:rPr>
        <w:t>ČÍSLO ÚČTU:</w:t>
      </w:r>
    </w:p>
    <w:p w:rsidR="006C2628" w:rsidRDefault="00C05286">
      <w:pPr>
        <w:tabs>
          <w:tab w:val="right" w:pos="3637"/>
        </w:tabs>
        <w:spacing w:after="1188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IČO:</w:t>
      </w:r>
      <w:r>
        <w:rPr>
          <w:rFonts w:ascii="Times New Roman" w:hAnsi="Times New Roman"/>
          <w:color w:val="000000"/>
          <w:sz w:val="16"/>
          <w:lang w:val="cs-CZ"/>
        </w:rPr>
        <w:tab/>
      </w:r>
      <w:r>
        <w:rPr>
          <w:rFonts w:ascii="Times New Roman" w:hAnsi="Times New Roman"/>
          <w:color w:val="000000"/>
          <w:sz w:val="21"/>
          <w:lang w:val="cs-CZ"/>
        </w:rPr>
        <w:t>00279749</w:t>
      </w:r>
    </w:p>
    <w:p w:rsidR="006C2628" w:rsidRDefault="006C2628">
      <w:pPr>
        <w:sectPr w:rsidR="006C2628">
          <w:pgSz w:w="11918" w:h="16854"/>
          <w:pgMar w:top="1678" w:right="1649" w:bottom="1646" w:left="1129" w:header="720" w:footer="720" w:gutter="0"/>
          <w:cols w:space="708"/>
        </w:sectPr>
      </w:pPr>
    </w:p>
    <w:p w:rsidR="006C2628" w:rsidRDefault="00C05286">
      <w:pPr>
        <w:spacing w:line="199" w:lineRule="auto"/>
        <w:rPr>
          <w:rFonts w:ascii="Times New Roman" w:hAnsi="Times New Roman"/>
          <w:color w:val="000000"/>
          <w:spacing w:val="4"/>
          <w:sz w:val="16"/>
          <w:lang w:val="cs-CZ"/>
        </w:rPr>
      </w:pPr>
      <w:r>
        <w:rPr>
          <w:rFonts w:ascii="Times New Roman" w:hAnsi="Times New Roman"/>
          <w:color w:val="000000"/>
          <w:spacing w:val="4"/>
          <w:sz w:val="16"/>
          <w:lang w:val="cs-CZ"/>
        </w:rPr>
        <w:t>ZHOTOVITELE31:</w:t>
      </w:r>
    </w:p>
    <w:p w:rsidR="00C05286" w:rsidRPr="00A426DF" w:rsidRDefault="00C05286">
      <w:pPr>
        <w:spacing w:before="684" w:line="302" w:lineRule="auto"/>
        <w:rPr>
          <w:rFonts w:ascii="Times New Roman" w:hAnsi="Times New Roman"/>
          <w:color w:val="000000"/>
          <w:spacing w:val="-5"/>
          <w:sz w:val="16"/>
          <w:lang w:val="cs-CZ"/>
        </w:rPr>
      </w:pPr>
      <w:r>
        <w:rPr>
          <w:rFonts w:ascii="Times New Roman" w:hAnsi="Times New Roman"/>
          <w:color w:val="000000"/>
          <w:spacing w:val="-5"/>
          <w:sz w:val="16"/>
          <w:lang w:val="cs-CZ"/>
        </w:rPr>
        <w:t xml:space="preserve">BANKOVNÍ SPOJENÍ: </w:t>
      </w:r>
    </w:p>
    <w:p w:rsidR="006C2628" w:rsidRPr="00A426DF" w:rsidRDefault="00C05286" w:rsidP="00A426DF">
      <w:pPr>
        <w:rPr>
          <w:rFonts w:ascii="Times New Roman" w:hAnsi="Times New Roman"/>
          <w:color w:val="000000"/>
          <w:sz w:val="20"/>
          <w:lang w:val="cs-CZ"/>
        </w:rPr>
      </w:pPr>
      <w:r w:rsidRPr="00A426DF">
        <w:rPr>
          <w:rFonts w:ascii="Times New Roman" w:hAnsi="Times New Roman"/>
          <w:color w:val="000000"/>
          <w:sz w:val="20"/>
          <w:lang w:val="cs-CZ"/>
        </w:rPr>
        <w:t>IČO:</w:t>
      </w:r>
      <w:r>
        <w:br w:type="column"/>
      </w:r>
      <w:r w:rsidRPr="00A426DF">
        <w:rPr>
          <w:rFonts w:ascii="Times New Roman" w:hAnsi="Times New Roman"/>
          <w:color w:val="000000"/>
          <w:sz w:val="20"/>
          <w:lang w:val="cs-CZ"/>
        </w:rPr>
        <w:t xml:space="preserve">Regionální muzeum </w:t>
      </w:r>
      <w:r w:rsidRPr="00A426DF">
        <w:rPr>
          <w:rFonts w:ascii="Times New Roman" w:hAnsi="Times New Roman"/>
          <w:color w:val="000000"/>
          <w:sz w:val="21"/>
          <w:lang w:val="cs-CZ"/>
        </w:rPr>
        <w:t>ve Vysokém Mýtě</w:t>
      </w:r>
    </w:p>
    <w:p w:rsidR="006C2628" w:rsidRDefault="00C05286">
      <w:pPr>
        <w:jc w:val="both"/>
        <w:rPr>
          <w:rFonts w:ascii="Times New Roman" w:hAnsi="Times New Roman"/>
          <w:b/>
          <w:color w:val="000000"/>
          <w:spacing w:val="7"/>
          <w:sz w:val="20"/>
          <w:lang w:val="cs-CZ"/>
        </w:rPr>
      </w:pPr>
      <w:r w:rsidRPr="00A426DF">
        <w:rPr>
          <w:rFonts w:ascii="Times New Roman" w:hAnsi="Times New Roman"/>
          <w:color w:val="000000"/>
          <w:spacing w:val="7"/>
          <w:sz w:val="20"/>
          <w:lang w:val="cs-CZ"/>
        </w:rPr>
        <w:t xml:space="preserve">A. </w:t>
      </w:r>
      <w:r w:rsidRPr="00A426DF">
        <w:rPr>
          <w:rFonts w:ascii="Times New Roman" w:hAnsi="Times New Roman"/>
          <w:color w:val="000000"/>
          <w:spacing w:val="7"/>
          <w:sz w:val="21"/>
          <w:lang w:val="cs-CZ"/>
        </w:rPr>
        <w:t>V.</w:t>
      </w: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 Šembery 125 </w:t>
      </w:r>
      <w:r>
        <w:rPr>
          <w:rFonts w:ascii="Times New Roman" w:hAnsi="Times New Roman"/>
          <w:color w:val="000000"/>
          <w:sz w:val="21"/>
          <w:lang w:val="cs-CZ"/>
        </w:rPr>
        <w:t xml:space="preserve">566 01 Vysoké Mýto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jménem Regionálního muzea ve V. Mýtě jedná Mgr. Jiří Junek, ředitel muzea</w:t>
      </w:r>
    </w:p>
    <w:p w:rsidR="006C2628" w:rsidRDefault="00C05286">
      <w:pPr>
        <w:spacing w:before="360" w:after="72" w:line="196" w:lineRule="auto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372331</w:t>
      </w:r>
    </w:p>
    <w:p w:rsidR="006C2628" w:rsidRDefault="006C2628">
      <w:pPr>
        <w:sectPr w:rsidR="006C2628">
          <w:type w:val="continuous"/>
          <w:pgSz w:w="11918" w:h="16854"/>
          <w:pgMar w:top="1678" w:right="1649" w:bottom="1646" w:left="1137" w:header="720" w:footer="720" w:gutter="0"/>
          <w:cols w:num="2" w:space="0" w:equalWidth="0">
            <w:col w:w="1565" w:space="1253"/>
            <w:col w:w="6254" w:space="0"/>
          </w:cols>
        </w:sectPr>
      </w:pPr>
    </w:p>
    <w:p w:rsidR="006C2628" w:rsidRDefault="00C05286">
      <w:pPr>
        <w:spacing w:before="756"/>
        <w:jc w:val="center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>I</w:t>
      </w:r>
      <w:r>
        <w:rPr>
          <w:rFonts w:ascii="Times New Roman" w:hAnsi="Times New Roman"/>
          <w:b/>
          <w:color w:val="000000"/>
          <w:sz w:val="20"/>
          <w:lang w:val="cs-CZ"/>
        </w:rPr>
        <w:t>. Předmět dohody</w:t>
      </w:r>
    </w:p>
    <w:p w:rsidR="006C2628" w:rsidRDefault="00C05286">
      <w:pPr>
        <w:spacing w:before="72" w:line="480" w:lineRule="auto"/>
        <w:jc w:val="center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>Provedení záchranného archeologického výzkumu v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č. dokumentace a dalšího zpracování nálezů na akci: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br/>
      </w:r>
      <w:r w:rsidRPr="00C05286"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Vraclav, novostavba objektu pro provoz dětské skupiny, </w:t>
      </w:r>
      <w:proofErr w:type="spellStart"/>
      <w:proofErr w:type="gramStart"/>
      <w:r w:rsidRPr="00C05286">
        <w:rPr>
          <w:rFonts w:ascii="Times New Roman" w:hAnsi="Times New Roman"/>
          <w:b/>
          <w:color w:val="000000"/>
          <w:spacing w:val="-1"/>
          <w:sz w:val="20"/>
          <w:lang w:val="cs-CZ"/>
        </w:rPr>
        <w:t>p.p.</w:t>
      </w:r>
      <w:proofErr w:type="gramEnd"/>
      <w:r w:rsidRPr="00C05286">
        <w:rPr>
          <w:rFonts w:ascii="Times New Roman" w:hAnsi="Times New Roman"/>
          <w:b/>
          <w:color w:val="000000"/>
          <w:spacing w:val="-1"/>
          <w:sz w:val="20"/>
          <w:lang w:val="cs-CZ"/>
        </w:rPr>
        <w:t>č</w:t>
      </w:r>
      <w:proofErr w:type="spellEnd"/>
      <w:r w:rsidRPr="00C05286"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. st. 108, </w:t>
      </w:r>
      <w:r w:rsidRPr="00C05286">
        <w:rPr>
          <w:rFonts w:ascii="Times New Roman" w:hAnsi="Times New Roman"/>
          <w:b/>
          <w:color w:val="000000"/>
          <w:spacing w:val="-1"/>
          <w:sz w:val="21"/>
          <w:lang w:val="cs-CZ"/>
        </w:rPr>
        <w:t>24/1, 25/1, 1054/37</w:t>
      </w:r>
      <w:r w:rsidRPr="00A426DF">
        <w:rPr>
          <w:rFonts w:ascii="Times New Roman" w:hAnsi="Times New Roman"/>
          <w:color w:val="000000"/>
          <w:spacing w:val="-1"/>
          <w:sz w:val="21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br/>
      </w:r>
      <w:r>
        <w:rPr>
          <w:rFonts w:ascii="Times New Roman" w:hAnsi="Times New Roman"/>
          <w:b/>
          <w:color w:val="000000"/>
          <w:sz w:val="20"/>
          <w:lang w:val="cs-CZ"/>
        </w:rPr>
        <w:t>II. Způsob a termín p</w:t>
      </w:r>
      <w:r w:rsidR="00A426DF">
        <w:rPr>
          <w:rFonts w:ascii="Times New Roman" w:hAnsi="Times New Roman"/>
          <w:b/>
          <w:color w:val="000000"/>
          <w:sz w:val="20"/>
          <w:lang w:val="cs-CZ"/>
        </w:rPr>
        <w:t>l</w:t>
      </w:r>
      <w:r>
        <w:rPr>
          <w:rFonts w:ascii="Times New Roman" w:hAnsi="Times New Roman"/>
          <w:b/>
          <w:color w:val="000000"/>
          <w:sz w:val="20"/>
          <w:lang w:val="cs-CZ"/>
        </w:rPr>
        <w:t>nění</w:t>
      </w:r>
    </w:p>
    <w:p w:rsidR="006C2628" w:rsidRDefault="00C05286">
      <w:pPr>
        <w:spacing w:before="144"/>
        <w:rPr>
          <w:rFonts w:ascii="Times New Roman" w:hAnsi="Times New Roman"/>
          <w:b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Předmětem dohody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je provedení záchranného archeologického výzkumu, který v sobě zahrnuje tyto činnosti:</w:t>
      </w:r>
    </w:p>
    <w:p w:rsidR="006C2628" w:rsidRDefault="00C05286">
      <w:pPr>
        <w:numPr>
          <w:ilvl w:val="0"/>
          <w:numId w:val="1"/>
        </w:numPr>
        <w:tabs>
          <w:tab w:val="clear" w:pos="360"/>
          <w:tab w:val="decimal" w:pos="792"/>
        </w:tabs>
        <w:spacing w:before="252"/>
        <w:ind w:left="792" w:right="72" w:hanging="360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vyhodnocení nemovitých archeologických nálezů (archeologických situací) a jejich kresebnou, fotografickou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a geodetickou dokumentaci;</w:t>
      </w:r>
    </w:p>
    <w:p w:rsidR="006C2628" w:rsidRDefault="00C05286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>separaci movitých archeologických nálezů nacházejících se v rámci výše zmíněných archeologických situací;</w:t>
      </w:r>
    </w:p>
    <w:p w:rsidR="006C2628" w:rsidRDefault="00C05286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sz w:val="21"/>
          <w:lang w:val="cs-CZ"/>
        </w:rPr>
        <w:t>další odborné zpr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acování v rámci výzkumu identifikovaných movitých i nemovitých archeologických nálezů.</w:t>
      </w:r>
    </w:p>
    <w:p w:rsidR="006C2628" w:rsidRDefault="00C05286">
      <w:pPr>
        <w:spacing w:before="360"/>
        <w:ind w:right="72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Terénní výzkum a další odborné zpracování nálezů bude prováděno v návaznosti na realizaci zemních prací, které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proběhnou v termínu: únor — červen 2025</w:t>
      </w:r>
    </w:p>
    <w:p w:rsidR="006C2628" w:rsidRDefault="00C05286">
      <w:pPr>
        <w:spacing w:before="108"/>
        <w:ind w:right="72"/>
        <w:jc w:val="both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>Nejpozději 5 dnů p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řed faktickým zahájením zemních prací objednatel oznámí tuto skutečnost zhotoviteli, a rovněž uvede kontakt na dodavatele výkopových prací (jméno, telefonní číslo). Zhotovitel zahájí archeologický výzkum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nejpozději do 7 dnů od omámení počátku zemních prací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 objednatelem.</w:t>
      </w:r>
    </w:p>
    <w:p w:rsidR="006C2628" w:rsidRDefault="00C05286">
      <w:pPr>
        <w:spacing w:before="108"/>
        <w:ind w:right="72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Frekvence návštěv je přímo závislá na postupu zemních prací. Návštěva zhotovitele bude zapsána do stavebního deníku.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V případě nedostupnosti stavebního deníku zaznamená zástupce zhotovitele návštěvu do svého pracovního deníku.</w:t>
      </w:r>
    </w:p>
    <w:p w:rsidR="00A426DF" w:rsidRDefault="00A426DF">
      <w:pPr>
        <w:spacing w:before="108"/>
        <w:ind w:right="72"/>
        <w:rPr>
          <w:rFonts w:ascii="Times New Roman" w:hAnsi="Times New Roman"/>
          <w:color w:val="000000"/>
          <w:spacing w:val="-3"/>
          <w:sz w:val="21"/>
          <w:lang w:val="cs-CZ"/>
        </w:rPr>
      </w:pPr>
    </w:p>
    <w:p w:rsidR="00A426DF" w:rsidRDefault="00A426DF" w:rsidP="00A426DF">
      <w:pPr>
        <w:spacing w:line="360" w:lineRule="auto"/>
        <w:jc w:val="center"/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  <w:lastRenderedPageBreak/>
        <w:t xml:space="preserve">III. Návrh rozpočtu nákladů na archeologický výzkum </w:t>
      </w:r>
      <w:r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Náklady na záchranný archeologický výzkum nepřekročí částku: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br/>
      </w:r>
      <w:r w:rsidRPr="00F22B84">
        <w:rPr>
          <w:rFonts w:ascii="Times New Roman" w:hAnsi="Times New Roman"/>
          <w:color w:val="000000"/>
          <w:sz w:val="21"/>
          <w:lang w:val="cs-CZ"/>
        </w:rPr>
        <w:t xml:space="preserve">35 </w:t>
      </w:r>
      <w:r w:rsidRPr="00F22B84">
        <w:rPr>
          <w:rFonts w:ascii="Times New Roman" w:hAnsi="Times New Roman"/>
          <w:color w:val="000000"/>
          <w:w w:val="105"/>
          <w:sz w:val="20"/>
          <w:lang w:val="cs-CZ"/>
        </w:rPr>
        <w:t>000,</w:t>
      </w:r>
      <w:r w:rsidRPr="00F22B84">
        <w:rPr>
          <w:rFonts w:ascii="Times New Roman" w:hAnsi="Times New Roman"/>
          <w:color w:val="000000"/>
          <w:sz w:val="6"/>
          <w:lang w:val="cs-CZ"/>
        </w:rPr>
        <w:t xml:space="preserve">- </w:t>
      </w:r>
      <w:r w:rsidRPr="00F22B84">
        <w:rPr>
          <w:rFonts w:ascii="Times New Roman" w:hAnsi="Times New Roman"/>
          <w:color w:val="000000"/>
          <w:w w:val="105"/>
          <w:sz w:val="20"/>
          <w:lang w:val="cs-CZ"/>
        </w:rPr>
        <w:t>Kč</w:t>
      </w:r>
      <w:r>
        <w:rPr>
          <w:rFonts w:ascii="Times New Roman" w:hAnsi="Times New Roman"/>
          <w:b/>
          <w:color w:val="000000"/>
          <w:w w:val="105"/>
          <w:sz w:val="20"/>
          <w:lang w:val="cs-CZ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(slovy: třicet pět tisíc korun českých)</w:t>
      </w:r>
    </w:p>
    <w:p w:rsidR="00A426DF" w:rsidRPr="00A426DF" w:rsidRDefault="00A426DF" w:rsidP="00A426DF">
      <w:pPr>
        <w:spacing w:before="288"/>
        <w:ind w:right="72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 w:rsidRPr="00A426DF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 xml:space="preserve">Fakturace bude prováděna podle skutečně vynaložených nákladů, a to na základě přiloženého přehledu nákladů </w:t>
      </w:r>
      <w:r w:rsidRPr="00A426DF"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t>na výzkum. Faktura — spolu s podrobným vyúčtováním — bude zaslána objednateli po skončení zemních prací.</w:t>
      </w:r>
    </w:p>
    <w:p w:rsidR="00A426DF" w:rsidRPr="00A426DF" w:rsidRDefault="00A426DF" w:rsidP="00A426DF">
      <w:pPr>
        <w:spacing w:before="108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 w:rsidRPr="00A426DF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V případě pozdní úhrady bude účtována sankce ve výši 0,05 % z objemu nákladů na výzkum za každý den.</w:t>
      </w:r>
    </w:p>
    <w:p w:rsidR="00A426DF" w:rsidRDefault="00A426DF" w:rsidP="00A426DF">
      <w:pPr>
        <w:spacing w:before="72"/>
        <w:ind w:right="72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Potvrzení o provedení záchranného archeologického výzkumu bude vystaveno až po úhradě 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nákladů na záchranný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archeologický výzkum.</w:t>
      </w:r>
    </w:p>
    <w:p w:rsidR="00A426DF" w:rsidRPr="00A426DF" w:rsidRDefault="00A426DF" w:rsidP="00A426DF">
      <w:pPr>
        <w:tabs>
          <w:tab w:val="right" w:pos="6034"/>
        </w:tabs>
        <w:spacing w:before="792"/>
        <w:ind w:left="3600"/>
        <w:rPr>
          <w:rFonts w:ascii="Times New Roman" w:hAnsi="Times New Roman"/>
          <w:b/>
          <w:color w:val="000000"/>
          <w:sz w:val="21"/>
          <w:lang w:val="cs-CZ"/>
        </w:rPr>
      </w:pPr>
      <w:r w:rsidRPr="00A426DF">
        <w:rPr>
          <w:rFonts w:ascii="Times New Roman" w:hAnsi="Times New Roman"/>
          <w:b/>
          <w:color w:val="000000"/>
          <w:sz w:val="21"/>
          <w:lang w:val="cs-CZ"/>
        </w:rPr>
        <w:t>IV.</w:t>
      </w:r>
      <w:r w:rsidRPr="00A426DF">
        <w:rPr>
          <w:rFonts w:ascii="Times New Roman" w:hAnsi="Times New Roman"/>
          <w:b/>
          <w:color w:val="000000"/>
          <w:sz w:val="21"/>
          <w:lang w:val="cs-CZ"/>
        </w:rPr>
        <w:tab/>
        <w:t xml:space="preserve">Závěrečná </w:t>
      </w:r>
      <w:r w:rsidRPr="00A426DF">
        <w:rPr>
          <w:rFonts w:ascii="Times New Roman" w:hAnsi="Times New Roman"/>
          <w:b/>
          <w:color w:val="000000"/>
          <w:w w:val="105"/>
          <w:sz w:val="20"/>
          <w:lang w:val="cs-CZ"/>
        </w:rPr>
        <w:t>ujednání</w:t>
      </w:r>
    </w:p>
    <w:p w:rsidR="00A426DF" w:rsidRDefault="00A426DF" w:rsidP="00A426DF">
      <w:pPr>
        <w:spacing w:before="180"/>
        <w:ind w:right="72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>V případě, že stavebními či se stavbou sou</w:t>
      </w: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visejícími pracemi budou narušeny archeologické situace v takovém rozsahu,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že náklady na záchranný archeologický výzkum přesáhnou částku uvedenou v bodě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II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I., zavazují se strany dohody vejít v neodkladné jednání cílené k řešení této skutečnosti.</w:t>
      </w:r>
    </w:p>
    <w:p w:rsidR="00A426DF" w:rsidRDefault="00A426DF" w:rsidP="00A426DF">
      <w:pPr>
        <w:spacing w:before="72"/>
        <w:ind w:right="72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Dohoda nabývá platnosti dnem podpisu obou stran a je vypracována ve čtyřech stejnopisech, každý v platnosti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originálu, z nichž dva obdrží objednatel a dva zhotovitel. Dohoda nabývá účinnosti dnem písemného oznámení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faktického zahájení zemních prací (viz část II. této dohody).</w:t>
      </w:r>
    </w:p>
    <w:p w:rsidR="00A426DF" w:rsidRDefault="00A426DF" w:rsidP="00A426DF">
      <w:pPr>
        <w:spacing w:before="108"/>
        <w:ind w:right="72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sz w:val="21"/>
          <w:lang w:val="cs-CZ"/>
        </w:rPr>
        <w:t>Změny dohody lze provádět pouze písemnými dodatky odsouhlasenými objednatelem a zhotovitelem. Pokud není stanoveno jinak, v ostatním se tato dohoda řídí příslušnými ustanoveními obecně platných právních předpisů.</w:t>
      </w:r>
    </w:p>
    <w:p w:rsidR="00A426DF" w:rsidRDefault="00A426DF" w:rsidP="00A426DF">
      <w:pPr>
        <w:spacing w:before="1152" w:after="1116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Vysoké Mýto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dne </w:t>
      </w:r>
    </w:p>
    <w:p w:rsidR="00A426DF" w:rsidRDefault="00A426DF" w:rsidP="00A426DF">
      <w:pPr>
        <w:tabs>
          <w:tab w:val="right" w:pos="8448"/>
        </w:tabs>
        <w:spacing w:before="252"/>
        <w:ind w:left="1152"/>
        <w:rPr>
          <w:rFonts w:ascii="Times New Roman" w:hAnsi="Times New Roman"/>
          <w:color w:val="000000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5080</wp:posOffset>
                </wp:positionV>
                <wp:extent cx="2143760" cy="0"/>
                <wp:effectExtent l="10795" t="12700" r="762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3554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.4pt" to="176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uBHgIAAEEEAAAOAAAAZHJzL2Uyb0RvYy54bWysU9uO2jAQfa/Uf7D8DrmQsh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" strokecolor="#030303" strokeweight=".7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5080</wp:posOffset>
                </wp:positionV>
                <wp:extent cx="2134235" cy="0"/>
                <wp:effectExtent l="9525" t="12700" r="889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15D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05pt,.4pt" to="467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IzHQIAAEEEAAAOAAAAZHJzL2Uyb0RvYy54bWysU8GO2jAQvVfqP1i+QxLIUo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" strokecolor="#030303" strokeweight=".7pt"/>
            </w:pict>
          </mc:Fallback>
        </mc:AlternateContent>
      </w:r>
      <w:r>
        <w:rPr>
          <w:rFonts w:ascii="Times New Roman" w:hAnsi="Times New Roman"/>
          <w:color w:val="000000"/>
          <w:sz w:val="21"/>
          <w:lang w:val="cs-CZ"/>
        </w:rPr>
        <w:t>Mgr. Jiří Junek</w:t>
      </w:r>
      <w:r>
        <w:rPr>
          <w:rFonts w:ascii="Times New Roman" w:hAnsi="Times New Roman"/>
          <w:color w:val="00000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12"/>
          <w:lang w:val="cs-CZ"/>
        </w:rPr>
        <w:t>Ing. Pavel Osinek</w:t>
      </w:r>
    </w:p>
    <w:p w:rsidR="00A426DF" w:rsidRDefault="00A426DF" w:rsidP="00A426DF">
      <w:pPr>
        <w:tabs>
          <w:tab w:val="right" w:pos="7997"/>
        </w:tabs>
        <w:spacing w:line="189" w:lineRule="auto"/>
        <w:ind w:left="1512"/>
        <w:rPr>
          <w:rFonts w:ascii="Times New Roman" w:hAnsi="Times New Roman"/>
          <w:color w:val="000000"/>
          <w:spacing w:val="-6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ředitel</w:t>
      </w: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starosta</w:t>
      </w:r>
    </w:p>
    <w:p w:rsidR="00A426DF" w:rsidRDefault="00A426DF" w:rsidP="00A426DF">
      <w:pPr>
        <w:tabs>
          <w:tab w:val="right" w:pos="8294"/>
        </w:tabs>
        <w:ind w:left="1224"/>
        <w:rPr>
          <w:rFonts w:ascii="Times New Roman" w:hAnsi="Times New Roman"/>
          <w:color w:val="000000"/>
          <w:spacing w:val="-8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3"/>
          <w:lang w:val="cs-CZ"/>
        </w:rPr>
        <w:t>za zhotovitele</w:t>
      </w:r>
      <w:r>
        <w:rPr>
          <w:rFonts w:ascii="Times New Roman" w:hAnsi="Times New Roman"/>
          <w:color w:val="000000"/>
          <w:spacing w:val="-8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za objednatele</w:t>
      </w:r>
    </w:p>
    <w:p w:rsidR="00A426DF" w:rsidRDefault="00A426DF">
      <w:pPr>
        <w:spacing w:before="108"/>
        <w:ind w:right="72"/>
        <w:rPr>
          <w:rFonts w:ascii="Times New Roman" w:hAnsi="Times New Roman"/>
          <w:color w:val="000000"/>
          <w:spacing w:val="-4"/>
          <w:sz w:val="21"/>
          <w:lang w:val="cs-CZ"/>
        </w:rPr>
      </w:pPr>
    </w:p>
    <w:sectPr w:rsidR="00A426DF">
      <w:type w:val="continuous"/>
      <w:pgSz w:w="11918" w:h="16854"/>
      <w:pgMar w:top="1678" w:right="1006" w:bottom="1646" w:left="11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B43"/>
    <w:multiLevelType w:val="multilevel"/>
    <w:tmpl w:val="E556C3D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8"/>
    <w:rsid w:val="006C2628"/>
    <w:rsid w:val="00A426DF"/>
    <w:rsid w:val="00C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6C79"/>
  <w15:docId w15:val="{4581ECE4-4836-42A0-8836-64EC800F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Martin Stepan</cp:lastModifiedBy>
  <cp:revision>3</cp:revision>
  <dcterms:created xsi:type="dcterms:W3CDTF">2025-02-14T08:36:00Z</dcterms:created>
  <dcterms:modified xsi:type="dcterms:W3CDTF">2025-02-14T08:40:00Z</dcterms:modified>
</cp:coreProperties>
</file>