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6BD3" w14:textId="4BFACDE6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567731817DE64CAC90EC93326F12FFE6"/>
          </w:placeholder>
        </w:sdtPr>
        <w:sdtEndPr/>
        <w:sdtContent>
          <w:r w:rsidR="00F60969">
            <w:rPr>
              <w:sz w:val="18"/>
            </w:rPr>
            <w:t>SMLO-1702/00066001/2024-MH/TKA/BS</w:t>
          </w:r>
        </w:sdtContent>
      </w:sdt>
    </w:p>
    <w:p w14:paraId="0DBB7192" w14:textId="19E22F5B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6B00A183" w14:textId="1F0B28E3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66887B3C2BCD4F9FA70E8216B294217D"/>
          </w:placeholder>
        </w:sdtPr>
        <w:sdtEndPr/>
        <w:sdtContent>
          <w:r w:rsidR="00F60969">
            <w:rPr>
              <w:sz w:val="18"/>
            </w:rPr>
            <w:t>IE-12-6009082</w:t>
          </w:r>
        </w:sdtContent>
      </w:sdt>
    </w:p>
    <w:p w14:paraId="124116A1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660DD1AA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B3142EC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6BE11B3E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35DF0C9D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48F3BCE0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49A1AF0C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5AC538B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5B1EEBF9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4C4FA193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25F65062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75767A1E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5D37CBC8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0918D4D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2AE68E0D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F97934F0ABC545C887CF223DFFA0F943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69E462B6" w14:textId="60166148" w:rsidR="005201DE" w:rsidRDefault="00F60969" w:rsidP="005201DE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79ABBFB9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4CE713B8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C55FC35" w14:textId="77777777" w:rsidR="00F60969" w:rsidRPr="00447A20" w:rsidRDefault="00F60969" w:rsidP="00F60969">
      <w:pPr>
        <w:tabs>
          <w:tab w:val="left" w:pos="2127"/>
        </w:tabs>
        <w:spacing w:before="0"/>
        <w:jc w:val="center"/>
        <w:rPr>
          <w:i/>
        </w:rPr>
      </w:pPr>
      <w:r>
        <w:rPr>
          <w:b/>
          <w:bCs/>
          <w:iCs/>
        </w:rPr>
        <w:t>ČEZ Distribuce, a.s.</w:t>
      </w:r>
      <w:r w:rsidRPr="00540ACC">
        <w:rPr>
          <w:b/>
        </w:rPr>
        <w:t>,</w:t>
      </w:r>
    </w:p>
    <w:p w14:paraId="69B97630" w14:textId="77777777" w:rsidR="00F60969" w:rsidRPr="00540ACC" w:rsidRDefault="00F60969" w:rsidP="00F60969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DF798843C73C4577B85ADC9E65C82CC2"/>
          </w:placeholder>
        </w:sdtPr>
        <w:sdtEndPr/>
        <w:sdtContent>
          <w:r w:rsidRPr="00447A20">
            <w:rPr>
              <w:bCs/>
            </w:rPr>
            <w:t xml:space="preserve">Děčín, Děčín </w:t>
          </w:r>
          <w:proofErr w:type="gramStart"/>
          <w:r w:rsidRPr="00447A20">
            <w:rPr>
              <w:bCs/>
            </w:rPr>
            <w:t>IV- Podmokly</w:t>
          </w:r>
          <w:proofErr w:type="gramEnd"/>
          <w:r w:rsidRPr="00447A20">
            <w:rPr>
              <w:bCs/>
            </w:rPr>
            <w:t>, Teplická 874/8, PSČ 405 02</w:t>
          </w:r>
          <w:r w:rsidRPr="00447A20">
            <w:rPr>
              <w:b/>
            </w:rPr>
            <w:t xml:space="preserve">  </w:t>
          </w:r>
        </w:sdtContent>
      </w:sdt>
    </w:p>
    <w:p w14:paraId="0AF7EFB9" w14:textId="77777777" w:rsidR="00F60969" w:rsidRPr="00540ACC" w:rsidRDefault="00F60969" w:rsidP="00F60969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DF798843C73C4577B85ADC9E65C82CC2"/>
          </w:placeholder>
        </w:sdtPr>
        <w:sdtEndPr/>
        <w:sdtContent>
          <w:r w:rsidRPr="00447A20">
            <w:rPr>
              <w:bCs/>
            </w:rPr>
            <w:t>24729035</w:t>
          </w:r>
        </w:sdtContent>
      </w:sdt>
    </w:p>
    <w:p w14:paraId="64B44F57" w14:textId="77777777" w:rsidR="00F60969" w:rsidRDefault="00F60969" w:rsidP="00F60969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DF798843C73C4577B85ADC9E65C82CC2"/>
          </w:placeholder>
        </w:sdtPr>
        <w:sdtEndPr/>
        <w:sdtContent>
          <w:r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DF798843C73C4577B85ADC9E65C82CC2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DF798843C73C4577B85ADC9E65C82CC2"/>
          </w:placeholder>
        </w:sdtPr>
        <w:sdtEndPr/>
        <w:sdtContent>
          <w:r>
            <w:rPr>
              <w:bCs/>
            </w:rPr>
            <w:t>2145</w:t>
          </w:r>
        </w:sdtContent>
      </w:sdt>
    </w:p>
    <w:p w14:paraId="7454B337" w14:textId="3C5C98E2" w:rsidR="00F60969" w:rsidRDefault="00F60969" w:rsidP="00F60969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DF798843C73C4577B85ADC9E65C82CC2"/>
          </w:placeholder>
        </w:sdtPr>
        <w:sdtEndPr/>
        <w:sdtContent>
          <w:proofErr w:type="spellStart"/>
          <w:r w:rsidR="00AF5A73">
            <w:rPr>
              <w:bCs/>
            </w:rPr>
            <w:t>xxxxxxxxxxxxxxx</w:t>
          </w:r>
          <w:proofErr w:type="spellEnd"/>
        </w:sdtContent>
      </w:sdt>
    </w:p>
    <w:p w14:paraId="782459A1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 w:rsidR="0045556A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258F72EC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0B387DE9" w14:textId="61B95D1D" w:rsidR="00AE5AC7" w:rsidRDefault="00AF5A73" w:rsidP="00AE5AC7">
      <w:pPr>
        <w:tabs>
          <w:tab w:val="left" w:pos="3119"/>
        </w:tabs>
        <w:spacing w:after="0"/>
      </w:pPr>
      <w:r>
        <w:rPr>
          <w:rStyle w:val="Styl1"/>
          <w:bCs/>
        </w:rPr>
        <w:t>xxxxxxxxxxxx</w:t>
      </w:r>
      <w:r w:rsidR="00AE5AC7">
        <w:rPr>
          <w:rStyle w:val="Styl1"/>
          <w:bCs/>
        </w:rPr>
        <w:t xml:space="preserve">, </w:t>
      </w:r>
      <w:r w:rsidR="00AE5AC7" w:rsidRPr="00885D66">
        <w:t>na základě plné moci</w:t>
      </w:r>
      <w:r w:rsidR="00F60969">
        <w:t xml:space="preserve"> ev. č. POV/GŘ/</w:t>
      </w:r>
      <w:proofErr w:type="gramStart"/>
      <w:r w:rsidR="00F60969">
        <w:t>9B</w:t>
      </w:r>
      <w:proofErr w:type="gramEnd"/>
      <w:r w:rsidR="00F60969">
        <w:t>/0086/2020</w:t>
      </w:r>
      <w:r w:rsidR="00AE5AC7" w:rsidRPr="00885D66">
        <w:t xml:space="preserve"> ze dne</w:t>
      </w:r>
      <w:r w:rsidR="00AE5AC7">
        <w:t xml:space="preserve"> </w:t>
      </w:r>
      <w:sdt>
        <w:sdtPr>
          <w:id w:val="1693802516"/>
          <w:placeholder>
            <w:docPart w:val="047937FE22D7486D8477BB3884AB8658"/>
          </w:placeholder>
          <w:date w:fullDate="2021-02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60969">
            <w:t>18.02.2021</w:t>
          </w:r>
        </w:sdtContent>
      </w:sdt>
    </w:p>
    <w:p w14:paraId="114313A3" w14:textId="77777777" w:rsidR="009F7BE7" w:rsidRDefault="009F7BE7" w:rsidP="009F36A3">
      <w:pPr>
        <w:tabs>
          <w:tab w:val="left" w:pos="4536"/>
        </w:tabs>
        <w:spacing w:before="0"/>
      </w:pPr>
    </w:p>
    <w:p w14:paraId="55550C56" w14:textId="77777777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AC71AF4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0361E912" w14:textId="7777777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 ustanoveními zákona č. </w:t>
      </w:r>
      <w:r w:rsidR="007B28CD">
        <w:t>458/2000</w:t>
      </w:r>
      <w:r w:rsidR="00B058A0">
        <w:t xml:space="preserve"> Sb., </w:t>
      </w:r>
      <w:r w:rsidR="007B28CD">
        <w:t>o podmínkách podnikání a o výkonu státní správy v energetických odvětvích a o změně některých zákonů</w:t>
      </w:r>
      <w:r w:rsidR="00B058A0">
        <w:t>, v platném znění</w:t>
      </w:r>
      <w:r w:rsidR="00187EE6">
        <w:t xml:space="preserve"> (dále jen </w:t>
      </w:r>
      <w:r w:rsidR="0093717A">
        <w:t>„</w:t>
      </w:r>
      <w:r w:rsidR="007B28CD">
        <w:rPr>
          <w:b/>
          <w:bCs/>
        </w:rPr>
        <w:t>energetický zákon</w:t>
      </w:r>
      <w:r w:rsidR="0093717A">
        <w:t>“)</w:t>
      </w:r>
      <w:r w:rsidR="00B058A0">
        <w:t xml:space="preserve">, </w:t>
      </w:r>
      <w:r w:rsidRPr="009F36A3">
        <w:t>tuto smlouvu o smlouvě budoucí o zřízení služebnosti inženýrské sítě.</w:t>
      </w:r>
    </w:p>
    <w:p w14:paraId="5E3716A1" w14:textId="77777777" w:rsidR="00187EE6" w:rsidRPr="009F36A3" w:rsidRDefault="00187EE6" w:rsidP="00187EE6">
      <w:pPr>
        <w:pStyle w:val="Nadpis2"/>
      </w:pPr>
      <w:bookmarkStart w:id="4" w:name="_Středočeský_kraj_je"/>
      <w:bookmarkStart w:id="5" w:name="_Ref118794886"/>
      <w:bookmarkEnd w:id="4"/>
      <w:r w:rsidRPr="009F36A3">
        <w:t>PŘEDMĚT SMLOUVY</w:t>
      </w:r>
    </w:p>
    <w:p w14:paraId="026BF615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973127351A37486BB94EA457BA6BCAA4"/>
            </w:placeholder>
            <w15:repeatingSectionItem/>
          </w:sdtPr>
          <w:sdtEndPr/>
          <w:sdtContent>
            <w:p w14:paraId="02CC4412" w14:textId="4E3F8817" w:rsidR="00187EE6" w:rsidRDefault="00AF5A73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2B17027842F04DE6AB1CBF58FE5F1015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217BE8E69774B9FBE5158EF6A2C8AA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0969">
                    <w:rPr>
                      <w:rStyle w:val="Styl1"/>
                    </w:rPr>
                    <w:t>906/31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217BE8E69774B9FBE5158EF6A2C8AA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0969">
                    <w:rPr>
                      <w:rStyle w:val="Styl1"/>
                    </w:rPr>
                    <w:t>45</w:t>
                  </w:r>
                </w:sdtContent>
              </w:sdt>
              <w:r w:rsidR="00187EE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217BE8E69774B9FBE5158EF6A2C8AA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0969">
                    <w:rPr>
                      <w:rStyle w:val="Styl1"/>
                    </w:rPr>
                    <w:t>Stará Lysá</w:t>
                  </w:r>
                </w:sdtContent>
              </w:sdt>
              <w:r w:rsidR="00187EE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217BE8E69774B9FBE5158EF6A2C8AA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0969">
                    <w:rPr>
                      <w:rStyle w:val="Styl1"/>
                    </w:rPr>
                    <w:t>stará lysá</w:t>
                  </w:r>
                </w:sdtContent>
              </w:sdt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217BE8E69774B9FBE5158EF6A2C8AA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60969">
                    <w:rPr>
                      <w:rStyle w:val="Styl1"/>
                    </w:rPr>
                    <w:t>nymburk</w:t>
                  </w:r>
                </w:sdtContent>
              </w:sdt>
              <w:r w:rsidR="00187EE6" w:rsidRPr="00C8753A">
                <w:t>,</w:t>
              </w:r>
              <w:r w:rsidR="00F60969">
                <w:t xml:space="preserve"> </w:t>
              </w:r>
              <w:r w:rsidR="00F60969" w:rsidRPr="00F60969">
                <w:t xml:space="preserve">pozemku parcelní číslo </w:t>
              </w:r>
              <w:r w:rsidR="00F60969" w:rsidRPr="00F60969">
                <w:rPr>
                  <w:b/>
                  <w:bCs/>
                </w:rPr>
                <w:t>3586 a 3584/1</w:t>
              </w:r>
              <w:r w:rsidR="00F60969" w:rsidRPr="00F60969">
                <w:t xml:space="preserve"> zapsaném na LV </w:t>
              </w:r>
              <w:r w:rsidR="00F60969" w:rsidRPr="00F60969">
                <w:rPr>
                  <w:b/>
                  <w:bCs/>
                </w:rPr>
                <w:t>1425</w:t>
              </w:r>
              <w:r w:rsidR="00F60969">
                <w:rPr>
                  <w:b/>
                  <w:bCs/>
                </w:rPr>
                <w:t xml:space="preserve"> </w:t>
              </w:r>
              <w:r w:rsidR="00F60969" w:rsidRPr="00F60969">
                <w:t xml:space="preserve">vedeném pro katastrální území </w:t>
              </w:r>
              <w:r w:rsidR="00F60969">
                <w:rPr>
                  <w:b/>
                  <w:bCs/>
                </w:rPr>
                <w:t>LYSÁ NAD LABEM</w:t>
              </w:r>
              <w:r w:rsidR="00F60969" w:rsidRPr="00F60969">
                <w:t>, obec</w:t>
              </w:r>
              <w:r w:rsidR="00F60969">
                <w:t xml:space="preserve"> </w:t>
              </w:r>
              <w:r w:rsidR="00F60969">
                <w:rPr>
                  <w:b/>
                  <w:bCs/>
                </w:rPr>
                <w:t>LYSÁ NAD LABEM</w:t>
              </w:r>
              <w:r w:rsidR="00F60969" w:rsidRPr="00F60969">
                <w:t xml:space="preserve">, zapsaném v katastru nemovitostí vedeném Katastrálním úřadem pro Středočeský kraj, Katastrální pracoviště </w:t>
              </w:r>
              <w:r w:rsidR="00F60969" w:rsidRPr="00F60969">
                <w:rPr>
                  <w:b/>
                  <w:bCs/>
                </w:rPr>
                <w:t>NYMBURK</w:t>
              </w:r>
              <w:r w:rsidR="00F60969">
                <w:rPr>
                  <w:b/>
                  <w:bCs/>
                </w:rPr>
                <w:t xml:space="preserve">, </w:t>
              </w:r>
              <w:r w:rsidR="00F60969" w:rsidRPr="00F60969">
                <w:t xml:space="preserve">pozemku parcelní číslo </w:t>
              </w:r>
              <w:r w:rsidR="00F60969">
                <w:rPr>
                  <w:b/>
                  <w:bCs/>
                </w:rPr>
                <w:t>1319</w:t>
              </w:r>
              <w:r w:rsidR="00F60969" w:rsidRPr="00F60969">
                <w:t xml:space="preserve"> zapsaném na LV </w:t>
              </w:r>
              <w:r w:rsidR="00F60969">
                <w:rPr>
                  <w:b/>
                  <w:bCs/>
                </w:rPr>
                <w:t xml:space="preserve">337 </w:t>
              </w:r>
              <w:r w:rsidR="00F60969" w:rsidRPr="00F60969">
                <w:t xml:space="preserve">vedeném pro katastrální území </w:t>
              </w:r>
              <w:r w:rsidR="00F60969">
                <w:rPr>
                  <w:b/>
                  <w:bCs/>
                </w:rPr>
                <w:t>BENÁTECKÁ VRUTICE</w:t>
              </w:r>
              <w:r w:rsidR="00F60969" w:rsidRPr="00F60969">
                <w:t>, obec</w:t>
              </w:r>
              <w:r w:rsidR="00F60969">
                <w:t xml:space="preserve"> </w:t>
              </w:r>
              <w:r w:rsidR="00F60969">
                <w:rPr>
                  <w:b/>
                  <w:bCs/>
                </w:rPr>
                <w:t>MILOVICE</w:t>
              </w:r>
              <w:r w:rsidR="00F60969" w:rsidRPr="00F60969">
                <w:t xml:space="preserve">, zapsaném v katastru nemovitostí vedeném Katastrálním úřadem pro Středočeský kraj, Katastrální pracoviště </w:t>
              </w:r>
              <w:r w:rsidR="00F60969" w:rsidRPr="00F60969">
                <w:rPr>
                  <w:b/>
                  <w:bCs/>
                </w:rPr>
                <w:t>NYMBURK</w:t>
              </w:r>
              <w:r w:rsidR="00F60969">
                <w:rPr>
                  <w:b/>
                  <w:bCs/>
                </w:rPr>
                <w:t xml:space="preserve">, </w:t>
              </w:r>
              <w:r w:rsidR="00F60969" w:rsidRPr="00F60969">
                <w:t xml:space="preserve">pozemku parcelní číslo </w:t>
              </w:r>
              <w:r w:rsidR="00F60969" w:rsidRPr="00F60969">
                <w:rPr>
                  <w:b/>
                  <w:bCs/>
                </w:rPr>
                <w:t>1238</w:t>
              </w:r>
              <w:r w:rsidR="00F60969" w:rsidRPr="00F60969">
                <w:t xml:space="preserve"> zapsaném na LV </w:t>
              </w:r>
              <w:r w:rsidR="00F60969">
                <w:rPr>
                  <w:b/>
                  <w:bCs/>
                </w:rPr>
                <w:t xml:space="preserve">498 </w:t>
              </w:r>
              <w:r w:rsidR="00F60969" w:rsidRPr="00F60969">
                <w:t xml:space="preserve">vedeném pro katastrální území </w:t>
              </w:r>
              <w:r w:rsidR="00F60969">
                <w:rPr>
                  <w:b/>
                  <w:bCs/>
                </w:rPr>
                <w:t>LÁZNĚ TOUŠEŇ</w:t>
              </w:r>
              <w:r w:rsidR="00F60969" w:rsidRPr="00F60969">
                <w:t>, obec</w:t>
              </w:r>
              <w:r w:rsidR="00F60969">
                <w:t xml:space="preserve"> </w:t>
              </w:r>
              <w:r w:rsidR="00F60969">
                <w:rPr>
                  <w:b/>
                  <w:bCs/>
                </w:rPr>
                <w:t>LÁZNĚ TOUŠEŇ</w:t>
              </w:r>
              <w:r w:rsidR="00F60969" w:rsidRPr="00F60969">
                <w:t xml:space="preserve">, zapsaném v katastru nemovitostí vedeném Katastrálním úřadem pro Středočeský kraj, Katastrální pracoviště </w:t>
              </w:r>
              <w:r w:rsidR="001E6993">
                <w:rPr>
                  <w:b/>
                  <w:bCs/>
                </w:rPr>
                <w:t xml:space="preserve">PRAHA-VÝCHOD, </w:t>
              </w:r>
              <w:r w:rsidR="001E6993" w:rsidRPr="00F60969">
                <w:t xml:space="preserve">pozemku parcelní číslo </w:t>
              </w:r>
              <w:r w:rsidR="001E6993">
                <w:rPr>
                  <w:b/>
                  <w:bCs/>
                </w:rPr>
                <w:t>243/1 a 246/1</w:t>
              </w:r>
              <w:r w:rsidR="001E6993" w:rsidRPr="00F60969">
                <w:t xml:space="preserve"> zapsaném na LV </w:t>
              </w:r>
              <w:r w:rsidR="001E6993">
                <w:rPr>
                  <w:b/>
                  <w:bCs/>
                </w:rPr>
                <w:t xml:space="preserve">1576 </w:t>
              </w:r>
              <w:r w:rsidR="001E6993" w:rsidRPr="00F60969">
                <w:t xml:space="preserve">vedeném pro katastrální území </w:t>
              </w:r>
              <w:r w:rsidR="001E6993">
                <w:rPr>
                  <w:b/>
                  <w:bCs/>
                </w:rPr>
                <w:t>ZÁLUŽÍ U ČELÁKOVIC</w:t>
              </w:r>
              <w:r w:rsidR="001E6993" w:rsidRPr="00F60969">
                <w:t>, obec</w:t>
              </w:r>
              <w:r w:rsidR="001E6993">
                <w:t xml:space="preserve"> </w:t>
              </w:r>
              <w:r w:rsidR="001E6993">
                <w:rPr>
                  <w:b/>
                  <w:bCs/>
                </w:rPr>
                <w:t>ČELÁKOVICE</w:t>
              </w:r>
              <w:r w:rsidR="001E6993" w:rsidRPr="00F60969">
                <w:t xml:space="preserve">, zapsaném v katastru nemovitostí vedeném Katastrálním úřadem pro Středočeský kraj, Katastrální pracoviště </w:t>
              </w:r>
              <w:r w:rsidR="001E6993">
                <w:rPr>
                  <w:b/>
                  <w:bCs/>
                </w:rPr>
                <w:t xml:space="preserve">PRAHA-VÝCHOD, </w:t>
              </w:r>
              <w:r w:rsidR="001E6993" w:rsidRPr="00F60969">
                <w:t xml:space="preserve">pozemku parcelní číslo </w:t>
              </w:r>
              <w:r w:rsidR="001E6993">
                <w:rPr>
                  <w:b/>
                  <w:bCs/>
                </w:rPr>
                <w:t>3870 a 3877</w:t>
              </w:r>
              <w:r w:rsidR="001E6993" w:rsidRPr="00F60969">
                <w:t xml:space="preserve"> zapsaném na LV </w:t>
              </w:r>
              <w:r w:rsidR="001E6993">
                <w:rPr>
                  <w:b/>
                  <w:bCs/>
                </w:rPr>
                <w:t xml:space="preserve">1576 </w:t>
              </w:r>
              <w:r w:rsidR="001E6993" w:rsidRPr="00F60969">
                <w:t xml:space="preserve">vedeném pro katastrální území </w:t>
              </w:r>
              <w:r w:rsidR="001E6993">
                <w:rPr>
                  <w:b/>
                  <w:bCs/>
                </w:rPr>
                <w:t>ČELÁKOVICE</w:t>
              </w:r>
              <w:r w:rsidR="001E6993" w:rsidRPr="00F60969">
                <w:t>, obec</w:t>
              </w:r>
              <w:r w:rsidR="001E6993">
                <w:t xml:space="preserve"> </w:t>
              </w:r>
              <w:r w:rsidR="001E6993" w:rsidRPr="001E6993">
                <w:rPr>
                  <w:b/>
                  <w:bCs/>
                </w:rPr>
                <w:t>ČELÁKOVICE</w:t>
              </w:r>
              <w:r w:rsidR="001E6993" w:rsidRPr="00F60969">
                <w:t xml:space="preserve">, zapsaném v katastru nemovitostí vedeném Katastrálním úřadem pro Středočeský kraj, Katastrální pracoviště </w:t>
              </w:r>
              <w:r w:rsidR="001E6993">
                <w:rPr>
                  <w:b/>
                  <w:bCs/>
                </w:rPr>
                <w:t>PRAHA-VÝCHOD</w:t>
              </w:r>
            </w:p>
          </w:sdtContent>
        </w:sdt>
      </w:sdtContent>
    </w:sdt>
    <w:p w14:paraId="715C221B" w14:textId="77777777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End w:id="5"/>
      <w:r w:rsidR="00776A9D">
        <w:t>Správce.</w:t>
      </w:r>
    </w:p>
    <w:p w14:paraId="76956627" w14:textId="1517526D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7E049B1C92DB41179CD6A8633BFF28D2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1E6993">
            <w:rPr>
              <w:rStyle w:val="Styl1"/>
            </w:rPr>
            <w:t xml:space="preserve">„V1991_1992 – TR ČECHY STŘED – tr milovice“ </w:t>
          </w:r>
        </w:sdtContent>
      </w:sdt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7E049B1C92DB41179CD6A8633BFF28D2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1E6993">
            <w:rPr>
              <w:rStyle w:val="Styl1"/>
            </w:rPr>
            <w:t>6444/20/KSUS/MHT/GEIS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743221DEDA074BDF9CF730B3AB64D45E"/>
          </w:placeholder>
          <w:date w:fullDate="2020-09-17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1E6993">
            <w:rPr>
              <w:rStyle w:val="Styl1"/>
            </w:rPr>
            <w:t>17.09.2020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5C7CE492" w14:textId="37108C95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</w:t>
      </w:r>
      <w:r w:rsidR="00707D5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45556A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F60969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707D5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3E599F5D" w14:textId="77777777" w:rsidR="001E7AA8" w:rsidRPr="009F36A3" w:rsidRDefault="001E7AA8" w:rsidP="001E7AA8">
      <w:pPr>
        <w:pStyle w:val="Nadpis2"/>
      </w:pPr>
      <w:bookmarkStart w:id="6" w:name="_Ref130223545"/>
      <w:r w:rsidRPr="009F36A3">
        <w:t>BUDOUCÍ SLUŽEBNOST</w:t>
      </w:r>
      <w:bookmarkEnd w:id="6"/>
    </w:p>
    <w:p w14:paraId="0F4382F6" w14:textId="77777777" w:rsidR="00424E0C" w:rsidRDefault="00424E0C" w:rsidP="00424E0C">
      <w:pPr>
        <w:pStyle w:val="Nadpis3"/>
      </w:pPr>
      <w:bookmarkStart w:id="7" w:name="_Dle_dohody_účastníků"/>
      <w:bookmarkStart w:id="8" w:name="_Ref269202531"/>
      <w:bookmarkStart w:id="9" w:name="_Ref118794837"/>
      <w:bookmarkEnd w:id="7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2C03D87B" w14:textId="77777777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2A94BA9B" w14:textId="77777777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26C79092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5101F6B9" w14:textId="7777777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5362EE33" w14:textId="77777777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1558EFF3" w14:textId="77777777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0FF9F374" w14:textId="77777777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02FD6922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4EB6F579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5BF3FEAC" w14:textId="77777777" w:rsidR="00424E0C" w:rsidRDefault="00424E0C" w:rsidP="00424E0C">
      <w:pPr>
        <w:pStyle w:val="Nadpis3"/>
      </w:pPr>
      <w:r>
        <w:lastRenderedPageBreak/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3A7DE38D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0A8F749D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3C795D16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16F4FB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F699CCE" w14:textId="162CA15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F60969">
        <w:t>6</w:t>
      </w:r>
      <w:r>
        <w:fldChar w:fldCharType="end"/>
      </w:r>
      <w:r>
        <w:t xml:space="preserve"> Smlouvy.</w:t>
      </w:r>
    </w:p>
    <w:p w14:paraId="21B1784F" w14:textId="77777777" w:rsidR="001E7AA8" w:rsidRDefault="001E7AA8" w:rsidP="001E7AA8">
      <w:pPr>
        <w:pStyle w:val="Nadpis2"/>
      </w:pPr>
      <w:r>
        <w:t>DALŠÍ PRÁVA A POVINNOSTI SMLUVNÍCH STRAN</w:t>
      </w:r>
    </w:p>
    <w:p w14:paraId="306130A3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1B93B110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0BFC701B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6E65859C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47C3AEA7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910159C" w14:textId="77777777" w:rsidR="00D123D7" w:rsidRDefault="00D123D7" w:rsidP="00D123D7">
      <w:pPr>
        <w:pStyle w:val="Nadpis2"/>
      </w:pPr>
      <w:r>
        <w:t>Odstoupení od smlouvy</w:t>
      </w:r>
    </w:p>
    <w:p w14:paraId="3919CC73" w14:textId="77777777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2DC53C42" w14:textId="77777777" w:rsidR="00D123D7" w:rsidRDefault="00707D51" w:rsidP="00D123D7">
      <w:pPr>
        <w:pStyle w:val="Nadpis4"/>
      </w:pPr>
      <w:bookmarkStart w:id="10" w:name="_Ref152172388"/>
      <w:r>
        <w:t>Zařízení</w:t>
      </w:r>
      <w:r w:rsidR="003670BA">
        <w:t>m</w:t>
      </w:r>
      <w:r w:rsidR="00D123D7">
        <w:t xml:space="preserve"> nedojde k dotčení </w:t>
      </w:r>
      <w:r>
        <w:t>Budoucího služebného pozemku</w:t>
      </w:r>
      <w:bookmarkEnd w:id="10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02A579B6" w14:textId="77777777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707D51">
        <w:t>Zařízení</w:t>
      </w:r>
      <w:r w:rsidR="00E74187">
        <w:t xml:space="preserve"> </w:t>
      </w:r>
      <w:r>
        <w:t xml:space="preserve">a stavba </w:t>
      </w:r>
      <w:r w:rsidR="00707D51">
        <w:t>Zařízení</w:t>
      </w:r>
      <w:r w:rsidR="00E74187">
        <w:t xml:space="preserve">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213AE468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6B59207B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ve stanoveném termínu neuhradí částku uvedenou v č. III.</w:t>
      </w:r>
      <w:r w:rsidR="00292AD5">
        <w:t xml:space="preserve"> nebo</w:t>
      </w:r>
    </w:p>
    <w:p w14:paraId="553FF017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nesplní podmínky stanovené v</w:t>
      </w:r>
      <w:r w:rsidR="00292AD5">
        <w:t xml:space="preserve">e </w:t>
      </w:r>
      <w:r w:rsidR="00707D51">
        <w:t>Vyjádření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10EA814B" w14:textId="4466FADF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F60969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707D51">
        <w:t>Budoucího služebného pozemku</w:t>
      </w:r>
      <w:r>
        <w:t xml:space="preserve">, je </w:t>
      </w:r>
      <w:r w:rsidR="0045556A">
        <w:t>Budoucí povinný</w:t>
      </w:r>
      <w:r>
        <w:t xml:space="preserve"> povinen vrátit </w:t>
      </w:r>
      <w:r w:rsidR="0045556A">
        <w:t>Budoucímu oprávněnému</w:t>
      </w:r>
      <w:r>
        <w:t xml:space="preserve">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</w:t>
      </w:r>
      <w:r w:rsidR="0045556A">
        <w:t>Budoucího oprávněného</w:t>
      </w:r>
      <w:r>
        <w:t xml:space="preserve">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0F6ED30C" w14:textId="77777777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29A31AB3" w14:textId="77777777" w:rsidR="001E7AA8" w:rsidRPr="009F36A3" w:rsidRDefault="001E7AA8" w:rsidP="001E7AA8">
      <w:pPr>
        <w:pStyle w:val="Nadpis2"/>
      </w:pPr>
      <w:bookmarkStart w:id="11" w:name="_Ref118796363"/>
      <w:bookmarkStart w:id="12" w:name="_Ref269202593"/>
      <w:bookmarkEnd w:id="8"/>
      <w:bookmarkEnd w:id="9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1"/>
    </w:p>
    <w:p w14:paraId="7144065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3" w:name="_Ref152175858"/>
      <w:bookmarkStart w:id="14" w:name="_Toc269728718"/>
      <w:bookmarkStart w:id="15" w:name="_Toc269728769"/>
      <w:bookmarkEnd w:id="12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3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59B5069C" w14:textId="77777777" w:rsidR="00D36127" w:rsidRPr="001241CC" w:rsidRDefault="007B28CD" w:rsidP="00D36127">
      <w:pPr>
        <w:pStyle w:val="Nadpis3"/>
      </w:pPr>
      <w:bookmarkStart w:id="16" w:name="_Ref118818021"/>
      <w:bookmarkStart w:id="17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1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6"/>
      <w:r w:rsidR="00D36127" w:rsidRPr="001241CC">
        <w:t xml:space="preserve"> </w:t>
      </w:r>
      <w:bookmarkEnd w:id="17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10CB6D03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417"/>
        <w:gridCol w:w="2694"/>
      </w:tblGrid>
      <w:tr w:rsidR="001E7AA8" w:rsidRPr="009F36A3" w14:paraId="12F0242C" w14:textId="77777777" w:rsidTr="00FB4B13">
        <w:tc>
          <w:tcPr>
            <w:tcW w:w="9493" w:type="dxa"/>
            <w:gridSpan w:val="5"/>
          </w:tcPr>
          <w:p w14:paraId="6721B380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0676E2AF" w14:textId="77777777" w:rsidTr="001E6993">
        <w:tc>
          <w:tcPr>
            <w:tcW w:w="3256" w:type="dxa"/>
          </w:tcPr>
          <w:p w14:paraId="21A86A54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5503D0C9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0E6D98AC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417" w:type="dxa"/>
          </w:tcPr>
          <w:p w14:paraId="1D86B64F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2694" w:type="dxa"/>
          </w:tcPr>
          <w:p w14:paraId="540CB48A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FB4B13" w:rsidRPr="009F36A3" w14:paraId="537D3047" w14:textId="77777777" w:rsidTr="001E6993">
        <w:tc>
          <w:tcPr>
            <w:tcW w:w="3256" w:type="dxa"/>
          </w:tcPr>
          <w:p w14:paraId="19E3112B" w14:textId="163484B1" w:rsidR="00FB4B1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silnice nadzemním vedením</w:t>
            </w:r>
          </w:p>
        </w:tc>
        <w:tc>
          <w:tcPr>
            <w:tcW w:w="1275" w:type="dxa"/>
          </w:tcPr>
          <w:p w14:paraId="37165DF0" w14:textId="082E3DB3" w:rsidR="00FB4B1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III/3314</w:t>
            </w:r>
          </w:p>
        </w:tc>
        <w:tc>
          <w:tcPr>
            <w:tcW w:w="851" w:type="dxa"/>
          </w:tcPr>
          <w:p w14:paraId="701E8651" w14:textId="2A849F07" w:rsidR="00FB4B1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E13D23A" w14:textId="4417B62E" w:rsidR="00FB4B1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187 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</w:tcPr>
          <w:p w14:paraId="3974DE33" w14:textId="7863CA9C" w:rsidR="00FB4B1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4.440,-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6993" w:rsidRPr="009F36A3" w14:paraId="57E0CFF0" w14:textId="77777777" w:rsidTr="001E6993">
        <w:tc>
          <w:tcPr>
            <w:tcW w:w="3256" w:type="dxa"/>
          </w:tcPr>
          <w:p w14:paraId="1A8B1C06" w14:textId="7513E92F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1E6993">
              <w:rPr>
                <w:b/>
                <w:color w:val="000000"/>
                <w:sz w:val="22"/>
              </w:rPr>
              <w:t>Křížení silnice nadzemním vedením</w:t>
            </w:r>
          </w:p>
        </w:tc>
        <w:tc>
          <w:tcPr>
            <w:tcW w:w="1275" w:type="dxa"/>
          </w:tcPr>
          <w:p w14:paraId="65BED756" w14:textId="2F9CA71C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II/272</w:t>
            </w:r>
          </w:p>
        </w:tc>
        <w:tc>
          <w:tcPr>
            <w:tcW w:w="851" w:type="dxa"/>
          </w:tcPr>
          <w:p w14:paraId="6557F12E" w14:textId="38123F96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9CC63F9" w14:textId="04C63831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104,10 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</w:tcPr>
          <w:p w14:paraId="312447BC" w14:textId="2625B68B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9.468,-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6993" w:rsidRPr="009F36A3" w14:paraId="4AE35C32" w14:textId="77777777" w:rsidTr="001E6993">
        <w:tc>
          <w:tcPr>
            <w:tcW w:w="3256" w:type="dxa"/>
          </w:tcPr>
          <w:p w14:paraId="4496EFD4" w14:textId="00FBDA79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1E6993">
              <w:rPr>
                <w:b/>
                <w:color w:val="000000"/>
                <w:sz w:val="22"/>
              </w:rPr>
              <w:lastRenderedPageBreak/>
              <w:t>Křížení silnice nadzemním vedením</w:t>
            </w:r>
          </w:p>
        </w:tc>
        <w:tc>
          <w:tcPr>
            <w:tcW w:w="1275" w:type="dxa"/>
          </w:tcPr>
          <w:p w14:paraId="6D7B7BF8" w14:textId="220AB578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II/279</w:t>
            </w:r>
          </w:p>
        </w:tc>
        <w:tc>
          <w:tcPr>
            <w:tcW w:w="851" w:type="dxa"/>
          </w:tcPr>
          <w:p w14:paraId="354FBEC6" w14:textId="4FD42669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F567823" w14:textId="4518DBA7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67,30 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</w:tcPr>
          <w:p w14:paraId="434BB81F" w14:textId="497A1D28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4.008,-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6993" w:rsidRPr="009F36A3" w14:paraId="19154ECE" w14:textId="77777777" w:rsidTr="001E6993">
        <w:tc>
          <w:tcPr>
            <w:tcW w:w="3256" w:type="dxa"/>
          </w:tcPr>
          <w:p w14:paraId="68043CB9" w14:textId="06420D43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1E6993">
              <w:rPr>
                <w:b/>
                <w:color w:val="000000"/>
                <w:sz w:val="22"/>
              </w:rPr>
              <w:t>Křížení silnice nadzemním vedením</w:t>
            </w:r>
          </w:p>
        </w:tc>
        <w:tc>
          <w:tcPr>
            <w:tcW w:w="1275" w:type="dxa"/>
          </w:tcPr>
          <w:p w14:paraId="059A729B" w14:textId="05460560" w:rsidR="001E6993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II/245</w:t>
            </w:r>
          </w:p>
        </w:tc>
        <w:tc>
          <w:tcPr>
            <w:tcW w:w="851" w:type="dxa"/>
          </w:tcPr>
          <w:p w14:paraId="112B5F48" w14:textId="5CE1EEBB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7F2FEC2" w14:textId="7012C0A3" w:rsidR="001E6993" w:rsidRPr="00DA77A9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179,40 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</w:tcPr>
          <w:p w14:paraId="50243BC2" w14:textId="7CA48BEA" w:rsidR="001E6993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16.716,-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6993" w:rsidRPr="009F36A3" w14:paraId="0F6B2D14" w14:textId="77777777" w:rsidTr="001E6993">
        <w:tc>
          <w:tcPr>
            <w:tcW w:w="3256" w:type="dxa"/>
          </w:tcPr>
          <w:p w14:paraId="2BA6695D" w14:textId="7A746822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1E6993">
              <w:rPr>
                <w:b/>
                <w:color w:val="000000"/>
                <w:sz w:val="22"/>
              </w:rPr>
              <w:t>Křížení silnice nadzemním vedením</w:t>
            </w:r>
          </w:p>
        </w:tc>
        <w:tc>
          <w:tcPr>
            <w:tcW w:w="1275" w:type="dxa"/>
          </w:tcPr>
          <w:p w14:paraId="2A24DBE5" w14:textId="3DCF7D98" w:rsidR="001E6993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III/2455</w:t>
            </w:r>
          </w:p>
        </w:tc>
        <w:tc>
          <w:tcPr>
            <w:tcW w:w="851" w:type="dxa"/>
          </w:tcPr>
          <w:p w14:paraId="6314A220" w14:textId="59117DC0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99C9FD6" w14:textId="53BD3B6E" w:rsidR="001E6993" w:rsidRPr="00DA77A9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332,50 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</w:tcPr>
          <w:p w14:paraId="78AC9208" w14:textId="6B262186" w:rsidR="001E6993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37.620,-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6993" w:rsidRPr="009F36A3" w14:paraId="03B2AF4B" w14:textId="77777777" w:rsidTr="001E6993">
        <w:tc>
          <w:tcPr>
            <w:tcW w:w="3256" w:type="dxa"/>
          </w:tcPr>
          <w:p w14:paraId="438C61D5" w14:textId="377C1F86" w:rsidR="001E6993" w:rsidRPr="009F36A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silnice nadzemním vedením</w:t>
            </w:r>
          </w:p>
        </w:tc>
        <w:tc>
          <w:tcPr>
            <w:tcW w:w="1275" w:type="dxa"/>
          </w:tcPr>
          <w:p w14:paraId="7B92074F" w14:textId="784C4FC6" w:rsidR="001E6993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III/2455 III/10162</w:t>
            </w:r>
          </w:p>
        </w:tc>
        <w:tc>
          <w:tcPr>
            <w:tcW w:w="851" w:type="dxa"/>
          </w:tcPr>
          <w:p w14:paraId="2C2F6739" w14:textId="45EB2BF8" w:rsidR="001E6993" w:rsidRPr="001E6993" w:rsidRDefault="001E69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197C38F" w14:textId="0E39D820" w:rsidR="001E6993" w:rsidRPr="00DA77A9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62,70 m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</w:tcPr>
          <w:p w14:paraId="2636143A" w14:textId="47533278" w:rsidR="001E6993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7.092,-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1E7AA8" w:rsidRPr="009F36A3" w14:paraId="49DEE62A" w14:textId="77777777" w:rsidTr="001E6993">
        <w:tc>
          <w:tcPr>
            <w:tcW w:w="6799" w:type="dxa"/>
            <w:gridSpan w:val="4"/>
          </w:tcPr>
          <w:p w14:paraId="2D2991E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2694" w:type="dxa"/>
          </w:tcPr>
          <w:p w14:paraId="2ECEAD66" w14:textId="42D0528E" w:rsidR="001E7AA8" w:rsidRPr="009F36A3" w:rsidRDefault="00DA77A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79.344,-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</w:tbl>
    <w:p w14:paraId="0730B75F" w14:textId="2249D75F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F60969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 w:rsidR="00DA77A9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72F77061" w14:textId="77777777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A4A32FCB6E4242CA9C19F91D7F3E59B6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2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199F3446" w14:textId="7777777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0BA51ECD" w14:textId="77777777" w:rsidR="001E7AA8" w:rsidRPr="008A0723" w:rsidRDefault="001E7AA8" w:rsidP="001E7AA8">
      <w:pPr>
        <w:pStyle w:val="Nadpis2"/>
      </w:pPr>
      <w:r w:rsidRPr="008A0723">
        <w:t xml:space="preserve">SOUHLAS s umístěním a provozem </w:t>
      </w:r>
      <w:r w:rsidR="00707D51">
        <w:t>Zařízení</w:t>
      </w:r>
    </w:p>
    <w:p w14:paraId="589B48E2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</w:t>
      </w:r>
      <w:r w:rsidR="0045556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provozem </w:t>
      </w:r>
      <w:r w:rsidR="00707D51">
        <w:rPr>
          <w:b/>
          <w:bCs/>
          <w:sz w:val="20"/>
          <w:szCs w:val="20"/>
        </w:rPr>
        <w:t>Zařízení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45556A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45556A">
        <w:rPr>
          <w:sz w:val="20"/>
          <w:szCs w:val="20"/>
        </w:rPr>
        <w:t>Budoucího oprávněného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5847D899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574D3EE5" w14:textId="7777777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4972C4D0" w14:textId="20BA450E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F60969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2"/>
    </w:p>
    <w:p w14:paraId="52F52F6F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2329A74B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1003A64A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770F27A4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1B70B8B7" w14:textId="4E3B45C9" w:rsidR="001E7AA8" w:rsidRPr="00B07EA4" w:rsidRDefault="00AF5A73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A0EE735C01E4EBB9261AA4A78498F6E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DA77A9">
            <w:t>Smlouva je sepsána ve 5 (pěti) stejnopisech s platností originálu, přičemž budoucí povinný obdrží 3 (tři) a budoucí oprávněný 2 (dva).</w:t>
          </w:r>
        </w:sdtContent>
      </w:sdt>
    </w:p>
    <w:p w14:paraId="4E6AFAF4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792A3E80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64ACA8DD" w14:textId="77777777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</w:t>
      </w:r>
      <w:r>
        <w:rPr>
          <w:sz w:val="20"/>
          <w:szCs w:val="20"/>
        </w:rPr>
        <w:lastRenderedPageBreak/>
        <w:t xml:space="preserve">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A8DC17C0853A494699BB816A17E74CC1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242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4ED70392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29B0D759" w14:textId="77777777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52C86FF1" w14:textId="77777777" w:rsidR="001D0DBA" w:rsidRPr="001D0DBA" w:rsidRDefault="001D0DBA" w:rsidP="001D0DBA">
      <w:pPr>
        <w:spacing w:before="0" w:after="0"/>
      </w:pPr>
      <w:r w:rsidRPr="001D0DBA">
        <w:t>Příloha č. 2 – Situační snímky (7 stran)</w:t>
      </w:r>
    </w:p>
    <w:p w14:paraId="6E7B570D" w14:textId="77777777" w:rsidR="001D0DBA" w:rsidRDefault="001D0DBA" w:rsidP="001D0DBA">
      <w:pPr>
        <w:spacing w:before="0" w:after="0"/>
      </w:pPr>
      <w:r w:rsidRPr="001D0DBA">
        <w:t xml:space="preserve">Příloha č. 3 – Pověření </w:t>
      </w:r>
      <w:proofErr w:type="spellStart"/>
      <w:r w:rsidRPr="001D0DBA">
        <w:rPr>
          <w:i/>
        </w:rPr>
        <w:t>ev.č</w:t>
      </w:r>
      <w:proofErr w:type="spellEnd"/>
      <w:r w:rsidRPr="001D0DBA">
        <w:rPr>
          <w:i/>
        </w:rPr>
        <w:t>. POV/GŘ/</w:t>
      </w:r>
      <w:proofErr w:type="gramStart"/>
      <w:r w:rsidRPr="001D0DBA">
        <w:rPr>
          <w:i/>
        </w:rPr>
        <w:t>9B</w:t>
      </w:r>
      <w:proofErr w:type="gramEnd"/>
      <w:r w:rsidRPr="001D0DBA">
        <w:rPr>
          <w:i/>
        </w:rPr>
        <w:t>/0086/2020</w:t>
      </w:r>
    </w:p>
    <w:p w14:paraId="00424CF9" w14:textId="77777777" w:rsidR="00A33ACF" w:rsidRPr="009F36A3" w:rsidRDefault="00A33ACF" w:rsidP="00A33ACF">
      <w:pPr>
        <w:spacing w:before="0" w:after="0"/>
      </w:pPr>
    </w:p>
    <w:p w14:paraId="0A8FA58E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43CEFBCC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45556A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45556A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769EA6B3" w14:textId="2E1B6773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47AE615E346044898A61F01DD541A130"/>
          </w:placeholder>
        </w:sdtPr>
        <w:sdtEndPr/>
        <w:sdtContent>
          <w:r w:rsidR="00DA77A9">
            <w:rPr>
              <w:b/>
            </w:rPr>
            <w:t>ČEZ Distribuce, a.s.</w:t>
          </w:r>
        </w:sdtContent>
      </w:sdt>
    </w:p>
    <w:p w14:paraId="3F6E1DA2" w14:textId="5C245374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DA77A9">
        <w:t> </w:t>
      </w:r>
      <w:sdt>
        <w:sdtPr>
          <w:id w:val="-1283732009"/>
          <w:placeholder>
            <w:docPart w:val="876175C3AAE94F52B51574E8DB295307"/>
          </w:placeholder>
        </w:sdtPr>
        <w:sdtEndPr/>
        <w:sdtContent>
          <w:r w:rsidR="00DA77A9">
            <w:t>Mnichově Hradišti</w:t>
          </w:r>
        </w:sdtContent>
      </w:sdt>
      <w:r w:rsidRPr="00885D66">
        <w:t xml:space="preserve"> dne</w:t>
      </w:r>
      <w:r w:rsidRPr="00885D66">
        <w:tab/>
        <w:t>V </w:t>
      </w:r>
      <w:sdt>
        <w:sdtPr>
          <w:id w:val="-652758017"/>
          <w:placeholder>
            <w:docPart w:val="81C11D3330DC44539737CCCCE2363FDA"/>
          </w:placeholder>
        </w:sdtPr>
        <w:sdtEndPr/>
        <w:sdtContent>
          <w:r w:rsidR="00DA77A9">
            <w:t>Plzni</w:t>
          </w:r>
        </w:sdtContent>
      </w:sdt>
      <w:r w:rsidRPr="00885D66">
        <w:t xml:space="preserve"> dne </w:t>
      </w:r>
    </w:p>
    <w:p w14:paraId="7E73AC62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0C6DD550" w14:textId="77777777" w:rsidR="00DA77A9" w:rsidRDefault="00DA77A9" w:rsidP="00261E80">
      <w:pPr>
        <w:tabs>
          <w:tab w:val="center" w:pos="1701"/>
          <w:tab w:val="center" w:pos="6946"/>
        </w:tabs>
        <w:spacing w:before="0" w:after="0"/>
      </w:pPr>
    </w:p>
    <w:p w14:paraId="3E9D545F" w14:textId="77777777" w:rsidR="00DA77A9" w:rsidRDefault="00DA77A9" w:rsidP="00261E80">
      <w:pPr>
        <w:tabs>
          <w:tab w:val="center" w:pos="1701"/>
          <w:tab w:val="center" w:pos="6946"/>
        </w:tabs>
        <w:spacing w:before="0" w:after="0"/>
      </w:pPr>
    </w:p>
    <w:p w14:paraId="748CAE34" w14:textId="77777777" w:rsidR="00DA77A9" w:rsidRDefault="00DA77A9" w:rsidP="00261E80">
      <w:pPr>
        <w:tabs>
          <w:tab w:val="center" w:pos="1701"/>
          <w:tab w:val="center" w:pos="6946"/>
        </w:tabs>
        <w:spacing w:before="0" w:after="0"/>
      </w:pPr>
    </w:p>
    <w:p w14:paraId="35B109D0" w14:textId="77777777" w:rsidR="00DA77A9" w:rsidRDefault="00DA77A9" w:rsidP="00261E80">
      <w:pPr>
        <w:tabs>
          <w:tab w:val="center" w:pos="1701"/>
          <w:tab w:val="center" w:pos="6946"/>
        </w:tabs>
        <w:spacing w:before="0" w:after="0"/>
      </w:pPr>
    </w:p>
    <w:p w14:paraId="1471CF1F" w14:textId="77777777" w:rsidR="00DA77A9" w:rsidRPr="00885D66" w:rsidRDefault="00DA77A9" w:rsidP="00261E80">
      <w:pPr>
        <w:tabs>
          <w:tab w:val="center" w:pos="1701"/>
          <w:tab w:val="center" w:pos="6946"/>
        </w:tabs>
        <w:spacing w:before="0" w:after="0"/>
      </w:pPr>
    </w:p>
    <w:p w14:paraId="36A93851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14E25A10" w14:textId="7E1E5F10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7AE615E346044898A61F01DD541A130"/>
          </w:placeholder>
        </w:sdtPr>
        <w:sdtEndPr/>
        <w:sdtContent>
          <w:r w:rsidR="00DA77A9">
            <w:rPr>
              <w:b/>
            </w:rPr>
            <w:t xml:space="preserve">Lenka Chmelová 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A311C773562A40C18F752DC98C869130"/>
          </w:placeholder>
        </w:sdtPr>
        <w:sdtEndPr/>
        <w:sdtContent>
          <w:proofErr w:type="spellStart"/>
          <w:r w:rsidR="00AF5A73">
            <w:rPr>
              <w:b/>
            </w:rPr>
            <w:t>xxxxxxxxxxx</w:t>
          </w:r>
          <w:proofErr w:type="spellEnd"/>
        </w:sdtContent>
      </w:sdt>
      <w:r>
        <w:rPr>
          <w:b/>
        </w:rPr>
        <w:tab/>
      </w:r>
    </w:p>
    <w:p w14:paraId="4AA5DB19" w14:textId="08E463C3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A311C773562A40C18F752DC98C86913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A311C773562A40C18F752DC98C869130"/>
              </w:placeholder>
            </w:sdtPr>
            <w:sdtEndPr/>
            <w:sdtContent>
              <w:r w:rsidR="00DA77A9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47AE615E346044898A61F01DD541A130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47AE615E346044898A61F01DD541A130"/>
              </w:placeholder>
            </w:sdtPr>
            <w:sdtEndPr/>
            <w:sdtContent>
              <w:r w:rsidR="00DA77A9">
                <w:rPr>
                  <w:i/>
                </w:rPr>
                <w:t xml:space="preserve">na základě pověření </w:t>
              </w:r>
              <w:proofErr w:type="spellStart"/>
              <w:r w:rsidR="00DA77A9">
                <w:rPr>
                  <w:i/>
                </w:rPr>
                <w:t>ev.č</w:t>
              </w:r>
              <w:proofErr w:type="spellEnd"/>
              <w:r w:rsidR="00DA77A9">
                <w:rPr>
                  <w:i/>
                </w:rPr>
                <w:t>. POV/GŘ/</w:t>
              </w:r>
              <w:proofErr w:type="gramStart"/>
              <w:r w:rsidR="00DA77A9">
                <w:rPr>
                  <w:i/>
                </w:rPr>
                <w:t>9B</w:t>
              </w:r>
              <w:proofErr w:type="gramEnd"/>
              <w:r w:rsidR="00DA77A9">
                <w:rPr>
                  <w:i/>
                </w:rPr>
                <w:t>/0086/2020</w:t>
              </w:r>
            </w:sdtContent>
          </w:sdt>
        </w:sdtContent>
      </w:sdt>
    </w:p>
    <w:sectPr w:rsidR="00D25F05" w:rsidRPr="009F36A3" w:rsidSect="001B32C0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E480" w14:textId="77777777" w:rsidR="00C1660C" w:rsidRDefault="00C1660C">
      <w:r>
        <w:separator/>
      </w:r>
    </w:p>
  </w:endnote>
  <w:endnote w:type="continuationSeparator" w:id="0">
    <w:p w14:paraId="1CE84E1E" w14:textId="77777777" w:rsidR="00C1660C" w:rsidRDefault="00C1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192B" w14:textId="77777777" w:rsidR="00C1660C" w:rsidRDefault="00C1660C">
      <w:r>
        <w:separator/>
      </w:r>
    </w:p>
  </w:footnote>
  <w:footnote w:type="continuationSeparator" w:id="0">
    <w:p w14:paraId="2FC3CF5B" w14:textId="77777777" w:rsidR="00C1660C" w:rsidRDefault="00C1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54F2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E23219" wp14:editId="32A8D907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CD2E5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23219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08FCD2E5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1DC3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9AA342" wp14:editId="5175D9E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222F3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AA34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570222F3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135D607" wp14:editId="79609338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A86EC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7816F7B4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2429AADB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69"/>
    <w:rsid w:val="00005B7D"/>
    <w:rsid w:val="000060C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4506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611EA"/>
    <w:rsid w:val="00171FCE"/>
    <w:rsid w:val="00181469"/>
    <w:rsid w:val="00182AE3"/>
    <w:rsid w:val="00185768"/>
    <w:rsid w:val="00187EE6"/>
    <w:rsid w:val="001924F6"/>
    <w:rsid w:val="001A21B1"/>
    <w:rsid w:val="001A3725"/>
    <w:rsid w:val="001A62FA"/>
    <w:rsid w:val="001A664A"/>
    <w:rsid w:val="001A7BE3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D0DBA"/>
    <w:rsid w:val="001E6993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51729"/>
    <w:rsid w:val="00261E80"/>
    <w:rsid w:val="00271E02"/>
    <w:rsid w:val="00273D60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D2743"/>
    <w:rsid w:val="002E0972"/>
    <w:rsid w:val="00300D0C"/>
    <w:rsid w:val="003127AF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32340"/>
    <w:rsid w:val="004424DC"/>
    <w:rsid w:val="00443C40"/>
    <w:rsid w:val="004463BE"/>
    <w:rsid w:val="0045556A"/>
    <w:rsid w:val="004647FD"/>
    <w:rsid w:val="004678D6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01DE"/>
    <w:rsid w:val="0052185F"/>
    <w:rsid w:val="00526D26"/>
    <w:rsid w:val="00530E74"/>
    <w:rsid w:val="00531CA0"/>
    <w:rsid w:val="00532961"/>
    <w:rsid w:val="00543046"/>
    <w:rsid w:val="005462CC"/>
    <w:rsid w:val="005462DB"/>
    <w:rsid w:val="0055120C"/>
    <w:rsid w:val="00552C72"/>
    <w:rsid w:val="005552E1"/>
    <w:rsid w:val="00560FA9"/>
    <w:rsid w:val="0056218B"/>
    <w:rsid w:val="00566CD3"/>
    <w:rsid w:val="00567281"/>
    <w:rsid w:val="0057066E"/>
    <w:rsid w:val="00592215"/>
    <w:rsid w:val="005A1956"/>
    <w:rsid w:val="005A35ED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23BD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3314"/>
    <w:rsid w:val="006F4D0F"/>
    <w:rsid w:val="00707D51"/>
    <w:rsid w:val="007133D5"/>
    <w:rsid w:val="00717463"/>
    <w:rsid w:val="007303F9"/>
    <w:rsid w:val="00747DFB"/>
    <w:rsid w:val="0075441F"/>
    <w:rsid w:val="007669FA"/>
    <w:rsid w:val="00770282"/>
    <w:rsid w:val="00776A9D"/>
    <w:rsid w:val="00777545"/>
    <w:rsid w:val="0078675C"/>
    <w:rsid w:val="007973C1"/>
    <w:rsid w:val="00797647"/>
    <w:rsid w:val="007A6D3B"/>
    <w:rsid w:val="007B0A14"/>
    <w:rsid w:val="007B28CD"/>
    <w:rsid w:val="007B51CC"/>
    <w:rsid w:val="007C3457"/>
    <w:rsid w:val="007C7D33"/>
    <w:rsid w:val="007D0520"/>
    <w:rsid w:val="007E6391"/>
    <w:rsid w:val="007F1126"/>
    <w:rsid w:val="007F2736"/>
    <w:rsid w:val="007F4167"/>
    <w:rsid w:val="007F6A4E"/>
    <w:rsid w:val="00800ACF"/>
    <w:rsid w:val="00801866"/>
    <w:rsid w:val="00803469"/>
    <w:rsid w:val="00805E3D"/>
    <w:rsid w:val="00812200"/>
    <w:rsid w:val="00814168"/>
    <w:rsid w:val="00815498"/>
    <w:rsid w:val="008278D7"/>
    <w:rsid w:val="00827EC9"/>
    <w:rsid w:val="00831CFD"/>
    <w:rsid w:val="00833F21"/>
    <w:rsid w:val="00834556"/>
    <w:rsid w:val="00840046"/>
    <w:rsid w:val="0084180E"/>
    <w:rsid w:val="008433BF"/>
    <w:rsid w:val="00852626"/>
    <w:rsid w:val="008528E4"/>
    <w:rsid w:val="0086159D"/>
    <w:rsid w:val="008657B2"/>
    <w:rsid w:val="00881EF4"/>
    <w:rsid w:val="008874D1"/>
    <w:rsid w:val="008879F4"/>
    <w:rsid w:val="008910EE"/>
    <w:rsid w:val="008919D2"/>
    <w:rsid w:val="00893B70"/>
    <w:rsid w:val="00893F48"/>
    <w:rsid w:val="00897296"/>
    <w:rsid w:val="008A0723"/>
    <w:rsid w:val="008A35A8"/>
    <w:rsid w:val="008B25FB"/>
    <w:rsid w:val="008F2D30"/>
    <w:rsid w:val="00900B39"/>
    <w:rsid w:val="00906A5A"/>
    <w:rsid w:val="00907797"/>
    <w:rsid w:val="00914F38"/>
    <w:rsid w:val="009167B9"/>
    <w:rsid w:val="00917C4C"/>
    <w:rsid w:val="0093717A"/>
    <w:rsid w:val="00937714"/>
    <w:rsid w:val="0094122D"/>
    <w:rsid w:val="00951948"/>
    <w:rsid w:val="00956329"/>
    <w:rsid w:val="00967AFD"/>
    <w:rsid w:val="009716E8"/>
    <w:rsid w:val="00976C43"/>
    <w:rsid w:val="00986EF3"/>
    <w:rsid w:val="009965DE"/>
    <w:rsid w:val="009972A3"/>
    <w:rsid w:val="009973DB"/>
    <w:rsid w:val="009A343C"/>
    <w:rsid w:val="009A53EE"/>
    <w:rsid w:val="009B63D0"/>
    <w:rsid w:val="009C0ABA"/>
    <w:rsid w:val="009C21E9"/>
    <w:rsid w:val="009E39B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86C3A"/>
    <w:rsid w:val="00A94B18"/>
    <w:rsid w:val="00AB1BB0"/>
    <w:rsid w:val="00AC1B1B"/>
    <w:rsid w:val="00AD3F40"/>
    <w:rsid w:val="00AE5AC7"/>
    <w:rsid w:val="00AE75EA"/>
    <w:rsid w:val="00AF0F3B"/>
    <w:rsid w:val="00AF5A73"/>
    <w:rsid w:val="00B02A58"/>
    <w:rsid w:val="00B05648"/>
    <w:rsid w:val="00B058A0"/>
    <w:rsid w:val="00B059A6"/>
    <w:rsid w:val="00B07EA4"/>
    <w:rsid w:val="00B222A5"/>
    <w:rsid w:val="00B3165D"/>
    <w:rsid w:val="00B364C3"/>
    <w:rsid w:val="00B36A9C"/>
    <w:rsid w:val="00B36EBD"/>
    <w:rsid w:val="00B409E5"/>
    <w:rsid w:val="00B50892"/>
    <w:rsid w:val="00B53260"/>
    <w:rsid w:val="00B671F0"/>
    <w:rsid w:val="00B71F77"/>
    <w:rsid w:val="00B868FE"/>
    <w:rsid w:val="00B93072"/>
    <w:rsid w:val="00B93CC1"/>
    <w:rsid w:val="00BA0BFB"/>
    <w:rsid w:val="00BA7DBD"/>
    <w:rsid w:val="00BB0E3B"/>
    <w:rsid w:val="00BB57CC"/>
    <w:rsid w:val="00BC21C8"/>
    <w:rsid w:val="00BC4AF1"/>
    <w:rsid w:val="00BC4C00"/>
    <w:rsid w:val="00BE0845"/>
    <w:rsid w:val="00BE4B4B"/>
    <w:rsid w:val="00BE4CD9"/>
    <w:rsid w:val="00BF10B9"/>
    <w:rsid w:val="00BF1363"/>
    <w:rsid w:val="00BF2BD8"/>
    <w:rsid w:val="00C1660C"/>
    <w:rsid w:val="00C24824"/>
    <w:rsid w:val="00C265AA"/>
    <w:rsid w:val="00C3032B"/>
    <w:rsid w:val="00C329A1"/>
    <w:rsid w:val="00C373A2"/>
    <w:rsid w:val="00C4135D"/>
    <w:rsid w:val="00C52951"/>
    <w:rsid w:val="00C54C39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E51BC"/>
    <w:rsid w:val="00CE6489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3684E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A77A9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27F3B"/>
    <w:rsid w:val="00E36F9C"/>
    <w:rsid w:val="00E37BDA"/>
    <w:rsid w:val="00E5226E"/>
    <w:rsid w:val="00E52D29"/>
    <w:rsid w:val="00E565DD"/>
    <w:rsid w:val="00E61819"/>
    <w:rsid w:val="00E74187"/>
    <w:rsid w:val="00E9457B"/>
    <w:rsid w:val="00EA3944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0969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4B13"/>
    <w:rsid w:val="00FB66F8"/>
    <w:rsid w:val="00FC2F44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87AF6"/>
  <w15:chartTrackingRefBased/>
  <w15:docId w15:val="{8B474DEB-C022-4B57-A0BA-EE7A9D97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styleId="Nevyeenzmnka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KSUS\Dokumenty\Dokumenty%202024\2.%20BS\SOSB%20dvoustrann&#225;%20&#268;E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7731817DE64CAC90EC93326F12F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FC188-BD4C-4D0F-9FE2-AE5A13377764}"/>
      </w:docPartPr>
      <w:docPartBody>
        <w:p w:rsidR="00AF0A76" w:rsidRDefault="00573076">
          <w:pPr>
            <w:pStyle w:val="567731817DE64CAC90EC93326F12FFE6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887B3C2BCD4F9FA70E8216B2942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B53A1-1D2B-4A19-952D-32E48E4347A4}"/>
      </w:docPartPr>
      <w:docPartBody>
        <w:p w:rsidR="00AF0A76" w:rsidRDefault="00573076">
          <w:pPr>
            <w:pStyle w:val="66887B3C2BCD4F9FA70E8216B294217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7934F0ABC545C887CF223DFFA0F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707E4-F616-443B-91A2-4B1EE27CE210}"/>
      </w:docPartPr>
      <w:docPartBody>
        <w:p w:rsidR="00AF0A76" w:rsidRDefault="00573076">
          <w:pPr>
            <w:pStyle w:val="F97934F0ABC545C887CF223DFFA0F9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7937FE22D7486D8477BB3884AB8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C0F9E-D980-44B3-A7BC-B67F268BDF9A}"/>
      </w:docPartPr>
      <w:docPartBody>
        <w:p w:rsidR="00AF0A76" w:rsidRDefault="00573076">
          <w:pPr>
            <w:pStyle w:val="047937FE22D7486D8477BB3884AB8658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73127351A37486BB94EA457BA6BC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7A236-F5B7-47D1-B837-EA882F9E7743}"/>
      </w:docPartPr>
      <w:docPartBody>
        <w:p w:rsidR="00AF0A76" w:rsidRDefault="00573076">
          <w:pPr>
            <w:pStyle w:val="973127351A37486BB94EA457BA6BCAA4"/>
          </w:pPr>
          <w:r w:rsidRPr="006F676F">
            <w:rPr>
              <w:rStyle w:val="Zstupntext"/>
            </w:rPr>
            <w:t xml:space="preserve">Zadejte libovolný obsah, který chcete opakovat, včetně </w:t>
          </w:r>
          <w:r w:rsidRPr="006F676F">
            <w:rPr>
              <w:rStyle w:val="Zstupntext"/>
            </w:rPr>
            <w:t>jiných ovládacích prvků obsahu. Můžete také vložit tento ovládací prvek kolem řádků tabulky, aby se části tabulky opakovaly.</w:t>
          </w:r>
        </w:p>
      </w:docPartBody>
    </w:docPart>
    <w:docPart>
      <w:docPartPr>
        <w:name w:val="2B17027842F04DE6AB1CBF58FE5F1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21F1C-4B84-4084-B33A-264201550CB4}"/>
      </w:docPartPr>
      <w:docPartBody>
        <w:p w:rsidR="00AF0A76" w:rsidRDefault="00573076">
          <w:pPr>
            <w:pStyle w:val="2B17027842F04DE6AB1CBF58FE5F1015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217BE8E69774B9FBE5158EF6A2C8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8BABD-4DA9-4FE0-9743-CC00C4288D71}"/>
      </w:docPartPr>
      <w:docPartBody>
        <w:p w:rsidR="00AF0A76" w:rsidRDefault="00573076">
          <w:pPr>
            <w:pStyle w:val="3217BE8E69774B9FBE5158EF6A2C8AA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049B1C92DB41179CD6A8633BFF2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D98DC-F567-4F7E-8040-5038122C20FD}"/>
      </w:docPartPr>
      <w:docPartBody>
        <w:p w:rsidR="00AF0A76" w:rsidRDefault="00573076">
          <w:pPr>
            <w:pStyle w:val="7E049B1C92DB41179CD6A8633BFF28D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3221DEDA074BDF9CF730B3AB64D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8E264-BB80-40DF-AACE-4B1234A78FC7}"/>
      </w:docPartPr>
      <w:docPartBody>
        <w:p w:rsidR="00AF0A76" w:rsidRDefault="00573076">
          <w:pPr>
            <w:pStyle w:val="743221DEDA074BDF9CF730B3AB64D45E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A32FCB6E4242CA9C19F91D7F3E5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D2484-3139-4CA7-A71D-993B880FEAB5}"/>
      </w:docPartPr>
      <w:docPartBody>
        <w:p w:rsidR="00AF0A76" w:rsidRDefault="00573076">
          <w:pPr>
            <w:pStyle w:val="A4A32FCB6E4242CA9C19F91D7F3E59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0EE735C01E4EBB9261AA4A78498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2947A-0B06-4043-B163-4CF646A4E4C0}"/>
      </w:docPartPr>
      <w:docPartBody>
        <w:p w:rsidR="00AF0A76" w:rsidRDefault="00573076">
          <w:pPr>
            <w:pStyle w:val="0A0EE735C01E4EBB9261AA4A78498F6E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A8DC17C0853A494699BB816A17E74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02789-F950-4436-97BC-77064FCDC8A4}"/>
      </w:docPartPr>
      <w:docPartBody>
        <w:p w:rsidR="00AF0A76" w:rsidRDefault="00573076">
          <w:pPr>
            <w:pStyle w:val="A8DC17C0853A494699BB816A17E74CC1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7AE615E346044898A61F01DD541A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23C35-964E-4169-B346-8CEE6E7CB2ED}"/>
      </w:docPartPr>
      <w:docPartBody>
        <w:p w:rsidR="00AF0A76" w:rsidRDefault="00573076">
          <w:pPr>
            <w:pStyle w:val="47AE615E346044898A61F01DD541A13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6175C3AAE94F52B51574E8DB295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C835B-D0FE-48D7-9582-3352C5C51B91}"/>
      </w:docPartPr>
      <w:docPartBody>
        <w:p w:rsidR="00AF0A76" w:rsidRDefault="00573076">
          <w:pPr>
            <w:pStyle w:val="876175C3AAE94F52B51574E8DB29530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C11D3330DC44539737CCCCE2363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A05BC-7C15-45D5-A53A-AFB22E30F70F}"/>
      </w:docPartPr>
      <w:docPartBody>
        <w:p w:rsidR="00AF0A76" w:rsidRDefault="00573076">
          <w:pPr>
            <w:pStyle w:val="81C11D3330DC44539737CCCCE2363FD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1C773562A40C18F752DC98C869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FC179-30B2-40B8-B3D7-D5C4E80F5C02}"/>
      </w:docPartPr>
      <w:docPartBody>
        <w:p w:rsidR="00AF0A76" w:rsidRDefault="00573076">
          <w:pPr>
            <w:pStyle w:val="A311C773562A40C18F752DC98C86913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798843C73C4577B85ADC9E65C82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7FF64-D9D5-4372-86E1-0ADAB87CA46C}"/>
      </w:docPartPr>
      <w:docPartBody>
        <w:p w:rsidR="00AF0A76" w:rsidRDefault="00F55387" w:rsidP="00F55387">
          <w:pPr>
            <w:pStyle w:val="DF798843C73C4577B85ADC9E65C82CC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87"/>
    <w:rsid w:val="00227C88"/>
    <w:rsid w:val="003127AF"/>
    <w:rsid w:val="00566CD3"/>
    <w:rsid w:val="00573076"/>
    <w:rsid w:val="00835F23"/>
    <w:rsid w:val="00AF0A76"/>
    <w:rsid w:val="00B36EBD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5387"/>
  </w:style>
  <w:style w:type="paragraph" w:customStyle="1" w:styleId="567731817DE64CAC90EC93326F12FFE6">
    <w:name w:val="567731817DE64CAC90EC93326F12FFE6"/>
  </w:style>
  <w:style w:type="paragraph" w:customStyle="1" w:styleId="66887B3C2BCD4F9FA70E8216B294217D">
    <w:name w:val="66887B3C2BCD4F9FA70E8216B294217D"/>
  </w:style>
  <w:style w:type="paragraph" w:customStyle="1" w:styleId="F97934F0ABC545C887CF223DFFA0F943">
    <w:name w:val="F97934F0ABC545C887CF223DFFA0F943"/>
  </w:style>
  <w:style w:type="paragraph" w:customStyle="1" w:styleId="92D499A6B0AD4FDFBE8194259EA1B0D4">
    <w:name w:val="92D499A6B0AD4FDFBE8194259EA1B0D4"/>
  </w:style>
  <w:style w:type="paragraph" w:customStyle="1" w:styleId="047937FE22D7486D8477BB3884AB8658">
    <w:name w:val="047937FE22D7486D8477BB3884AB8658"/>
  </w:style>
  <w:style w:type="paragraph" w:customStyle="1" w:styleId="973127351A37486BB94EA457BA6BCAA4">
    <w:name w:val="973127351A37486BB94EA457BA6BCAA4"/>
  </w:style>
  <w:style w:type="paragraph" w:customStyle="1" w:styleId="2B17027842F04DE6AB1CBF58FE5F1015">
    <w:name w:val="2B17027842F04DE6AB1CBF58FE5F1015"/>
  </w:style>
  <w:style w:type="paragraph" w:customStyle="1" w:styleId="3217BE8E69774B9FBE5158EF6A2C8AAE">
    <w:name w:val="3217BE8E69774B9FBE5158EF6A2C8AAE"/>
  </w:style>
  <w:style w:type="paragraph" w:customStyle="1" w:styleId="7E049B1C92DB41179CD6A8633BFF28D2">
    <w:name w:val="7E049B1C92DB41179CD6A8633BFF28D2"/>
  </w:style>
  <w:style w:type="paragraph" w:customStyle="1" w:styleId="743221DEDA074BDF9CF730B3AB64D45E">
    <w:name w:val="743221DEDA074BDF9CF730B3AB64D45E"/>
  </w:style>
  <w:style w:type="paragraph" w:customStyle="1" w:styleId="A4A32FCB6E4242CA9C19F91D7F3E59B6">
    <w:name w:val="A4A32FCB6E4242CA9C19F91D7F3E59B6"/>
  </w:style>
  <w:style w:type="paragraph" w:customStyle="1" w:styleId="0A0EE735C01E4EBB9261AA4A78498F6E">
    <w:name w:val="0A0EE735C01E4EBB9261AA4A78498F6E"/>
  </w:style>
  <w:style w:type="paragraph" w:customStyle="1" w:styleId="A8DC17C0853A494699BB816A17E74CC1">
    <w:name w:val="A8DC17C0853A494699BB816A17E74CC1"/>
  </w:style>
  <w:style w:type="paragraph" w:customStyle="1" w:styleId="47AE615E346044898A61F01DD541A130">
    <w:name w:val="47AE615E346044898A61F01DD541A130"/>
  </w:style>
  <w:style w:type="paragraph" w:customStyle="1" w:styleId="876175C3AAE94F52B51574E8DB295307">
    <w:name w:val="876175C3AAE94F52B51574E8DB295307"/>
  </w:style>
  <w:style w:type="paragraph" w:customStyle="1" w:styleId="81C11D3330DC44539737CCCCE2363FDA">
    <w:name w:val="81C11D3330DC44539737CCCCE2363FDA"/>
  </w:style>
  <w:style w:type="paragraph" w:customStyle="1" w:styleId="A311C773562A40C18F752DC98C869130">
    <w:name w:val="A311C773562A40C18F752DC98C869130"/>
  </w:style>
  <w:style w:type="paragraph" w:customStyle="1" w:styleId="DF798843C73C4577B85ADC9E65C82CC2">
    <w:name w:val="DF798843C73C4577B85ADC9E65C82CC2"/>
    <w:rsid w:val="00F55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B4D2C3F4FC543803C698840FED3AB" ma:contentTypeVersion="4" ma:contentTypeDescription="Vytvoří nový dokument" ma:contentTypeScope="" ma:versionID="4163b4d6563d2b364d13a030581d3b1e">
  <xsd:schema xmlns:xsd="http://www.w3.org/2001/XMLSchema" xmlns:xs="http://www.w3.org/2001/XMLSchema" xmlns:p="http://schemas.microsoft.com/office/2006/metadata/properties" xmlns:ns2="cfc2e5e2-8e11-4a8c-bd05-8dee48a0b4d9" targetNamespace="http://schemas.microsoft.com/office/2006/metadata/properties" ma:root="true" ma:fieldsID="01d04fa27331677b32d0b99b538bb042" ns2:_="">
    <xsd:import namespace="cfc2e5e2-8e11-4a8c-bd05-8dee48a0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e5e2-8e11-4a8c-bd05-8dee48a0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E69B2-412D-4E7B-A36A-420318CC1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EE5CC-9E71-4BE7-8522-91756D78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e5e2-8e11-4a8c-bd05-8dee48a0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dvoustranná ČEZ.dotx</Template>
  <TotalTime>2</TotalTime>
  <Pages>5</Pages>
  <Words>2112</Words>
  <Characters>12584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35</vt:i4>
      </vt:variant>
    </vt:vector>
  </HeadingPairs>
  <TitlesOfParts>
    <vt:vector size="36" baseType="lpstr">
      <vt:lpstr>Registrační číslo :</vt:lpstr>
      <vt:lpstr>SMLOUVA</vt:lpstr>
      <vt:lpstr>    ÚVODNÍ USTANOVENÍ</vt:lpstr>
      <vt:lpstr>        Dnešního dne, měsíce a roku uzavírají Smluvní strany, zejména podle ustanovení §</vt:lpstr>
      <vt:lpstr>    PŘEDMĚT SMLOUVY</vt:lpstr>
      <vt:lpstr>        Budoucí povinný je:</vt:lpstr>
      <vt:lpstr>        &lt;&lt;&lt;Výlučným vlastníkem&gt; pozemku parcelní číslo &lt;906/31&gt; zapsaném na LV &lt;45&gt; vede</vt:lpstr>
      <vt:lpstr>        (dále jen „Budoucí služebný pozemek“), a to na základě rozhodnutí Ministerstva d</vt:lpstr>
      <vt:lpstr>        Budoucí oprávněný je budoucím vlastníkem nebo provozovatelem stavby  &lt;„V1991_199</vt:lpstr>
      <vt:lpstr>        Smluvní strany touto smlouvou sjednávají, že spolu v budoucnu uzavřou písemnou s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povinnost Budoucího povinného:</vt:lpstr>
      <vt:lpstr>        Obsahem Budoucí služebnosti bude právo Budoucího povinného:</vt:lpstr>
      <vt:lpstr>        Záruka na obnovení konstrukce vozovky a na úpravu silničního příkopu a silničníh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6 Smlouvy.</vt:lpstr>
      <vt:lpstr>    DALŠÍ PRÁVA A POVINNOSTI SMLUVNÍCH STRAN</vt:lpstr>
      <vt:lpstr>        Budoucí oprávněný do 1 roku od ukončení prací v souvislosti s umístěním Zařízení</vt:lpstr>
      <vt:lpstr>        Budoucí oprávněný nebude oprávněn na Budoucím služebném pozemku budovat jakákoli</vt:lpstr>
      <vt:lpstr>        Smluvní strany vylučují použití ustanovení § 1788 odst. 1 občanského zákoníku.</vt:lpstr>
      <vt:lpstr>    Odstoupení od smlouvy</vt:lpstr>
      <vt:lpstr>        Kterýkoliv z účastníků může od Smlouvy odstoupit pokud:</vt:lpstr>
      <vt:lpstr>        Budoucí povinný je oprávněn odstoupit od této smlouvy v případě, že:</vt:lpstr>
      <vt:lpstr>        V případě, že z důvodu uvedeného v čl. 5. 1. a) Smlouvy nebude realizována stavb</vt:lpstr>
      <vt:lpstr>        Účinky odstoupení nastanou dnem doručení jeho písemného vyhotovení druhé smluvní</vt:lpstr>
      <vt:lpstr>    ÚHRADA budoucí SLUŽEBNOSTI</vt:lpstr>
      <vt:lpstr>        Předpokládaná výše úhrady byla stanovena výpočtem podle vyhlášky Ministerstva fi</vt:lpstr>
      <vt:lpstr>    SOUHLAS s umístěním a provozem Zařízení</vt:lpstr>
      <vt:lpstr>    UJEDNÁNÍ TÝKAJÍCÍ SE REGISTRU SMLUV</vt:lpstr>
      <vt:lpstr>        Budoucí oprávněný bere na vědomí, že Budoucí povinný je subjektem, jenž nese v u</vt:lpstr>
      <vt:lpstr>        Budoucí oprávněný souhlasí se zveřejněním Smlouvy Budoucím povinným v případě, </vt:lpstr>
      <vt:lpstr>    ZÁVĚREČNÁ USTANOVENÍ</vt:lpstr>
      <vt:lpstr>        &lt;Smlouva je sepsána ve 5 (pěti) stejnopisech s platností originálu, přičemž budo</vt:lpstr>
    </vt:vector>
  </TitlesOfParts>
  <Company>Správa a údržba silnic</Company>
  <LinksUpToDate>false</LinksUpToDate>
  <CharactersWithSpaces>14667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Geisslerova Pavla</dc:creator>
  <cp:keywords/>
  <cp:lastModifiedBy>Malíková Eva</cp:lastModifiedBy>
  <cp:revision>3</cp:revision>
  <cp:lastPrinted>2016-04-13T12:22:00Z</cp:lastPrinted>
  <dcterms:created xsi:type="dcterms:W3CDTF">2025-02-13T11:48:00Z</dcterms:created>
  <dcterms:modified xsi:type="dcterms:W3CDTF">2025-02-13T11:49:00Z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0x01010077AB4D2C3F4FC543803C698840FED3AB</vt:lpwstr>
  </property>
</Properties>
</file>