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447A8E" w:rsidRPr="009F5CD8" w:rsidRDefault="00447A8E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A03775">
        <w:rPr>
          <w:b/>
          <w:sz w:val="24"/>
        </w:rPr>
        <w:t xml:space="preserve">Výzkum a projektové řešení koncepce multifunkčního robotického efektoru podzemního </w:t>
      </w:r>
      <w:proofErr w:type="spellStart"/>
      <w:r w:rsidR="00A03775">
        <w:rPr>
          <w:b/>
          <w:sz w:val="24"/>
        </w:rPr>
        <w:t>multirobotu</w:t>
      </w:r>
      <w:proofErr w:type="spellEnd"/>
      <w:r w:rsidR="00A03775">
        <w:rPr>
          <w:b/>
          <w:sz w:val="24"/>
        </w:rPr>
        <w:t xml:space="preserve"> pro ukládání ÚOS v hlubinném úložišti a realizace prototypu duálního robotického modulu efektoru a jeho nadřazeného řídicího systému v reálném provedení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A037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197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447A8E" w:rsidRPr="009F5CD8" w:rsidRDefault="00447A8E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2F47C7" w:rsidRDefault="002F47C7" w:rsidP="00FD10D9">
            <w:pPr>
              <w:jc w:val="center"/>
            </w:pPr>
          </w:p>
          <w:p w:rsidR="000B1AAB" w:rsidRPr="008C3671" w:rsidRDefault="002F47C7" w:rsidP="00FD10D9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6C352D" w:rsidRPr="008C3671" w:rsidRDefault="002F47C7" w:rsidP="000B1AAB">
            <w:r>
              <w:t>Analýzy implementací robotických technologií do technologické chodby a ukládacího vrtu ÚOS, robotických efektorů – koncepce duálního robotického efektoru a subsystému pohonů – řídicí systém duálního efektoru a duálního modulu efektoru</w:t>
            </w:r>
          </w:p>
        </w:tc>
        <w:tc>
          <w:tcPr>
            <w:tcW w:w="1557" w:type="dxa"/>
          </w:tcPr>
          <w:p w:rsidR="002F47C7" w:rsidRDefault="002F47C7" w:rsidP="0067228B">
            <w:pPr>
              <w:jc w:val="center"/>
            </w:pPr>
            <w:r>
              <w:t xml:space="preserve">HOPAX, </w:t>
            </w:r>
          </w:p>
          <w:p w:rsidR="002F47C7" w:rsidRDefault="002F47C7" w:rsidP="0067228B">
            <w:pPr>
              <w:jc w:val="center"/>
            </w:pPr>
            <w:r>
              <w:t xml:space="preserve">FITE, </w:t>
            </w:r>
          </w:p>
          <w:p w:rsidR="006E7F35" w:rsidRPr="008C3671" w:rsidRDefault="002F47C7" w:rsidP="0067228B">
            <w:pPr>
              <w:jc w:val="center"/>
            </w:pPr>
            <w:r>
              <w:t>ČVUT</w:t>
            </w:r>
          </w:p>
        </w:tc>
        <w:tc>
          <w:tcPr>
            <w:tcW w:w="1416" w:type="dxa"/>
          </w:tcPr>
          <w:p w:rsidR="006C352D" w:rsidRDefault="006C352D" w:rsidP="0067228B">
            <w:pPr>
              <w:ind w:left="-110" w:firstLine="110"/>
              <w:jc w:val="center"/>
            </w:pPr>
          </w:p>
          <w:p w:rsidR="002F47C7" w:rsidRPr="008C3671" w:rsidRDefault="002F47C7" w:rsidP="0067228B">
            <w:pPr>
              <w:ind w:left="-110" w:firstLine="110"/>
              <w:jc w:val="center"/>
            </w:pPr>
            <w:r>
              <w:t>12/2017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6C352D" w:rsidRPr="000B1AAB" w:rsidTr="00BE36B5">
        <w:tc>
          <w:tcPr>
            <w:tcW w:w="1067" w:type="dxa"/>
          </w:tcPr>
          <w:p w:rsidR="002F47C7" w:rsidRDefault="002F47C7" w:rsidP="006C352D">
            <w:pPr>
              <w:jc w:val="center"/>
            </w:pPr>
          </w:p>
          <w:p w:rsidR="006C352D" w:rsidRPr="008C3671" w:rsidRDefault="002F47C7" w:rsidP="006C352D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6C352D" w:rsidRPr="008C3671" w:rsidRDefault="002F47C7" w:rsidP="002F47C7">
            <w:r>
              <w:t>Výzkum, koncepce a komplexní modelové řešení konstrukce duálního robotického modulu – subsystému pohonů – vývoj, výrobní dokumentace a realizace nosného testovacího simulátoru duálního robotického modulu, pomocných mechanismů a výrobních přípravků</w:t>
            </w:r>
          </w:p>
        </w:tc>
        <w:tc>
          <w:tcPr>
            <w:tcW w:w="1557" w:type="dxa"/>
          </w:tcPr>
          <w:p w:rsidR="00447A8E" w:rsidRDefault="00447A8E" w:rsidP="00447A8E">
            <w:pPr>
              <w:jc w:val="center"/>
            </w:pPr>
            <w:r>
              <w:t xml:space="preserve">HOPAX, </w:t>
            </w:r>
          </w:p>
          <w:p w:rsidR="00447A8E" w:rsidRDefault="00447A8E" w:rsidP="00447A8E">
            <w:pPr>
              <w:jc w:val="center"/>
            </w:pPr>
            <w:r>
              <w:t xml:space="preserve">FITE, </w:t>
            </w:r>
          </w:p>
          <w:p w:rsidR="006C352D" w:rsidRPr="008C3671" w:rsidRDefault="00447A8E" w:rsidP="00447A8E">
            <w:pPr>
              <w:jc w:val="center"/>
            </w:pPr>
            <w:r>
              <w:t>ČVUT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2F47C7" w:rsidRPr="008C3671" w:rsidRDefault="002F47C7" w:rsidP="006C352D">
            <w:pPr>
              <w:ind w:left="506" w:hanging="506"/>
              <w:jc w:val="center"/>
            </w:pPr>
            <w:r>
              <w:t>06/2018</w:t>
            </w:r>
          </w:p>
        </w:tc>
      </w:tr>
      <w:tr w:rsidR="006C352D" w:rsidRPr="000B1AAB" w:rsidTr="00BE36B5">
        <w:tc>
          <w:tcPr>
            <w:tcW w:w="1067" w:type="dxa"/>
          </w:tcPr>
          <w:p w:rsidR="002F47C7" w:rsidRDefault="002F47C7" w:rsidP="006C352D">
            <w:pPr>
              <w:jc w:val="center"/>
            </w:pPr>
          </w:p>
          <w:p w:rsidR="006C352D" w:rsidRPr="008C3671" w:rsidRDefault="002F47C7" w:rsidP="006C352D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6C352D" w:rsidRPr="008C3671" w:rsidRDefault="002F47C7" w:rsidP="006C352D">
            <w:r>
              <w:t xml:space="preserve">Vývoj a výrobní dokumentace mechaniky duálního robotického modulu efektoru – výroba mechaniky modulu – vývoj, výroba a montáž zkušebního </w:t>
            </w:r>
            <w:proofErr w:type="spellStart"/>
            <w:r>
              <w:t>stendu</w:t>
            </w:r>
            <w:proofErr w:type="spellEnd"/>
            <w:r>
              <w:t xml:space="preserve"> pohonu uchopovacích mechanismů modulu</w:t>
            </w:r>
          </w:p>
        </w:tc>
        <w:tc>
          <w:tcPr>
            <w:tcW w:w="1557" w:type="dxa"/>
          </w:tcPr>
          <w:p w:rsidR="00447A8E" w:rsidRDefault="00447A8E" w:rsidP="00447A8E">
            <w:pPr>
              <w:jc w:val="center"/>
            </w:pPr>
            <w:r>
              <w:t xml:space="preserve">HOPAX, </w:t>
            </w:r>
          </w:p>
          <w:p w:rsidR="00447A8E" w:rsidRDefault="00447A8E" w:rsidP="00447A8E">
            <w:pPr>
              <w:jc w:val="center"/>
            </w:pPr>
            <w:r>
              <w:t xml:space="preserve">FITE, </w:t>
            </w:r>
          </w:p>
          <w:p w:rsidR="006C352D" w:rsidRPr="008C3671" w:rsidRDefault="00447A8E" w:rsidP="00447A8E">
            <w:pPr>
              <w:jc w:val="center"/>
              <w:rPr>
                <w:b/>
              </w:rPr>
            </w:pPr>
            <w:r>
              <w:t>ČVUT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2F47C7" w:rsidRPr="008C3671" w:rsidRDefault="002F47C7" w:rsidP="006C352D">
            <w:pPr>
              <w:ind w:left="506" w:hanging="506"/>
              <w:jc w:val="center"/>
            </w:pPr>
            <w:r>
              <w:t>12/2018</w:t>
            </w:r>
          </w:p>
        </w:tc>
      </w:tr>
      <w:tr w:rsidR="006C352D" w:rsidRPr="000B1AAB" w:rsidTr="00BE36B5">
        <w:tc>
          <w:tcPr>
            <w:tcW w:w="1067" w:type="dxa"/>
          </w:tcPr>
          <w:p w:rsidR="006C352D" w:rsidRPr="008C3671" w:rsidRDefault="006C352D" w:rsidP="006C352D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6C352D" w:rsidP="00BE36B5">
            <w:r w:rsidRPr="008C3671">
              <w:rPr>
                <w:rFonts w:cs="Times New Roman"/>
              </w:rPr>
              <w:t xml:space="preserve">                                            </w:t>
            </w:r>
            <w:r w:rsidR="00BE36B5"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6C352D" w:rsidRPr="008C3671" w:rsidRDefault="006C352D" w:rsidP="0067228B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C352D" w:rsidRPr="008C3671" w:rsidRDefault="006C352D" w:rsidP="006C352D">
            <w:pPr>
              <w:ind w:left="506" w:hanging="506"/>
              <w:jc w:val="center"/>
            </w:pPr>
          </w:p>
        </w:tc>
      </w:tr>
      <w:tr w:rsidR="006C352D" w:rsidRPr="000B1AAB" w:rsidTr="00BE36B5">
        <w:tc>
          <w:tcPr>
            <w:tcW w:w="1067" w:type="dxa"/>
          </w:tcPr>
          <w:p w:rsidR="002F47C7" w:rsidRDefault="002F47C7" w:rsidP="006C352D">
            <w:pPr>
              <w:jc w:val="center"/>
            </w:pPr>
          </w:p>
          <w:p w:rsidR="006C352D" w:rsidRPr="008C3671" w:rsidRDefault="002F47C7" w:rsidP="006C352D">
            <w:pPr>
              <w:jc w:val="center"/>
            </w:pPr>
            <w:r>
              <w:t>4</w:t>
            </w:r>
          </w:p>
        </w:tc>
        <w:tc>
          <w:tcPr>
            <w:tcW w:w="6450" w:type="dxa"/>
          </w:tcPr>
          <w:p w:rsidR="006C352D" w:rsidRPr="008C3671" w:rsidRDefault="002F47C7" w:rsidP="006C352D">
            <w:r>
              <w:t>Implementace subsystému pohonů do mechanizmů duálního robotického modulu – montáž komplexního robotického modulu a jeho implementace do skeletu testovacího simulátoru – výroba a montáž řídicího systému - testování</w:t>
            </w:r>
          </w:p>
        </w:tc>
        <w:tc>
          <w:tcPr>
            <w:tcW w:w="1557" w:type="dxa"/>
          </w:tcPr>
          <w:p w:rsidR="00447A8E" w:rsidRDefault="00447A8E" w:rsidP="00447A8E">
            <w:pPr>
              <w:jc w:val="center"/>
            </w:pPr>
            <w:r>
              <w:t xml:space="preserve">HOPAX, </w:t>
            </w:r>
          </w:p>
          <w:p w:rsidR="00447A8E" w:rsidRDefault="00447A8E" w:rsidP="00447A8E">
            <w:pPr>
              <w:jc w:val="center"/>
            </w:pPr>
            <w:r>
              <w:t xml:space="preserve">FITE, </w:t>
            </w:r>
          </w:p>
          <w:p w:rsidR="006C352D" w:rsidRPr="008C3671" w:rsidRDefault="00447A8E" w:rsidP="00447A8E">
            <w:pPr>
              <w:jc w:val="center"/>
            </w:pPr>
            <w:r>
              <w:t>ČVUT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2F47C7" w:rsidRPr="008C3671" w:rsidRDefault="002F47C7" w:rsidP="006C352D">
            <w:pPr>
              <w:ind w:left="506" w:hanging="506"/>
              <w:jc w:val="center"/>
            </w:pPr>
            <w:r>
              <w:t>06/2019</w:t>
            </w:r>
          </w:p>
        </w:tc>
      </w:tr>
      <w:tr w:rsidR="006C352D" w:rsidRPr="000B1AAB" w:rsidTr="00BE36B5">
        <w:tc>
          <w:tcPr>
            <w:tcW w:w="1067" w:type="dxa"/>
          </w:tcPr>
          <w:p w:rsidR="002F47C7" w:rsidRDefault="002F47C7" w:rsidP="006C352D">
            <w:pPr>
              <w:jc w:val="center"/>
            </w:pPr>
          </w:p>
          <w:p w:rsidR="006C352D" w:rsidRPr="008C3671" w:rsidRDefault="002F47C7" w:rsidP="006C352D">
            <w:pPr>
              <w:jc w:val="center"/>
            </w:pPr>
            <w:r>
              <w:t>5</w:t>
            </w:r>
          </w:p>
        </w:tc>
        <w:tc>
          <w:tcPr>
            <w:tcW w:w="6450" w:type="dxa"/>
          </w:tcPr>
          <w:p w:rsidR="006C352D" w:rsidRPr="008C3671" w:rsidRDefault="002F47C7" w:rsidP="006C352D">
            <w:r>
              <w:t xml:space="preserve">Funkční zkoušky všech funkcí prototypu duálního robotického modulu efektoru </w:t>
            </w:r>
            <w:proofErr w:type="spellStart"/>
            <w:r>
              <w:t>multirobotu</w:t>
            </w:r>
            <w:proofErr w:type="spellEnd"/>
            <w:r>
              <w:t xml:space="preserve"> v testovacím simulátoru – uchopovací a manipulační procesy s ÚOS a současně s bentonitovým ložem – optimalizace prototypu a výrobní dokumentace modulu</w:t>
            </w:r>
          </w:p>
        </w:tc>
        <w:tc>
          <w:tcPr>
            <w:tcW w:w="1557" w:type="dxa"/>
          </w:tcPr>
          <w:p w:rsidR="00447A8E" w:rsidRDefault="00447A8E" w:rsidP="00447A8E">
            <w:pPr>
              <w:jc w:val="center"/>
            </w:pPr>
            <w:r>
              <w:t xml:space="preserve">HOPAX, </w:t>
            </w:r>
          </w:p>
          <w:p w:rsidR="00447A8E" w:rsidRDefault="00447A8E" w:rsidP="00447A8E">
            <w:pPr>
              <w:jc w:val="center"/>
            </w:pPr>
            <w:r>
              <w:t xml:space="preserve">FITE, </w:t>
            </w:r>
          </w:p>
          <w:p w:rsidR="006C352D" w:rsidRPr="008C3671" w:rsidRDefault="00447A8E" w:rsidP="00447A8E">
            <w:pPr>
              <w:jc w:val="center"/>
              <w:rPr>
                <w:b/>
              </w:rPr>
            </w:pPr>
            <w:r>
              <w:t>ČVUT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2F47C7" w:rsidRPr="008C3671" w:rsidRDefault="002F47C7" w:rsidP="006C352D">
            <w:pPr>
              <w:ind w:left="506" w:hanging="506"/>
              <w:jc w:val="center"/>
            </w:pPr>
            <w:r>
              <w:t>12/2019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2F47C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47A8E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03775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8CCA31B6.dotm</Template>
  <TotalTime>517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2017-07-26T14:02:00Z</cp:lastPrinted>
  <dcterms:created xsi:type="dcterms:W3CDTF">2016-08-30T13:22:00Z</dcterms:created>
  <dcterms:modified xsi:type="dcterms:W3CDTF">2017-07-26T14:13:00Z</dcterms:modified>
</cp:coreProperties>
</file>