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593" w:rsidRDefault="006E348F">
      <w:pPr>
        <w:pStyle w:val="Heading10"/>
        <w:framePr w:w="9125" w:h="327" w:hRule="exact" w:wrap="none" w:vAnchor="page" w:hAnchor="page" w:x="1331" w:y="1329"/>
        <w:shd w:val="clear" w:color="auto" w:fill="auto"/>
        <w:spacing w:after="0" w:line="220" w:lineRule="exact"/>
        <w:ind w:firstLine="0"/>
      </w:pPr>
      <w:bookmarkStart w:id="0" w:name="bookmark0"/>
      <w:r>
        <w:t>SMLOUVA O POSKYTOVÁNÍ HOSTOVÁNÍ VIRTUÁLNÍCH SERVERŮ</w:t>
      </w:r>
      <w:bookmarkEnd w:id="0"/>
    </w:p>
    <w:p w:rsidR="004B0593" w:rsidRDefault="006E348F">
      <w:pPr>
        <w:pStyle w:val="Heading10"/>
        <w:framePr w:w="9125" w:h="709" w:hRule="exact" w:wrap="none" w:vAnchor="page" w:hAnchor="page" w:x="1331" w:y="1851"/>
        <w:shd w:val="clear" w:color="auto" w:fill="auto"/>
        <w:spacing w:after="0" w:line="326" w:lineRule="exact"/>
        <w:ind w:firstLine="0"/>
      </w:pPr>
      <w:bookmarkStart w:id="1" w:name="bookmark1"/>
      <w:r>
        <w:t>uzavřená v souladu s ustanovením § 1746 odst. 2 a násl. zákona č. 89/2012</w:t>
      </w:r>
      <w:r>
        <w:br/>
        <w:t>Sb., občanského zákoníku (dále jen „občanský zákoník“)</w:t>
      </w:r>
      <w:bookmarkEnd w:id="1"/>
    </w:p>
    <w:p w:rsidR="004B0593" w:rsidRDefault="006E348F" w:rsidP="00EC3535">
      <w:pPr>
        <w:pStyle w:val="Bodytext20"/>
        <w:framePr w:w="9125" w:h="4336" w:hRule="exact" w:wrap="none" w:vAnchor="page" w:hAnchor="page" w:x="1331" w:y="3280"/>
        <w:shd w:val="clear" w:color="auto" w:fill="auto"/>
        <w:spacing w:before="0"/>
        <w:ind w:left="760"/>
      </w:pPr>
      <w:r>
        <w:t>Smluvní strany:</w:t>
      </w:r>
    </w:p>
    <w:p w:rsidR="004B0593" w:rsidRDefault="006E348F" w:rsidP="00EC3535">
      <w:pPr>
        <w:pStyle w:val="Bodytext30"/>
        <w:framePr w:w="9125" w:h="4336" w:hRule="exact" w:wrap="none" w:vAnchor="page" w:hAnchor="page" w:x="1331" w:y="3280"/>
        <w:shd w:val="clear" w:color="auto" w:fill="auto"/>
        <w:ind w:left="760"/>
      </w:pPr>
      <w:r>
        <w:t>Kabelová televize Kadaň, a.s.</w:t>
      </w:r>
    </w:p>
    <w:p w:rsidR="004B0593" w:rsidRDefault="006E348F" w:rsidP="00EC3535">
      <w:pPr>
        <w:pStyle w:val="Bodytext20"/>
        <w:framePr w:w="9125" w:h="4336" w:hRule="exact" w:wrap="none" w:vAnchor="page" w:hAnchor="page" w:x="1331" w:y="3280"/>
        <w:shd w:val="clear" w:color="auto" w:fill="auto"/>
        <w:spacing w:before="0"/>
        <w:ind w:right="5660" w:firstLine="0"/>
        <w:jc w:val="left"/>
      </w:pPr>
      <w:r>
        <w:t xml:space="preserve">Kpt. Jaroše 1477, 432 01 </w:t>
      </w:r>
      <w:r>
        <w:t>Kadaň IČ: 46709584, DIČ: CZ46709584</w:t>
      </w:r>
    </w:p>
    <w:p w:rsidR="004B0593" w:rsidRDefault="006E348F" w:rsidP="00EC3535">
      <w:pPr>
        <w:pStyle w:val="Bodytext20"/>
        <w:framePr w:w="9125" w:h="4336" w:hRule="exact" w:wrap="none" w:vAnchor="page" w:hAnchor="page" w:x="1331" w:y="3280"/>
        <w:shd w:val="clear" w:color="auto" w:fill="auto"/>
        <w:spacing w:before="0"/>
        <w:ind w:firstLine="0"/>
      </w:pPr>
      <w:r>
        <w:t>Zapsaná v obchodním rejstříku vedeném u Krajského soudu v Ústí nad Labem, oddíl B, vložka 298</w:t>
      </w:r>
    </w:p>
    <w:p w:rsidR="004B0593" w:rsidRDefault="006E348F" w:rsidP="00EC3535">
      <w:pPr>
        <w:pStyle w:val="Bodytext20"/>
        <w:framePr w:w="9125" w:h="4336" w:hRule="exact" w:wrap="none" w:vAnchor="page" w:hAnchor="page" w:x="1331" w:y="3280"/>
        <w:shd w:val="clear" w:color="auto" w:fill="auto"/>
        <w:spacing w:before="0"/>
        <w:ind w:left="760"/>
      </w:pPr>
      <w:r>
        <w:t>Zastoupena: Mgr. Michalem Voltrem, ředitelem</w:t>
      </w:r>
    </w:p>
    <w:p w:rsidR="00EC3535" w:rsidRDefault="006E348F" w:rsidP="00EC3535">
      <w:pPr>
        <w:pStyle w:val="Bodytext20"/>
        <w:framePr w:w="9125" w:h="4336" w:hRule="exact" w:wrap="none" w:vAnchor="page" w:hAnchor="page" w:x="1331" w:y="3280"/>
        <w:shd w:val="clear" w:color="auto" w:fill="auto"/>
        <w:spacing w:before="0"/>
        <w:ind w:firstLine="0"/>
        <w:jc w:val="left"/>
      </w:pPr>
      <w:r>
        <w:t>Zastoupena ve věcech technických: Josefem Novým, vedoucím technického</w:t>
      </w:r>
    </w:p>
    <w:p w:rsidR="004B0593" w:rsidRDefault="006E348F" w:rsidP="00EC3535">
      <w:pPr>
        <w:pStyle w:val="Bodytext20"/>
        <w:framePr w:w="9125" w:h="4336" w:hRule="exact" w:wrap="none" w:vAnchor="page" w:hAnchor="page" w:x="1331" w:y="3280"/>
        <w:shd w:val="clear" w:color="auto" w:fill="auto"/>
        <w:spacing w:before="0"/>
        <w:ind w:firstLine="0"/>
        <w:jc w:val="left"/>
      </w:pPr>
      <w:r>
        <w:t>oddělení</w:t>
      </w:r>
    </w:p>
    <w:p w:rsidR="004B0593" w:rsidRDefault="006E348F" w:rsidP="00EC3535">
      <w:pPr>
        <w:pStyle w:val="Bodytext20"/>
        <w:framePr w:w="9125" w:h="4336" w:hRule="exact" w:wrap="none" w:vAnchor="page" w:hAnchor="page" w:x="1331" w:y="3280"/>
        <w:shd w:val="clear" w:color="auto" w:fill="auto"/>
        <w:spacing w:before="0" w:after="244"/>
        <w:ind w:firstLine="0"/>
        <w:jc w:val="left"/>
      </w:pPr>
      <w:r>
        <w:t>dále jen jako „poskytovatel“ na straně jedné a</w:t>
      </w:r>
    </w:p>
    <w:p w:rsidR="004B0593" w:rsidRDefault="006E348F" w:rsidP="00EC3535">
      <w:pPr>
        <w:pStyle w:val="Heading10"/>
        <w:framePr w:w="9125" w:h="4336" w:hRule="exact" w:wrap="none" w:vAnchor="page" w:hAnchor="page" w:x="1331" w:y="3280"/>
        <w:shd w:val="clear" w:color="auto" w:fill="auto"/>
        <w:spacing w:after="0" w:line="269" w:lineRule="exact"/>
        <w:ind w:left="760"/>
        <w:jc w:val="both"/>
      </w:pPr>
      <w:bookmarkStart w:id="2" w:name="bookmark2"/>
      <w:r>
        <w:t>Základní škola Kadaň, Na Podlesí 1480, okres Chomutov</w:t>
      </w:r>
      <w:bookmarkEnd w:id="2"/>
    </w:p>
    <w:p w:rsidR="004B0593" w:rsidRDefault="006E348F" w:rsidP="00EC3535">
      <w:pPr>
        <w:pStyle w:val="Bodytext20"/>
        <w:framePr w:w="9125" w:h="4336" w:hRule="exact" w:wrap="none" w:vAnchor="page" w:hAnchor="page" w:x="1331" w:y="3280"/>
        <w:shd w:val="clear" w:color="auto" w:fill="auto"/>
        <w:spacing w:before="0" w:line="269" w:lineRule="exact"/>
        <w:ind w:firstLine="0"/>
        <w:jc w:val="left"/>
      </w:pPr>
      <w:r>
        <w:t>Na Podlesí 1480, 432 01 Kadaň IČ:46789995</w:t>
      </w:r>
    </w:p>
    <w:p w:rsidR="004B0593" w:rsidRDefault="006E348F" w:rsidP="00EC3535">
      <w:pPr>
        <w:pStyle w:val="Bodytext20"/>
        <w:framePr w:w="9125" w:h="4336" w:hRule="exact" w:wrap="none" w:vAnchor="page" w:hAnchor="page" w:x="1331" w:y="3280"/>
        <w:shd w:val="clear" w:color="auto" w:fill="auto"/>
        <w:spacing w:before="0" w:line="269" w:lineRule="exact"/>
        <w:ind w:firstLine="0"/>
        <w:jc w:val="left"/>
      </w:pPr>
      <w:r>
        <w:t xml:space="preserve">Zastoupená: Mgr. Zdeňkem Hosmanem, ředitelem </w:t>
      </w:r>
      <w:r w:rsidR="00EC3535">
        <w:br/>
      </w:r>
      <w:r>
        <w:t>dále jen jako „zákazník“ na straně druhé</w:t>
      </w:r>
    </w:p>
    <w:p w:rsidR="004B0593" w:rsidRDefault="006E348F" w:rsidP="00EC3535">
      <w:pPr>
        <w:pStyle w:val="Bodytext20"/>
        <w:framePr w:w="9125" w:h="1325" w:hRule="exact" w:wrap="none" w:vAnchor="page" w:hAnchor="page" w:x="1321" w:y="7876"/>
        <w:shd w:val="clear" w:color="auto" w:fill="auto"/>
        <w:spacing w:before="0" w:line="312" w:lineRule="exact"/>
        <w:ind w:firstLine="0"/>
      </w:pPr>
      <w:r>
        <w:t>společně a vzájemně prohlaš</w:t>
      </w:r>
      <w:r>
        <w:t>ují, že se přesvědčily o identitě druhé smluvní strany, i že její označení uvedené v záhlaví této smlouvy odpovídá aktuálnímu stavu, že je jim nesporná totožnost a zároveň sí vzájemně prohlásily, že tyto údaje nejsou dotčeny změnami již uskutečněnými, a pr</w:t>
      </w:r>
      <w:r>
        <w:t>oto uzavírají níže uvedeného dne, měsíce a roku tuto</w:t>
      </w:r>
    </w:p>
    <w:p w:rsidR="004B0593" w:rsidRDefault="006E348F">
      <w:pPr>
        <w:pStyle w:val="Heading10"/>
        <w:framePr w:w="9125" w:h="3710" w:hRule="exact" w:wrap="none" w:vAnchor="page" w:hAnchor="page" w:x="1331" w:y="11049"/>
        <w:shd w:val="clear" w:color="auto" w:fill="auto"/>
        <w:spacing w:after="253" w:line="220" w:lineRule="exact"/>
        <w:ind w:firstLine="0"/>
      </w:pPr>
      <w:bookmarkStart w:id="3" w:name="bookmark3"/>
      <w:r>
        <w:t>SMLOUVU O POSKYTOVÁNÍ HOSTOVÁNÍ VIRTUÁLNÍCH SERVERŮ</w:t>
      </w:r>
      <w:bookmarkEnd w:id="3"/>
    </w:p>
    <w:p w:rsidR="004B0593" w:rsidRDefault="006E348F">
      <w:pPr>
        <w:pStyle w:val="Bodytext30"/>
        <w:framePr w:w="9125" w:h="3710" w:hRule="exact" w:wrap="none" w:vAnchor="page" w:hAnchor="page" w:x="1331" w:y="11049"/>
        <w:shd w:val="clear" w:color="auto" w:fill="auto"/>
        <w:spacing w:after="253" w:line="220" w:lineRule="exact"/>
        <w:ind w:firstLine="0"/>
        <w:jc w:val="center"/>
      </w:pPr>
      <w:r>
        <w:rPr>
          <w:rStyle w:val="Bodytext3NotBold"/>
        </w:rPr>
        <w:t xml:space="preserve">(dále jen </w:t>
      </w:r>
      <w:r>
        <w:t>„smlouva“)</w:t>
      </w:r>
    </w:p>
    <w:p w:rsidR="004B0593" w:rsidRDefault="006E348F">
      <w:pPr>
        <w:pStyle w:val="Heading10"/>
        <w:framePr w:w="9125" w:h="3710" w:hRule="exact" w:wrap="none" w:vAnchor="page" w:hAnchor="page" w:x="1331" w:y="11049"/>
        <w:numPr>
          <w:ilvl w:val="0"/>
          <w:numId w:val="1"/>
        </w:numPr>
        <w:shd w:val="clear" w:color="auto" w:fill="auto"/>
        <w:tabs>
          <w:tab w:val="left" w:pos="3801"/>
        </w:tabs>
        <w:spacing w:after="35" w:line="220" w:lineRule="exact"/>
        <w:ind w:left="3500" w:firstLine="0"/>
        <w:jc w:val="both"/>
      </w:pPr>
      <w:bookmarkStart w:id="4" w:name="bookmark4"/>
      <w:r>
        <w:t>Předmět smlouvy</w:t>
      </w:r>
      <w:bookmarkEnd w:id="4"/>
    </w:p>
    <w:p w:rsidR="004B0593" w:rsidRDefault="006E348F">
      <w:pPr>
        <w:pStyle w:val="Bodytext20"/>
        <w:framePr w:w="9125" w:h="3710" w:hRule="exact" w:wrap="none" w:vAnchor="page" w:hAnchor="page" w:x="1331" w:y="11049"/>
        <w:numPr>
          <w:ilvl w:val="0"/>
          <w:numId w:val="2"/>
        </w:numPr>
        <w:shd w:val="clear" w:color="auto" w:fill="auto"/>
        <w:tabs>
          <w:tab w:val="left" w:pos="750"/>
        </w:tabs>
        <w:spacing w:before="0" w:line="278" w:lineRule="exact"/>
        <w:ind w:left="760"/>
      </w:pPr>
      <w:r>
        <w:t xml:space="preserve">Poskytovatel se zavazuje poskytovat zákazníkovi služby hostování virtuálních serverů v datacentru Kabelové </w:t>
      </w:r>
      <w:r>
        <w:t>televize Kadaň, a.s., a to v souladu s podmínkami této smlouvy.</w:t>
      </w:r>
    </w:p>
    <w:p w:rsidR="004B0593" w:rsidRDefault="006E348F">
      <w:pPr>
        <w:pStyle w:val="Bodytext20"/>
        <w:framePr w:w="9125" w:h="3710" w:hRule="exact" w:wrap="none" w:vAnchor="page" w:hAnchor="page" w:x="1331" w:y="11049"/>
        <w:numPr>
          <w:ilvl w:val="0"/>
          <w:numId w:val="2"/>
        </w:numPr>
        <w:shd w:val="clear" w:color="auto" w:fill="auto"/>
        <w:tabs>
          <w:tab w:val="left" w:pos="750"/>
        </w:tabs>
        <w:spacing w:before="0" w:line="278" w:lineRule="exact"/>
        <w:ind w:left="760"/>
      </w:pPr>
      <w:r>
        <w:t>Služby budou zahrnovat následující:</w:t>
      </w:r>
    </w:p>
    <w:p w:rsidR="004B0593" w:rsidRDefault="006E348F">
      <w:pPr>
        <w:pStyle w:val="Bodytext20"/>
        <w:framePr w:w="9125" w:h="3710" w:hRule="exact" w:wrap="none" w:vAnchor="page" w:hAnchor="page" w:x="1331" w:y="11049"/>
        <w:numPr>
          <w:ilvl w:val="0"/>
          <w:numId w:val="3"/>
        </w:numPr>
        <w:shd w:val="clear" w:color="auto" w:fill="auto"/>
        <w:tabs>
          <w:tab w:val="left" w:pos="750"/>
        </w:tabs>
        <w:spacing w:before="0" w:line="278" w:lineRule="exact"/>
        <w:ind w:left="420" w:firstLine="0"/>
      </w:pPr>
      <w:r>
        <w:t>Poskytování fyzického prostoru pro virtuální servery v datacentru,</w:t>
      </w:r>
    </w:p>
    <w:p w:rsidR="004B0593" w:rsidRDefault="006E348F">
      <w:pPr>
        <w:pStyle w:val="Bodytext20"/>
        <w:framePr w:w="9125" w:h="3710" w:hRule="exact" w:wrap="none" w:vAnchor="page" w:hAnchor="page" w:x="1331" w:y="11049"/>
        <w:numPr>
          <w:ilvl w:val="0"/>
          <w:numId w:val="3"/>
        </w:numPr>
        <w:shd w:val="clear" w:color="auto" w:fill="auto"/>
        <w:tabs>
          <w:tab w:val="left" w:pos="750"/>
        </w:tabs>
        <w:spacing w:before="0" w:line="278" w:lineRule="exact"/>
        <w:ind w:left="420" w:firstLine="0"/>
      </w:pPr>
      <w:r>
        <w:t>Správa serverů včetně monitoringu a údržby,</w:t>
      </w:r>
    </w:p>
    <w:p w:rsidR="004B0593" w:rsidRDefault="006E348F">
      <w:pPr>
        <w:pStyle w:val="Bodytext20"/>
        <w:framePr w:w="9125" w:h="3710" w:hRule="exact" w:wrap="none" w:vAnchor="page" w:hAnchor="page" w:x="1331" w:y="11049"/>
        <w:numPr>
          <w:ilvl w:val="0"/>
          <w:numId w:val="3"/>
        </w:numPr>
        <w:shd w:val="clear" w:color="auto" w:fill="auto"/>
        <w:tabs>
          <w:tab w:val="left" w:pos="750"/>
        </w:tabs>
        <w:spacing w:before="0" w:line="278" w:lineRule="exact"/>
        <w:ind w:left="420" w:firstLine="0"/>
      </w:pPr>
      <w:r>
        <w:t>Zabezpečení a zálohování dat serveru,</w:t>
      </w:r>
    </w:p>
    <w:p w:rsidR="004B0593" w:rsidRDefault="006E348F">
      <w:pPr>
        <w:pStyle w:val="Bodytext20"/>
        <w:framePr w:w="9125" w:h="3710" w:hRule="exact" w:wrap="none" w:vAnchor="page" w:hAnchor="page" w:x="1331" w:y="11049"/>
        <w:numPr>
          <w:ilvl w:val="0"/>
          <w:numId w:val="3"/>
        </w:numPr>
        <w:shd w:val="clear" w:color="auto" w:fill="auto"/>
        <w:tabs>
          <w:tab w:val="left" w:pos="750"/>
        </w:tabs>
        <w:spacing w:before="0" w:line="220" w:lineRule="exact"/>
        <w:ind w:left="420" w:firstLine="0"/>
      </w:pPr>
      <w:r>
        <w:t>Zajištění síťové konektivity a připojení k internetu.</w:t>
      </w:r>
    </w:p>
    <w:p w:rsidR="004B0593" w:rsidRDefault="004B0593">
      <w:pPr>
        <w:rPr>
          <w:sz w:val="2"/>
          <w:szCs w:val="2"/>
        </w:rPr>
        <w:sectPr w:rsidR="004B059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5" w:name="_GoBack"/>
      <w:bookmarkEnd w:id="5"/>
    </w:p>
    <w:p w:rsidR="004B0593" w:rsidRDefault="006E348F">
      <w:pPr>
        <w:pStyle w:val="Heading10"/>
        <w:framePr w:wrap="none" w:vAnchor="page" w:hAnchor="page" w:x="1331" w:y="1326"/>
        <w:numPr>
          <w:ilvl w:val="0"/>
          <w:numId w:val="1"/>
        </w:numPr>
        <w:shd w:val="clear" w:color="auto" w:fill="auto"/>
        <w:tabs>
          <w:tab w:val="left" w:pos="3672"/>
        </w:tabs>
        <w:spacing w:after="0" w:line="220" w:lineRule="exact"/>
        <w:ind w:left="3360" w:firstLine="0"/>
        <w:jc w:val="both"/>
      </w:pPr>
      <w:bookmarkStart w:id="6" w:name="bookmark5"/>
      <w:r>
        <w:lastRenderedPageBreak/>
        <w:t>Platební podmínky</w:t>
      </w:r>
      <w:bookmarkEnd w:id="6"/>
    </w:p>
    <w:p w:rsidR="004B0593" w:rsidRDefault="006E348F">
      <w:pPr>
        <w:pStyle w:val="Bodytext20"/>
        <w:framePr w:w="9125" w:h="13059" w:hRule="exact" w:wrap="none" w:vAnchor="page" w:hAnchor="page" w:x="1331" w:y="1844"/>
        <w:numPr>
          <w:ilvl w:val="0"/>
          <w:numId w:val="4"/>
        </w:numPr>
        <w:shd w:val="clear" w:color="auto" w:fill="auto"/>
        <w:tabs>
          <w:tab w:val="left" w:pos="757"/>
        </w:tabs>
        <w:spacing w:before="0" w:line="250" w:lineRule="exact"/>
        <w:ind w:left="760" w:hanging="360"/>
      </w:pPr>
      <w:r>
        <w:t xml:space="preserve">Smluvní strany se dohodly, že zákazník zaplatí poskytovateli za služby hostování virtuálních serverů dle této smlouvy cenu </w:t>
      </w:r>
      <w:r>
        <w:rPr>
          <w:rStyle w:val="Bodytext2Bold"/>
        </w:rPr>
        <w:t xml:space="preserve">7.396,- Kč </w:t>
      </w:r>
      <w:r>
        <w:t xml:space="preserve">včetně DPH skládající se </w:t>
      </w:r>
      <w:r>
        <w:rPr>
          <w:rStyle w:val="Bodytext2Bold"/>
        </w:rPr>
        <w:t>z</w:t>
      </w:r>
    </w:p>
    <w:p w:rsidR="004B0593" w:rsidRPr="00EC3535" w:rsidRDefault="00EC3535">
      <w:pPr>
        <w:pStyle w:val="Bodytext30"/>
        <w:framePr w:w="9125" w:h="13059" w:hRule="exact" w:wrap="none" w:vAnchor="page" w:hAnchor="page" w:x="1331" w:y="1844"/>
        <w:shd w:val="clear" w:color="auto" w:fill="auto"/>
        <w:spacing w:line="250" w:lineRule="exact"/>
        <w:ind w:left="1100" w:right="680" w:firstLine="0"/>
        <w:jc w:val="left"/>
      </w:pPr>
      <w:r>
        <w:rPr>
          <w:rStyle w:val="Bodytext395ptNotBold"/>
        </w:rPr>
        <w:t xml:space="preserve"> </w:t>
      </w:r>
      <w:r w:rsidR="006E348F" w:rsidRPr="00EC3535">
        <w:rPr>
          <w:rStyle w:val="Bodytext395ptNotBold"/>
          <w:sz w:val="22"/>
          <w:szCs w:val="22"/>
        </w:rPr>
        <w:t xml:space="preserve">o </w:t>
      </w:r>
      <w:r w:rsidR="006E348F" w:rsidRPr="00EC3535">
        <w:t>2 x VS OPTIMAL včetně OS ve výši 4.698,- Kč včetně DPH za měsíc</w:t>
      </w:r>
      <w:r w:rsidRPr="00EC3535">
        <w:br/>
      </w:r>
      <w:r w:rsidR="006E348F" w:rsidRPr="00EC3535">
        <w:t xml:space="preserve"> </w:t>
      </w:r>
      <w:r w:rsidR="006E348F" w:rsidRPr="00EC3535">
        <w:rPr>
          <w:rStyle w:val="Bodytext395ptNotBold"/>
          <w:sz w:val="22"/>
          <w:szCs w:val="22"/>
        </w:rPr>
        <w:t xml:space="preserve">o </w:t>
      </w:r>
      <w:r w:rsidR="006E348F" w:rsidRPr="00EC3535">
        <w:t xml:space="preserve">1 x VS START bez OS ve výši 1.899,- Kč včetně DPH za měsíc </w:t>
      </w:r>
      <w:r w:rsidRPr="00EC3535">
        <w:br/>
      </w:r>
      <w:r w:rsidRPr="00EC3535">
        <w:rPr>
          <w:rStyle w:val="Bodytext395ptNotBold"/>
          <w:sz w:val="22"/>
          <w:szCs w:val="22"/>
        </w:rPr>
        <w:t xml:space="preserve"> </w:t>
      </w:r>
      <w:r w:rsidR="006E348F" w:rsidRPr="00EC3535">
        <w:rPr>
          <w:rStyle w:val="Bodytext395ptNotBold"/>
          <w:sz w:val="22"/>
          <w:szCs w:val="22"/>
        </w:rPr>
        <w:t xml:space="preserve">o </w:t>
      </w:r>
      <w:r w:rsidR="006E348F" w:rsidRPr="00EC3535">
        <w:t>Síťové úložiště 1TB ve výši 799,- Kč včetně DPH za měsíc</w:t>
      </w:r>
    </w:p>
    <w:p w:rsidR="004B0593" w:rsidRDefault="006E348F">
      <w:pPr>
        <w:pStyle w:val="Bodytext20"/>
        <w:framePr w:w="9125" w:h="13059" w:hRule="exact" w:wrap="none" w:vAnchor="page" w:hAnchor="page" w:x="1331" w:y="1844"/>
        <w:numPr>
          <w:ilvl w:val="0"/>
          <w:numId w:val="4"/>
        </w:numPr>
        <w:shd w:val="clear" w:color="auto" w:fill="auto"/>
        <w:tabs>
          <w:tab w:val="left" w:pos="757"/>
        </w:tabs>
        <w:spacing w:before="0" w:line="250" w:lineRule="exact"/>
        <w:ind w:left="760" w:hanging="360"/>
      </w:pPr>
      <w:r>
        <w:t>Částky uvedené v čl. II. odst. 1. této smlouvy se zákazník zavazuje h</w:t>
      </w:r>
      <w:r>
        <w:t>radit poskytovateli na základě faktur vystavených poskytovatelem po provedení předmětných služeb.</w:t>
      </w:r>
    </w:p>
    <w:p w:rsidR="004B0593" w:rsidRDefault="006E348F">
      <w:pPr>
        <w:pStyle w:val="Bodytext20"/>
        <w:framePr w:w="9125" w:h="13059" w:hRule="exact" w:wrap="none" w:vAnchor="page" w:hAnchor="page" w:x="1331" w:y="1844"/>
        <w:numPr>
          <w:ilvl w:val="0"/>
          <w:numId w:val="4"/>
        </w:numPr>
        <w:shd w:val="clear" w:color="auto" w:fill="auto"/>
        <w:tabs>
          <w:tab w:val="left" w:pos="757"/>
        </w:tabs>
        <w:spacing w:before="0" w:line="250" w:lineRule="exact"/>
        <w:ind w:left="760" w:hanging="360"/>
      </w:pPr>
      <w:r>
        <w:t xml:space="preserve">Vystavené faktury, budou zákazníkem hrazeny bezhotovostním převodem na bankovní účet poskytovatele č. 11907441/0100 vedený u společnosti Komerční banka, a s. </w:t>
      </w:r>
      <w:r>
        <w:t>Dnem úhrady příslušné úplaty se rozumí den připsání příslušné částky na bankovní účet poskytovatele.</w:t>
      </w:r>
    </w:p>
    <w:p w:rsidR="004B0593" w:rsidRDefault="006E348F">
      <w:pPr>
        <w:pStyle w:val="Bodytext20"/>
        <w:framePr w:w="9125" w:h="13059" w:hRule="exact" w:wrap="none" w:vAnchor="page" w:hAnchor="page" w:x="1331" w:y="1844"/>
        <w:numPr>
          <w:ilvl w:val="0"/>
          <w:numId w:val="4"/>
        </w:numPr>
        <w:shd w:val="clear" w:color="auto" w:fill="auto"/>
        <w:tabs>
          <w:tab w:val="left" w:pos="757"/>
        </w:tabs>
        <w:spacing w:before="0" w:line="250" w:lineRule="exact"/>
        <w:ind w:left="760" w:hanging="360"/>
      </w:pPr>
      <w:r>
        <w:t xml:space="preserve">Datum splatnosti příslušných faktur nesmí být kratší než 15 dnů ode dne jejího doručení zákazníkovi a forma úhrady může být toliko bezhotovostním převodem </w:t>
      </w:r>
      <w:r>
        <w:t>na bankovní účet poskytovatele. Každá faktura vystavená poskytovatelem musí mít náležitosti daňového dokladu dle příslušných právních předpisů.</w:t>
      </w:r>
    </w:p>
    <w:p w:rsidR="004B0593" w:rsidRDefault="006E348F">
      <w:pPr>
        <w:pStyle w:val="Bodytext20"/>
        <w:framePr w:w="9125" w:h="13059" w:hRule="exact" w:wrap="none" w:vAnchor="page" w:hAnchor="page" w:x="1331" w:y="1844"/>
        <w:numPr>
          <w:ilvl w:val="0"/>
          <w:numId w:val="4"/>
        </w:numPr>
        <w:shd w:val="clear" w:color="auto" w:fill="auto"/>
        <w:tabs>
          <w:tab w:val="left" w:pos="757"/>
        </w:tabs>
        <w:spacing w:before="0" w:line="250" w:lineRule="exact"/>
        <w:ind w:left="760" w:hanging="360"/>
      </w:pPr>
      <w:r>
        <w:t xml:space="preserve">Poskytovatel si vyhrazuje právo jednostranně navýšit ceny služeb, jak jsou tyto uvedeny v čl. II. odst. 1. této </w:t>
      </w:r>
      <w:r>
        <w:t xml:space="preserve">smlouvy, a to o míru roční inflace vyhlášené Českým statistickým úřadem. Ceny se budou navyšovat vždy ke každému prvnímu měsíci toho kterého kalendářního roku trvání této smlouvy s tím, že poskytovatel tuto skutečnost bez zbytečného odkladu oznámí písemně </w:t>
      </w:r>
      <w:r>
        <w:t>zákazníkovi. V případě změny ceny za licence OS se budou ceny navyšovat vždy k 1 dni následujícího měsíce po zvýšení ceny ze strany dodavatele licence.</w:t>
      </w:r>
    </w:p>
    <w:p w:rsidR="004B0593" w:rsidRDefault="006E348F">
      <w:pPr>
        <w:pStyle w:val="Bodytext20"/>
        <w:framePr w:w="9125" w:h="13059" w:hRule="exact" w:wrap="none" w:vAnchor="page" w:hAnchor="page" w:x="1331" w:y="1844"/>
        <w:numPr>
          <w:ilvl w:val="0"/>
          <w:numId w:val="4"/>
        </w:numPr>
        <w:shd w:val="clear" w:color="auto" w:fill="auto"/>
        <w:tabs>
          <w:tab w:val="left" w:pos="757"/>
        </w:tabs>
        <w:spacing w:before="0" w:line="250" w:lineRule="exact"/>
        <w:ind w:left="760" w:hanging="360"/>
      </w:pPr>
      <w:r>
        <w:t xml:space="preserve">Smluvní strany se dohodly, že v případě prodlení zákazníka se zaplacením úplaty či její části dle čl. 4 </w:t>
      </w:r>
      <w:r>
        <w:t>této smlouvy, je poskytovatel oprávněn uplatnit vůči zákazníkovi ve smyslu ust. § 2048 a násl občanského zákoníku smluvní pokutu ve výši 0,05 % (slovy: pět setin procenta) z dlužné částky, a to za každý den prodlení.</w:t>
      </w:r>
    </w:p>
    <w:p w:rsidR="004B0593" w:rsidRDefault="006E348F">
      <w:pPr>
        <w:pStyle w:val="Bodytext20"/>
        <w:framePr w:w="9125" w:h="13059" w:hRule="exact" w:wrap="none" w:vAnchor="page" w:hAnchor="page" w:x="1331" w:y="1844"/>
        <w:numPr>
          <w:ilvl w:val="0"/>
          <w:numId w:val="4"/>
        </w:numPr>
        <w:shd w:val="clear" w:color="auto" w:fill="auto"/>
        <w:tabs>
          <w:tab w:val="left" w:pos="757"/>
        </w:tabs>
        <w:spacing w:before="0" w:after="324" w:line="250" w:lineRule="exact"/>
        <w:ind w:left="760" w:hanging="360"/>
      </w:pPr>
      <w:r>
        <w:t>Smluvní pokuta je splatná do 30 (slovy:</w:t>
      </w:r>
      <w:r>
        <w:t xml:space="preserve"> třiceti) dnů od data, kdy byla povinné straně doručena písemná výzva k jejímu zaplacení ze strany oprávněné strany, a to na účet oprávněné strany uvedený v této písemné výzvě. Ustanovením o smluvní pokutě není dotčeno právo oprávněné strany na náhradu vzn</w:t>
      </w:r>
      <w:r>
        <w:t>iklé škody v plné výší.</w:t>
      </w:r>
    </w:p>
    <w:p w:rsidR="004B0593" w:rsidRDefault="006E348F">
      <w:pPr>
        <w:pStyle w:val="Heading10"/>
        <w:framePr w:w="9125" w:h="13059" w:hRule="exact" w:wrap="none" w:vAnchor="page" w:hAnchor="page" w:x="1331" w:y="1844"/>
        <w:numPr>
          <w:ilvl w:val="0"/>
          <w:numId w:val="1"/>
        </w:numPr>
        <w:shd w:val="clear" w:color="auto" w:fill="auto"/>
        <w:tabs>
          <w:tab w:val="left" w:pos="3860"/>
        </w:tabs>
        <w:spacing w:after="253" w:line="220" w:lineRule="exact"/>
        <w:ind w:left="3480" w:firstLine="0"/>
        <w:jc w:val="both"/>
      </w:pPr>
      <w:bookmarkStart w:id="7" w:name="bookmark6"/>
      <w:r>
        <w:t>Povinnosti stran</w:t>
      </w:r>
      <w:bookmarkEnd w:id="7"/>
    </w:p>
    <w:p w:rsidR="004B0593" w:rsidRDefault="006E348F">
      <w:pPr>
        <w:pStyle w:val="Heading10"/>
        <w:framePr w:w="9125" w:h="13059" w:hRule="exact" w:wrap="none" w:vAnchor="page" w:hAnchor="page" w:x="1331" w:y="1844"/>
        <w:shd w:val="clear" w:color="auto" w:fill="auto"/>
        <w:spacing w:after="223" w:line="220" w:lineRule="exact"/>
        <w:ind w:left="760" w:hanging="360"/>
        <w:jc w:val="both"/>
      </w:pPr>
      <w:bookmarkStart w:id="8" w:name="bookmark7"/>
      <w:r>
        <w:rPr>
          <w:rStyle w:val="Heading1NotBold"/>
        </w:rPr>
        <w:t>3</w:t>
      </w:r>
      <w:r w:rsidR="00EC3535">
        <w:rPr>
          <w:rStyle w:val="Heading1NotBold"/>
        </w:rPr>
        <w:t>.</w:t>
      </w:r>
      <w:r w:rsidRPr="00EC3535">
        <w:rPr>
          <w:b w:val="0"/>
        </w:rPr>
        <w:t>1</w:t>
      </w:r>
      <w:r>
        <w:t xml:space="preserve"> Povinnosti Poskytovatele:</w:t>
      </w:r>
      <w:bookmarkEnd w:id="8"/>
    </w:p>
    <w:p w:rsidR="004B0593" w:rsidRDefault="006E348F">
      <w:pPr>
        <w:pStyle w:val="Bodytext20"/>
        <w:framePr w:w="9125" w:h="13059" w:hRule="exact" w:wrap="none" w:vAnchor="page" w:hAnchor="page" w:x="1331" w:y="1844"/>
        <w:numPr>
          <w:ilvl w:val="0"/>
          <w:numId w:val="3"/>
        </w:numPr>
        <w:shd w:val="clear" w:color="auto" w:fill="auto"/>
        <w:tabs>
          <w:tab w:val="left" w:pos="757"/>
        </w:tabs>
        <w:spacing w:before="0" w:line="269" w:lineRule="exact"/>
        <w:ind w:left="760" w:hanging="360"/>
      </w:pPr>
      <w:r>
        <w:t>Poskytovatel zajistí dostupnost služeb na úrovni [např. 99% uptime] každý kalendářní měsíc.</w:t>
      </w:r>
    </w:p>
    <w:p w:rsidR="004B0593" w:rsidRDefault="006E348F">
      <w:pPr>
        <w:pStyle w:val="Bodytext20"/>
        <w:framePr w:w="9125" w:h="13059" w:hRule="exact" w:wrap="none" w:vAnchor="page" w:hAnchor="page" w:x="1331" w:y="1844"/>
        <w:numPr>
          <w:ilvl w:val="0"/>
          <w:numId w:val="3"/>
        </w:numPr>
        <w:shd w:val="clear" w:color="auto" w:fill="auto"/>
        <w:tabs>
          <w:tab w:val="left" w:pos="757"/>
        </w:tabs>
        <w:spacing w:before="0" w:line="269" w:lineRule="exact"/>
        <w:ind w:left="760" w:hanging="360"/>
      </w:pPr>
      <w:r>
        <w:t xml:space="preserve">Poskytovatel bude provádět pravidelné zálohování dat a udržovat infrastrukturu </w:t>
      </w:r>
      <w:r>
        <w:t>v provozuschop</w:t>
      </w:r>
      <w:r>
        <w:t>ném stavu.</w:t>
      </w:r>
    </w:p>
    <w:p w:rsidR="004B0593" w:rsidRDefault="006E348F">
      <w:pPr>
        <w:pStyle w:val="Bodytext20"/>
        <w:framePr w:w="9125" w:h="13059" w:hRule="exact" w:wrap="none" w:vAnchor="page" w:hAnchor="page" w:x="1331" w:y="1844"/>
        <w:numPr>
          <w:ilvl w:val="0"/>
          <w:numId w:val="3"/>
        </w:numPr>
        <w:shd w:val="clear" w:color="auto" w:fill="auto"/>
        <w:tabs>
          <w:tab w:val="left" w:pos="757"/>
        </w:tabs>
        <w:spacing w:before="0" w:line="220" w:lineRule="exact"/>
        <w:ind w:left="760" w:hanging="360"/>
      </w:pPr>
      <w:r>
        <w:t>Poskytovatel zajistí síťovou bezpečnost serverů a datacentra.</w:t>
      </w:r>
    </w:p>
    <w:p w:rsidR="004B0593" w:rsidRDefault="006E348F">
      <w:pPr>
        <w:pStyle w:val="Bodytext20"/>
        <w:framePr w:w="9125" w:h="13059" w:hRule="exact" w:wrap="none" w:vAnchor="page" w:hAnchor="page" w:x="1331" w:y="1844"/>
        <w:numPr>
          <w:ilvl w:val="0"/>
          <w:numId w:val="3"/>
        </w:numPr>
        <w:shd w:val="clear" w:color="auto" w:fill="auto"/>
        <w:tabs>
          <w:tab w:val="left" w:pos="757"/>
        </w:tabs>
        <w:spacing w:before="0" w:after="328" w:line="254" w:lineRule="exact"/>
        <w:ind w:left="760" w:hanging="360"/>
      </w:pPr>
      <w:r>
        <w:t>Poskytovatel je odpovědný za správu a údržbu OS Windows server na virtuálním serveru.</w:t>
      </w:r>
    </w:p>
    <w:p w:rsidR="004B0593" w:rsidRDefault="006E348F">
      <w:pPr>
        <w:pStyle w:val="Heading10"/>
        <w:framePr w:w="9125" w:h="13059" w:hRule="exact" w:wrap="none" w:vAnchor="page" w:hAnchor="page" w:x="1331" w:y="1844"/>
        <w:shd w:val="clear" w:color="auto" w:fill="auto"/>
        <w:spacing w:after="210" w:line="220" w:lineRule="exact"/>
        <w:ind w:left="760" w:hanging="360"/>
        <w:jc w:val="both"/>
      </w:pPr>
      <w:bookmarkStart w:id="9" w:name="bookmark8"/>
      <w:r>
        <w:rPr>
          <w:rStyle w:val="Heading1NotBold"/>
        </w:rPr>
        <w:t>3</w:t>
      </w:r>
      <w:r w:rsidR="00EC3535">
        <w:rPr>
          <w:rStyle w:val="Heading1NotBold"/>
        </w:rPr>
        <w:t>.</w:t>
      </w:r>
      <w:r>
        <w:rPr>
          <w:rStyle w:val="Heading1NotBold"/>
        </w:rPr>
        <w:t xml:space="preserve">2 </w:t>
      </w:r>
      <w:r>
        <w:t>Povinnosti Zákazníka:</w:t>
      </w:r>
      <w:bookmarkEnd w:id="9"/>
    </w:p>
    <w:p w:rsidR="004B0593" w:rsidRDefault="006E348F">
      <w:pPr>
        <w:pStyle w:val="Bodytext20"/>
        <w:framePr w:w="9125" w:h="13059" w:hRule="exact" w:wrap="none" w:vAnchor="page" w:hAnchor="page" w:x="1331" w:y="1844"/>
        <w:numPr>
          <w:ilvl w:val="0"/>
          <w:numId w:val="3"/>
        </w:numPr>
        <w:shd w:val="clear" w:color="auto" w:fill="auto"/>
        <w:tabs>
          <w:tab w:val="left" w:pos="757"/>
        </w:tabs>
        <w:spacing w:before="0"/>
        <w:ind w:left="760" w:hanging="360"/>
      </w:pPr>
      <w:r>
        <w:t>Zákazník se zavazuje včasně hradit platby za služby dle této Smlouvy.</w:t>
      </w:r>
    </w:p>
    <w:p w:rsidR="004B0593" w:rsidRDefault="006E348F">
      <w:pPr>
        <w:pStyle w:val="Bodytext20"/>
        <w:framePr w:w="9125" w:h="13059" w:hRule="exact" w:wrap="none" w:vAnchor="page" w:hAnchor="page" w:x="1331" w:y="1844"/>
        <w:numPr>
          <w:ilvl w:val="0"/>
          <w:numId w:val="3"/>
        </w:numPr>
        <w:shd w:val="clear" w:color="auto" w:fill="auto"/>
        <w:tabs>
          <w:tab w:val="left" w:pos="757"/>
        </w:tabs>
        <w:spacing w:before="0"/>
        <w:ind w:left="760" w:hanging="360"/>
      </w:pPr>
      <w:r>
        <w:t>Zákazník je odpovědný za správu a údržbu software třetích stran (jako jsou účetní a výukové programy apod.) na virtuálním serveru, včetně zabezpečení a ochrany před útoky.</w:t>
      </w:r>
    </w:p>
    <w:p w:rsidR="004B0593" w:rsidRDefault="006E348F" w:rsidP="00EC3535">
      <w:pPr>
        <w:pStyle w:val="Bodytext20"/>
        <w:framePr w:w="9125" w:h="13059" w:hRule="exact" w:wrap="none" w:vAnchor="page" w:hAnchor="page" w:x="1331" w:y="1844"/>
        <w:numPr>
          <w:ilvl w:val="0"/>
          <w:numId w:val="3"/>
        </w:numPr>
        <w:shd w:val="clear" w:color="auto" w:fill="auto"/>
        <w:tabs>
          <w:tab w:val="left" w:pos="757"/>
        </w:tabs>
        <w:spacing w:before="0" w:line="220" w:lineRule="exact"/>
        <w:ind w:left="760" w:hanging="360"/>
      </w:pPr>
      <w:r>
        <w:t>Zákazník nesmí na serverech hostovat obsah porušující platné právní předpisy.</w:t>
      </w:r>
    </w:p>
    <w:p w:rsidR="004B0593" w:rsidRDefault="004B0593">
      <w:pPr>
        <w:rPr>
          <w:sz w:val="2"/>
          <w:szCs w:val="2"/>
        </w:rPr>
        <w:sectPr w:rsidR="004B059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B0593" w:rsidRDefault="006E348F">
      <w:pPr>
        <w:pStyle w:val="Bodytext20"/>
        <w:framePr w:w="9125" w:h="13900" w:hRule="exact" w:wrap="none" w:vAnchor="page" w:hAnchor="page" w:x="1331" w:y="1288"/>
        <w:numPr>
          <w:ilvl w:val="0"/>
          <w:numId w:val="3"/>
        </w:numPr>
        <w:shd w:val="clear" w:color="auto" w:fill="auto"/>
        <w:tabs>
          <w:tab w:val="left" w:pos="763"/>
        </w:tabs>
        <w:spacing w:before="0" w:line="278" w:lineRule="exact"/>
        <w:ind w:left="760" w:hanging="360"/>
      </w:pPr>
      <w:r>
        <w:lastRenderedPageBreak/>
        <w:t>Zákazník nesmí využívat služby k šíření závadného obsahu, provozovat na své službě závadný obsah anebo užívat služby k protiprávní činnost</w:t>
      </w:r>
      <w:r w:rsidR="00284383">
        <w:t>i</w:t>
      </w:r>
      <w:r>
        <w:t>.</w:t>
      </w:r>
    </w:p>
    <w:p w:rsidR="004B0593" w:rsidRDefault="006E348F">
      <w:pPr>
        <w:pStyle w:val="Bodytext20"/>
        <w:framePr w:w="9125" w:h="13900" w:hRule="exact" w:wrap="none" w:vAnchor="page" w:hAnchor="page" w:x="1331" w:y="1288"/>
        <w:numPr>
          <w:ilvl w:val="0"/>
          <w:numId w:val="3"/>
        </w:numPr>
        <w:shd w:val="clear" w:color="auto" w:fill="auto"/>
        <w:tabs>
          <w:tab w:val="left" w:pos="763"/>
        </w:tabs>
        <w:spacing w:before="0" w:line="278" w:lineRule="exact"/>
        <w:ind w:left="760" w:hanging="360"/>
      </w:pPr>
      <w:r>
        <w:t xml:space="preserve">Zákazník je povinen umožnit poskytovateli v přiměřené míře jak vzdálený, tak fyzický </w:t>
      </w:r>
      <w:r>
        <w:t>přístup k technologiím u poskytovatele instalovaným, učinit opatření za účelem ochrany majetku ve vlastnictví či držení poskytovatele před jeho poškozením, ztrátou, zcizením, zničením nebo zneužitím (zabránit nepovolaným osobám v manipulaci se zařízeními p</w:t>
      </w:r>
      <w:r>
        <w:t>oskytovatele apod.).</w:t>
      </w:r>
    </w:p>
    <w:p w:rsidR="004B0593" w:rsidRDefault="006E348F">
      <w:pPr>
        <w:pStyle w:val="Bodytext20"/>
        <w:framePr w:w="9125" w:h="13900" w:hRule="exact" w:wrap="none" w:vAnchor="page" w:hAnchor="page" w:x="1331" w:y="1288"/>
        <w:numPr>
          <w:ilvl w:val="0"/>
          <w:numId w:val="3"/>
        </w:numPr>
        <w:shd w:val="clear" w:color="auto" w:fill="auto"/>
        <w:tabs>
          <w:tab w:val="left" w:pos="763"/>
        </w:tabs>
        <w:spacing w:before="0"/>
        <w:ind w:left="760" w:hanging="360"/>
      </w:pPr>
      <w:r>
        <w:t>Zákazník nesmí šířit SPAM a ani umožňovat jeho šíření prostřednictvím služeb využívaných u poskytovatele, jinak hrozí okamžitá izolace napadaného stroje.</w:t>
      </w:r>
    </w:p>
    <w:p w:rsidR="004B0593" w:rsidRDefault="006E348F">
      <w:pPr>
        <w:pStyle w:val="Bodytext20"/>
        <w:framePr w:w="9125" w:h="13900" w:hRule="exact" w:wrap="none" w:vAnchor="page" w:hAnchor="page" w:x="1331" w:y="1288"/>
        <w:numPr>
          <w:ilvl w:val="0"/>
          <w:numId w:val="3"/>
        </w:numPr>
        <w:shd w:val="clear" w:color="auto" w:fill="auto"/>
        <w:tabs>
          <w:tab w:val="left" w:pos="763"/>
        </w:tabs>
        <w:spacing w:before="0"/>
        <w:ind w:left="760" w:hanging="360"/>
      </w:pPr>
      <w:r>
        <w:t xml:space="preserve">Právo zákazníka volně nakládat se službami, případně je měnit může být ze strany </w:t>
      </w:r>
      <w:r>
        <w:t>poskytovatele dočasně omezeno, jestliže:</w:t>
      </w:r>
    </w:p>
    <w:p w:rsidR="00EC3535" w:rsidRDefault="006E348F" w:rsidP="00EC3535">
      <w:pPr>
        <w:pStyle w:val="Bodytext20"/>
        <w:framePr w:w="9125" w:h="13900" w:hRule="exact" w:wrap="none" w:vAnchor="page" w:hAnchor="page" w:x="1331" w:y="1288"/>
        <w:numPr>
          <w:ilvl w:val="0"/>
          <w:numId w:val="9"/>
        </w:numPr>
        <w:shd w:val="clear" w:color="auto" w:fill="auto"/>
        <w:spacing w:before="0"/>
        <w:jc w:val="left"/>
      </w:pPr>
      <w:r>
        <w:t xml:space="preserve">Poskytovatel má důvodné podezření z nelegálního nakládání se službami anebo ze závažného porušení práv třetích osob v souvislosti s </w:t>
      </w:r>
      <w:r w:rsidR="00EC3535">
        <w:t>p</w:t>
      </w:r>
      <w:r>
        <w:t xml:space="preserve">oskytováním služby na straně zákazníka, </w:t>
      </w:r>
    </w:p>
    <w:p w:rsidR="004B0593" w:rsidRDefault="006E348F" w:rsidP="00EC3535">
      <w:pPr>
        <w:pStyle w:val="Bodytext20"/>
        <w:framePr w:w="9125" w:h="13900" w:hRule="exact" w:wrap="none" w:vAnchor="page" w:hAnchor="page" w:x="1331" w:y="1288"/>
        <w:numPr>
          <w:ilvl w:val="0"/>
          <w:numId w:val="9"/>
        </w:numPr>
        <w:shd w:val="clear" w:color="auto" w:fill="auto"/>
        <w:spacing w:before="0"/>
        <w:jc w:val="left"/>
      </w:pPr>
      <w:r>
        <w:rPr>
          <w:rStyle w:val="Bodytext295pt"/>
        </w:rPr>
        <w:t xml:space="preserve"> </w:t>
      </w:r>
      <w:r>
        <w:t>nařízení orgánů veřejné moci omezuje n</w:t>
      </w:r>
      <w:r>
        <w:t>akládání se službami.</w:t>
      </w:r>
    </w:p>
    <w:p w:rsidR="004B0593" w:rsidRDefault="006E348F" w:rsidP="00961A59">
      <w:pPr>
        <w:pStyle w:val="Bodytext20"/>
        <w:framePr w:w="9125" w:h="13900" w:hRule="exact" w:wrap="none" w:vAnchor="page" w:hAnchor="page" w:x="1331" w:y="1288"/>
        <w:numPr>
          <w:ilvl w:val="0"/>
          <w:numId w:val="3"/>
        </w:numPr>
        <w:shd w:val="clear" w:color="auto" w:fill="auto"/>
        <w:tabs>
          <w:tab w:val="left" w:pos="763"/>
        </w:tabs>
        <w:spacing w:before="0" w:after="279" w:line="269" w:lineRule="exact"/>
        <w:ind w:left="760" w:hanging="360"/>
      </w:pPr>
      <w:r>
        <w:t xml:space="preserve">Zákazník se zavazuje písemně oznámit poskytovateli veškeré změny svých identifikačních, fakturačních a kontaktních údajů poskytnutých při objednávce </w:t>
      </w:r>
      <w:r>
        <w:t>Služby, do deseti (10) dnů od okamžiku, kdy změna nastala. V případě nesplnění této p</w:t>
      </w:r>
      <w:r>
        <w:t>ovinností nese zákazník odpovědnost za vzniklou škodu či nekvalitu poskytnutých služeb, které tím jsou přímo dotčeny.</w:t>
      </w:r>
      <w:r w:rsidR="00284383">
        <w:br/>
      </w:r>
    </w:p>
    <w:p w:rsidR="004B0593" w:rsidRDefault="006E348F">
      <w:pPr>
        <w:pStyle w:val="Heading10"/>
        <w:framePr w:w="9125" w:h="13900" w:hRule="exact" w:wrap="none" w:vAnchor="page" w:hAnchor="page" w:x="1331" w:y="1288"/>
        <w:numPr>
          <w:ilvl w:val="0"/>
          <w:numId w:val="1"/>
        </w:numPr>
        <w:shd w:val="clear" w:color="auto" w:fill="auto"/>
        <w:tabs>
          <w:tab w:val="left" w:pos="2899"/>
        </w:tabs>
        <w:spacing w:after="252" w:line="220" w:lineRule="exact"/>
        <w:ind w:left="2500" w:firstLine="0"/>
        <w:jc w:val="both"/>
      </w:pPr>
      <w:bookmarkStart w:id="10" w:name="bookmark9"/>
      <w:r>
        <w:t>Ochrana osobních údajů a GDPR</w:t>
      </w:r>
      <w:bookmarkEnd w:id="10"/>
    </w:p>
    <w:p w:rsidR="004B0593" w:rsidRDefault="006E348F">
      <w:pPr>
        <w:pStyle w:val="Bodytext20"/>
        <w:framePr w:w="9125" w:h="13900" w:hRule="exact" w:wrap="none" w:vAnchor="page" w:hAnchor="page" w:x="1331" w:y="1288"/>
        <w:numPr>
          <w:ilvl w:val="0"/>
          <w:numId w:val="5"/>
        </w:numPr>
        <w:shd w:val="clear" w:color="auto" w:fill="auto"/>
        <w:tabs>
          <w:tab w:val="left" w:pos="763"/>
        </w:tabs>
        <w:spacing w:before="0" w:after="116" w:line="307" w:lineRule="exact"/>
        <w:ind w:left="760" w:hanging="360"/>
      </w:pPr>
      <w:r>
        <w:t xml:space="preserve">Obě strany budou dodržovat všechny povinnosti vyplývající z nařízení Evropského parlamentu a Rady (EU) </w:t>
      </w:r>
      <w:r>
        <w:t>2016/679 (GDPR), týkající se ochrany osobních údajů.</w:t>
      </w:r>
    </w:p>
    <w:p w:rsidR="004B0593" w:rsidRDefault="006E348F">
      <w:pPr>
        <w:pStyle w:val="Bodytext20"/>
        <w:framePr w:w="9125" w:h="13900" w:hRule="exact" w:wrap="none" w:vAnchor="page" w:hAnchor="page" w:x="1331" w:y="1288"/>
        <w:numPr>
          <w:ilvl w:val="0"/>
          <w:numId w:val="5"/>
        </w:numPr>
        <w:shd w:val="clear" w:color="auto" w:fill="auto"/>
        <w:tabs>
          <w:tab w:val="left" w:pos="763"/>
        </w:tabs>
        <w:spacing w:before="0" w:after="120" w:line="312" w:lineRule="exact"/>
        <w:ind w:left="760" w:hanging="360"/>
      </w:pPr>
      <w:r>
        <w:t>Poskytovatel bude zpracovávat osobní údaje v rozsahu nezbytném pro poskytování služeb podle této Smlouvy a bude je chránit před neoprávněným přístupem.</w:t>
      </w:r>
    </w:p>
    <w:p w:rsidR="004B0593" w:rsidRDefault="006E348F">
      <w:pPr>
        <w:pStyle w:val="Bodytext20"/>
        <w:framePr w:w="9125" w:h="13900" w:hRule="exact" w:wrap="none" w:vAnchor="page" w:hAnchor="page" w:x="1331" w:y="1288"/>
        <w:numPr>
          <w:ilvl w:val="0"/>
          <w:numId w:val="5"/>
        </w:numPr>
        <w:shd w:val="clear" w:color="auto" w:fill="auto"/>
        <w:tabs>
          <w:tab w:val="left" w:pos="763"/>
        </w:tabs>
        <w:spacing w:before="0" w:after="314" w:line="312" w:lineRule="exact"/>
        <w:ind w:left="760" w:hanging="360"/>
      </w:pPr>
      <w:r>
        <w:t>Poskytovatel a zákazník se zavazují, že osobní údaj</w:t>
      </w:r>
      <w:r>
        <w:t>e budou zpracovány pouze po dobu trvání této smlouvy a v souladu s platnými právními předpisy.</w:t>
      </w:r>
      <w:r w:rsidR="00284383">
        <w:br/>
      </w:r>
    </w:p>
    <w:p w:rsidR="004B0593" w:rsidRDefault="006E348F">
      <w:pPr>
        <w:pStyle w:val="Heading10"/>
        <w:framePr w:w="9125" w:h="13900" w:hRule="exact" w:wrap="none" w:vAnchor="page" w:hAnchor="page" w:x="1331" w:y="1288"/>
        <w:numPr>
          <w:ilvl w:val="0"/>
          <w:numId w:val="1"/>
        </w:numPr>
        <w:shd w:val="clear" w:color="auto" w:fill="auto"/>
        <w:tabs>
          <w:tab w:val="left" w:pos="3462"/>
        </w:tabs>
        <w:spacing w:after="244" w:line="220" w:lineRule="exact"/>
        <w:ind w:left="3120" w:firstLine="0"/>
        <w:jc w:val="both"/>
      </w:pPr>
      <w:bookmarkStart w:id="11" w:name="bookmark10"/>
      <w:r>
        <w:t>Záruky a odpovědnost</w:t>
      </w:r>
      <w:bookmarkEnd w:id="11"/>
    </w:p>
    <w:p w:rsidR="004B0593" w:rsidRDefault="006E348F">
      <w:pPr>
        <w:pStyle w:val="Bodytext20"/>
        <w:framePr w:w="9125" w:h="13900" w:hRule="exact" w:wrap="none" w:vAnchor="page" w:hAnchor="page" w:x="1331" w:y="1288"/>
        <w:numPr>
          <w:ilvl w:val="0"/>
          <w:numId w:val="6"/>
        </w:numPr>
        <w:shd w:val="clear" w:color="auto" w:fill="auto"/>
        <w:tabs>
          <w:tab w:val="left" w:pos="763"/>
        </w:tabs>
        <w:spacing w:before="0" w:after="124" w:line="312" w:lineRule="exact"/>
        <w:ind w:left="760" w:hanging="360"/>
      </w:pPr>
      <w:r>
        <w:t xml:space="preserve">Poskytovatel nenese odpovědnost za ztrátu nebo poškození dat zákazníka, pokud tato ztráta vznikla v důsledku nedodržení bezpečnostních </w:t>
      </w:r>
      <w:r>
        <w:t>opatření zákazníkem.</w:t>
      </w:r>
    </w:p>
    <w:p w:rsidR="004B0593" w:rsidRDefault="006E348F">
      <w:pPr>
        <w:pStyle w:val="Bodytext20"/>
        <w:framePr w:w="9125" w:h="13900" w:hRule="exact" w:wrap="none" w:vAnchor="page" w:hAnchor="page" w:x="1331" w:y="1288"/>
        <w:numPr>
          <w:ilvl w:val="0"/>
          <w:numId w:val="6"/>
        </w:numPr>
        <w:shd w:val="clear" w:color="auto" w:fill="auto"/>
        <w:tabs>
          <w:tab w:val="left" w:pos="763"/>
        </w:tabs>
        <w:spacing w:before="0" w:after="151" w:line="307" w:lineRule="exact"/>
        <w:ind w:left="760" w:hanging="360"/>
      </w:pPr>
      <w:r>
        <w:t>Poskytovatel neodpovídá za jakékoli nepřímé nebo následné škody, které mohou vzniknout v souvislosti s využíváním služeb.</w:t>
      </w:r>
    </w:p>
    <w:p w:rsidR="00961A59" w:rsidRDefault="006E348F" w:rsidP="00961A59">
      <w:pPr>
        <w:pStyle w:val="Bodytext20"/>
        <w:framePr w:w="9125" w:h="13900" w:hRule="exact" w:wrap="none" w:vAnchor="page" w:hAnchor="page" w:x="1331" w:y="1288"/>
        <w:shd w:val="clear" w:color="auto" w:fill="auto"/>
        <w:tabs>
          <w:tab w:val="left" w:pos="1123"/>
        </w:tabs>
        <w:spacing w:before="0" w:line="269" w:lineRule="exact"/>
        <w:ind w:left="760" w:firstLine="0"/>
      </w:pPr>
      <w:r>
        <w:t>Poskytovatel nenese odpovědnost za přerušení poskytování služeb zákazníkovi v případě zásahu třetích osob či vyšš</w:t>
      </w:r>
      <w:r>
        <w:t>í moci (zejména povodeň, požár, vítr, válka, teroristický útok, zemětřesení apod.) nebo v případě poruchy na zařízení třetích osob (zejména rozsáhlý a dlouhodobý výpadek dodávky elektřiny, telekomunikačního spojení, nedostupnosti veřejné datové sítě, nedos</w:t>
      </w:r>
      <w:r>
        <w:t>tupnost d</w:t>
      </w:r>
      <w:r w:rsidR="00284383">
        <w:t>atových tras třetích stran, atd.</w:t>
      </w:r>
      <w:r>
        <w:t>), pokud těmto skutečnostem prokazatelně nebylo možno zabránit nebo nebyly způsobeny úmyslně či hrubou</w:t>
      </w:r>
      <w:r w:rsidR="00284383">
        <w:t xml:space="preserve"> </w:t>
      </w:r>
      <w:r w:rsidR="00284383">
        <w:t>nedbalostí poskytovatele anebo byly</w:t>
      </w:r>
      <w:r w:rsidR="00284383">
        <w:t xml:space="preserve"> </w:t>
      </w:r>
      <w:r w:rsidR="00284383">
        <w:t>způsobeny</w:t>
      </w:r>
      <w:r w:rsidR="00961A59" w:rsidRPr="00961A59">
        <w:t xml:space="preserve"> </w:t>
      </w:r>
      <w:r w:rsidR="00961A59">
        <w:t>neodvratitelnou událostí nemající původ v poskytování služby.</w:t>
      </w:r>
    </w:p>
    <w:p w:rsidR="004B0593" w:rsidRDefault="004B0593" w:rsidP="005905BD">
      <w:pPr>
        <w:pStyle w:val="Bodytext20"/>
        <w:framePr w:w="9125" w:h="13900" w:hRule="exact" w:wrap="none" w:vAnchor="page" w:hAnchor="page" w:x="1331" w:y="1288"/>
        <w:shd w:val="clear" w:color="auto" w:fill="auto"/>
        <w:tabs>
          <w:tab w:val="left" w:pos="763"/>
        </w:tabs>
        <w:spacing w:before="0" w:line="269" w:lineRule="exact"/>
        <w:ind w:left="760" w:firstLine="0"/>
      </w:pPr>
    </w:p>
    <w:p w:rsidR="004B0593" w:rsidRDefault="004B0593">
      <w:pPr>
        <w:rPr>
          <w:sz w:val="2"/>
          <w:szCs w:val="2"/>
        </w:rPr>
        <w:sectPr w:rsidR="004B059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B0593" w:rsidRDefault="006E348F" w:rsidP="005905BD">
      <w:pPr>
        <w:pStyle w:val="Bodytext20"/>
        <w:framePr w:w="9125" w:h="2045" w:hRule="exact" w:wrap="none" w:vAnchor="page" w:hAnchor="page" w:x="1126" w:y="1246"/>
        <w:numPr>
          <w:ilvl w:val="0"/>
          <w:numId w:val="6"/>
        </w:numPr>
        <w:shd w:val="clear" w:color="auto" w:fill="auto"/>
        <w:tabs>
          <w:tab w:val="left" w:pos="757"/>
        </w:tabs>
        <w:spacing w:before="0"/>
        <w:ind w:left="760" w:hanging="360"/>
      </w:pPr>
      <w:r>
        <w:lastRenderedPageBreak/>
        <w:t>Smluvní strany souhlasí a berou na vědomí, že není-li ve smlouvě stanoveno jinak, má poškozená smluvní strana nárok na náhradu újmy vzniklé činností či opomenutím druhé smluvní strany v souvislosti s plněním dle smlouvy. Strany mají nár</w:t>
      </w:r>
      <w:r>
        <w:t>ok na náhradu škody ve výši skutečné prokázané škody, nikoliv ušlý zisk.</w:t>
      </w:r>
    </w:p>
    <w:p w:rsidR="004B0593" w:rsidRDefault="006E348F" w:rsidP="005905BD">
      <w:pPr>
        <w:pStyle w:val="Bodytext20"/>
        <w:framePr w:w="9125" w:h="2045" w:hRule="exact" w:wrap="none" w:vAnchor="page" w:hAnchor="page" w:x="1126" w:y="1246"/>
        <w:numPr>
          <w:ilvl w:val="0"/>
          <w:numId w:val="6"/>
        </w:numPr>
        <w:shd w:val="clear" w:color="auto" w:fill="auto"/>
        <w:tabs>
          <w:tab w:val="left" w:pos="757"/>
        </w:tabs>
        <w:spacing w:before="0" w:line="322" w:lineRule="exact"/>
        <w:ind w:left="760" w:hanging="360"/>
      </w:pPr>
      <w:r>
        <w:t>Maximální výše úhrady veškeré újmy ze strany poskytovatele zákazníkovi je stanovena na dvounásobek (2x) měsíční úhrady za službu.</w:t>
      </w:r>
    </w:p>
    <w:p w:rsidR="004B0593" w:rsidRDefault="006E348F" w:rsidP="005905BD">
      <w:pPr>
        <w:pStyle w:val="Bodytext20"/>
        <w:framePr w:w="9125" w:h="7366" w:hRule="exact" w:wrap="none" w:vAnchor="page" w:hAnchor="page" w:x="1171" w:y="4711"/>
        <w:numPr>
          <w:ilvl w:val="0"/>
          <w:numId w:val="7"/>
        </w:numPr>
        <w:shd w:val="clear" w:color="auto" w:fill="auto"/>
        <w:tabs>
          <w:tab w:val="left" w:pos="757"/>
        </w:tabs>
        <w:spacing w:before="0" w:line="269" w:lineRule="exact"/>
        <w:ind w:left="760" w:hanging="360"/>
      </w:pPr>
      <w:r>
        <w:t>Tato smlouva nabývá platnosti a účinnosti od 1.2.2025</w:t>
      </w:r>
      <w:r>
        <w:t xml:space="preserve"> a je uzavřena na dobu neurčitou.</w:t>
      </w:r>
    </w:p>
    <w:p w:rsidR="004B0593" w:rsidRDefault="006E348F" w:rsidP="005905BD">
      <w:pPr>
        <w:pStyle w:val="Bodytext20"/>
        <w:framePr w:w="9125" w:h="7366" w:hRule="exact" w:wrap="none" w:vAnchor="page" w:hAnchor="page" w:x="1171" w:y="4711"/>
        <w:numPr>
          <w:ilvl w:val="0"/>
          <w:numId w:val="7"/>
        </w:numPr>
        <w:shd w:val="clear" w:color="auto" w:fill="auto"/>
        <w:tabs>
          <w:tab w:val="left" w:pos="757"/>
        </w:tabs>
        <w:spacing w:before="0" w:line="269" w:lineRule="exact"/>
        <w:ind w:left="760" w:hanging="360"/>
      </w:pPr>
      <w:r>
        <w:t>Kterákoliv smluvní strana má právo tuto smlouvu vypovědět písemnou výpovědí s výpovědní lhůtou 6 měsíců, která počíná běžet prvního dne měsíce následujícího po měsíci, ve kterém je výpověď doručena druhé smluvní straně.</w:t>
      </w:r>
    </w:p>
    <w:p w:rsidR="004B0593" w:rsidRDefault="006E348F" w:rsidP="005905BD">
      <w:pPr>
        <w:pStyle w:val="Bodytext20"/>
        <w:framePr w:w="9125" w:h="7366" w:hRule="exact" w:wrap="none" w:vAnchor="page" w:hAnchor="page" w:x="1171" w:y="4711"/>
        <w:numPr>
          <w:ilvl w:val="0"/>
          <w:numId w:val="7"/>
        </w:numPr>
        <w:shd w:val="clear" w:color="auto" w:fill="auto"/>
        <w:spacing w:before="0" w:line="269" w:lineRule="exact"/>
        <w:ind w:left="760" w:hanging="360"/>
      </w:pPr>
      <w:r>
        <w:t xml:space="preserve"> S</w:t>
      </w:r>
      <w:r>
        <w:t>mluvní strany se dohodly, že tato smlouva a její platnost se budou řídit právními předpisy České republiky, a to zejména občanským zákoníkem v platném znění.</w:t>
      </w:r>
    </w:p>
    <w:p w:rsidR="004B0593" w:rsidRDefault="006E348F" w:rsidP="005905BD">
      <w:pPr>
        <w:pStyle w:val="Bodytext20"/>
        <w:framePr w:w="9125" w:h="7366" w:hRule="exact" w:wrap="none" w:vAnchor="page" w:hAnchor="page" w:x="1171" w:y="4711"/>
        <w:numPr>
          <w:ilvl w:val="0"/>
          <w:numId w:val="7"/>
        </w:numPr>
        <w:shd w:val="clear" w:color="auto" w:fill="auto"/>
        <w:tabs>
          <w:tab w:val="left" w:pos="757"/>
        </w:tabs>
        <w:spacing w:before="0" w:line="269" w:lineRule="exact"/>
        <w:ind w:left="760" w:hanging="360"/>
      </w:pPr>
      <w:r>
        <w:t xml:space="preserve">Smluvní strany se zavazují, že pokud se kterékoli ustanovení této smlouvy nebo s ní související </w:t>
      </w:r>
      <w:r>
        <w:t xml:space="preserve">ujednání či jakákoli její část ukáží být neplatnými či se neplatnými stanou, neovlivní tato skutečnost platnost smlouvy jako takové. V takovém případě se strany zavazují nahradit neplatné ustanovení ustanovením platným, které se svým účelem nejvíce podobá </w:t>
      </w:r>
      <w:r>
        <w:t>neplatnému ustanovení.</w:t>
      </w:r>
    </w:p>
    <w:p w:rsidR="004B0593" w:rsidRDefault="006E348F" w:rsidP="005905BD">
      <w:pPr>
        <w:pStyle w:val="Bodytext20"/>
        <w:framePr w:w="9125" w:h="7366" w:hRule="exact" w:wrap="none" w:vAnchor="page" w:hAnchor="page" w:x="1171" w:y="4711"/>
        <w:numPr>
          <w:ilvl w:val="0"/>
          <w:numId w:val="7"/>
        </w:numPr>
        <w:shd w:val="clear" w:color="auto" w:fill="auto"/>
        <w:tabs>
          <w:tab w:val="left" w:pos="757"/>
        </w:tabs>
        <w:spacing w:before="0" w:line="269" w:lineRule="exact"/>
        <w:ind w:left="760" w:hanging="360"/>
      </w:pPr>
      <w:r>
        <w:t>Tato smlouva může být měněna pouze písemnými očíslovanými dodatky, a to po vzájemném konsenzu obou smluvních stran.</w:t>
      </w:r>
    </w:p>
    <w:p w:rsidR="004B0593" w:rsidRDefault="006E348F" w:rsidP="005905BD">
      <w:pPr>
        <w:pStyle w:val="Bodytext20"/>
        <w:framePr w:w="9125" w:h="7366" w:hRule="exact" w:wrap="none" w:vAnchor="page" w:hAnchor="page" w:x="1171" w:y="4711"/>
        <w:numPr>
          <w:ilvl w:val="0"/>
          <w:numId w:val="7"/>
        </w:numPr>
        <w:shd w:val="clear" w:color="auto" w:fill="auto"/>
        <w:tabs>
          <w:tab w:val="left" w:pos="757"/>
        </w:tabs>
        <w:spacing w:before="0" w:line="269" w:lineRule="exact"/>
        <w:ind w:left="760" w:hanging="360"/>
      </w:pPr>
      <w:r>
        <w:t>Tato smlouva je vyhotovena ve dvou (2) výtiscích, z nichž po jednom (1) obdrží každá ze smluvních stran.</w:t>
      </w:r>
    </w:p>
    <w:p w:rsidR="004B0593" w:rsidRDefault="006E348F" w:rsidP="005905BD">
      <w:pPr>
        <w:pStyle w:val="Bodytext20"/>
        <w:framePr w:w="9125" w:h="7366" w:hRule="exact" w:wrap="none" w:vAnchor="page" w:hAnchor="page" w:x="1171" w:y="4711"/>
        <w:numPr>
          <w:ilvl w:val="0"/>
          <w:numId w:val="7"/>
        </w:numPr>
        <w:shd w:val="clear" w:color="auto" w:fill="auto"/>
        <w:tabs>
          <w:tab w:val="left" w:pos="757"/>
        </w:tabs>
        <w:spacing w:before="0" w:line="269" w:lineRule="exact"/>
        <w:ind w:left="760" w:hanging="360"/>
      </w:pPr>
      <w:r>
        <w:t>Smluvní stra</w:t>
      </w:r>
      <w:r>
        <w:t>ny prohlašují, že si tuto smlouvu před jejím podpisem přečetly, souhlasí s jejím obsahem, dále prohlašují, že byla uzavřena po vzájemném projednání na základě jejich pravé a svobodné vůle, určitě, vážně a srozumitelně, nikoli v tísni ani za nápadně jednost</w:t>
      </w:r>
      <w:r>
        <w:t>ranně nevýhodných podmínek, což vše stvrzují svými podpisy.</w:t>
      </w:r>
    </w:p>
    <w:p w:rsidR="00EC3535" w:rsidRDefault="00EC3535" w:rsidP="005905BD">
      <w:pPr>
        <w:pStyle w:val="Bodytext20"/>
        <w:framePr w:w="9125" w:h="7366" w:hRule="exact" w:wrap="none" w:vAnchor="page" w:hAnchor="page" w:x="1171" w:y="4711"/>
        <w:shd w:val="clear" w:color="auto" w:fill="auto"/>
        <w:tabs>
          <w:tab w:val="left" w:pos="757"/>
        </w:tabs>
        <w:spacing w:before="0" w:line="269" w:lineRule="exact"/>
        <w:ind w:firstLine="0"/>
      </w:pPr>
    </w:p>
    <w:p w:rsidR="00EC3535" w:rsidRDefault="00EC3535" w:rsidP="005905BD">
      <w:pPr>
        <w:pStyle w:val="Bodytext20"/>
        <w:framePr w:w="9125" w:h="7366" w:hRule="exact" w:wrap="none" w:vAnchor="page" w:hAnchor="page" w:x="1171" w:y="4711"/>
        <w:shd w:val="clear" w:color="auto" w:fill="auto"/>
        <w:tabs>
          <w:tab w:val="left" w:pos="757"/>
        </w:tabs>
        <w:spacing w:before="0" w:line="269" w:lineRule="exact"/>
        <w:ind w:firstLine="0"/>
      </w:pPr>
    </w:p>
    <w:p w:rsidR="00EC3535" w:rsidRDefault="00EC3535" w:rsidP="005905BD">
      <w:pPr>
        <w:pStyle w:val="Bodytext20"/>
        <w:framePr w:w="9125" w:h="7366" w:hRule="exact" w:wrap="none" w:vAnchor="page" w:hAnchor="page" w:x="1171" w:y="4711"/>
        <w:shd w:val="clear" w:color="auto" w:fill="auto"/>
        <w:tabs>
          <w:tab w:val="left" w:pos="757"/>
        </w:tabs>
        <w:spacing w:before="0" w:line="269" w:lineRule="exact"/>
        <w:ind w:firstLine="0"/>
      </w:pPr>
    </w:p>
    <w:p w:rsidR="00EC3535" w:rsidRDefault="00EC3535" w:rsidP="005905BD">
      <w:pPr>
        <w:pStyle w:val="Bodytext20"/>
        <w:framePr w:w="9125" w:h="7366" w:hRule="exact" w:wrap="none" w:vAnchor="page" w:hAnchor="page" w:x="1171" w:y="4711"/>
        <w:shd w:val="clear" w:color="auto" w:fill="auto"/>
        <w:tabs>
          <w:tab w:val="left" w:pos="757"/>
        </w:tabs>
        <w:spacing w:before="0" w:line="269" w:lineRule="exact"/>
        <w:ind w:firstLine="0"/>
      </w:pPr>
    </w:p>
    <w:p w:rsidR="005905BD" w:rsidRDefault="005905BD" w:rsidP="005905BD">
      <w:pPr>
        <w:pStyle w:val="Bodytext20"/>
        <w:framePr w:w="9125" w:h="7366" w:hRule="exact" w:wrap="none" w:vAnchor="page" w:hAnchor="page" w:x="1171" w:y="4711"/>
        <w:shd w:val="clear" w:color="auto" w:fill="auto"/>
        <w:tabs>
          <w:tab w:val="left" w:pos="757"/>
        </w:tabs>
        <w:spacing w:before="0" w:line="269" w:lineRule="exact"/>
        <w:ind w:firstLine="0"/>
      </w:pPr>
    </w:p>
    <w:p w:rsidR="00EC3535" w:rsidRDefault="00EC3535" w:rsidP="005905BD">
      <w:pPr>
        <w:pStyle w:val="Bodytext20"/>
        <w:framePr w:w="9125" w:h="7366" w:hRule="exact" w:wrap="none" w:vAnchor="page" w:hAnchor="page" w:x="1171" w:y="4711"/>
        <w:shd w:val="clear" w:color="auto" w:fill="auto"/>
        <w:tabs>
          <w:tab w:val="left" w:pos="757"/>
        </w:tabs>
        <w:spacing w:before="0" w:line="269" w:lineRule="exact"/>
        <w:ind w:left="709" w:firstLine="0"/>
      </w:pPr>
      <w:r>
        <w:t>V Kadani dne 3.2.2025</w:t>
      </w:r>
    </w:p>
    <w:p w:rsidR="004B0593" w:rsidRDefault="004B0593">
      <w:pPr>
        <w:framePr w:wrap="none" w:vAnchor="page" w:hAnchor="page" w:x="1909" w:y="12089"/>
      </w:pPr>
    </w:p>
    <w:p w:rsidR="004B0593" w:rsidRDefault="006E348F" w:rsidP="005905BD">
      <w:pPr>
        <w:pStyle w:val="Heading10"/>
        <w:framePr w:wrap="none" w:vAnchor="page" w:hAnchor="page" w:x="1696" w:y="4156"/>
        <w:numPr>
          <w:ilvl w:val="0"/>
          <w:numId w:val="1"/>
        </w:numPr>
        <w:shd w:val="clear" w:color="auto" w:fill="auto"/>
        <w:tabs>
          <w:tab w:val="left" w:pos="3534"/>
        </w:tabs>
        <w:spacing w:after="0" w:line="220" w:lineRule="exact"/>
        <w:ind w:left="3120" w:firstLine="0"/>
        <w:jc w:val="both"/>
      </w:pPr>
      <w:bookmarkStart w:id="12" w:name="bookmark11"/>
      <w:r>
        <w:t>Závěrečná ustanovení</w:t>
      </w:r>
      <w:bookmarkEnd w:id="12"/>
    </w:p>
    <w:p w:rsidR="004B0593" w:rsidRDefault="004B0593">
      <w:pPr>
        <w:rPr>
          <w:sz w:val="2"/>
          <w:szCs w:val="2"/>
        </w:rPr>
      </w:pPr>
    </w:p>
    <w:sectPr w:rsidR="004B059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48F" w:rsidRDefault="006E348F">
      <w:r>
        <w:separator/>
      </w:r>
    </w:p>
  </w:endnote>
  <w:endnote w:type="continuationSeparator" w:id="0">
    <w:p w:rsidR="006E348F" w:rsidRDefault="006E3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48F" w:rsidRDefault="006E348F"/>
  </w:footnote>
  <w:footnote w:type="continuationSeparator" w:id="0">
    <w:p w:rsidR="006E348F" w:rsidRDefault="006E34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93A6B"/>
    <w:multiLevelType w:val="multilevel"/>
    <w:tmpl w:val="CA9EC67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75537F"/>
    <w:multiLevelType w:val="multilevel"/>
    <w:tmpl w:val="CBA0576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C92640"/>
    <w:multiLevelType w:val="multilevel"/>
    <w:tmpl w:val="2CD442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CD7B73"/>
    <w:multiLevelType w:val="multilevel"/>
    <w:tmpl w:val="877049F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7923B1"/>
    <w:multiLevelType w:val="multilevel"/>
    <w:tmpl w:val="E020ECC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626242"/>
    <w:multiLevelType w:val="multilevel"/>
    <w:tmpl w:val="983A6F18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5F76926"/>
    <w:multiLevelType w:val="multilevel"/>
    <w:tmpl w:val="37841C3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8D13C73"/>
    <w:multiLevelType w:val="hybridMultilevel"/>
    <w:tmpl w:val="AF667BA0"/>
    <w:lvl w:ilvl="0" w:tplc="04050003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8" w15:restartNumberingAfterBreak="0">
    <w:nsid w:val="7E7651DE"/>
    <w:multiLevelType w:val="hybridMultilevel"/>
    <w:tmpl w:val="DDBAB2D4"/>
    <w:lvl w:ilvl="0" w:tplc="04050003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B0593"/>
    <w:rsid w:val="00284383"/>
    <w:rsid w:val="004B0593"/>
    <w:rsid w:val="005905BD"/>
    <w:rsid w:val="006E348F"/>
    <w:rsid w:val="00961A59"/>
    <w:rsid w:val="00EC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AFECB"/>
  <w15:docId w15:val="{627B5A68-A2CC-4C9D-ADD3-A27D5198E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NotBold">
    <w:name w:val="Body text (3) + Not Bold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395ptNotBold">
    <w:name w:val="Body text (3) + 9;5 pt;Not Bold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ing1NotBold">
    <w:name w:val="Heading #1 + Not Bold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95pt">
    <w:name w:val="Body text (2) + 9;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Other">
    <w:name w:val="Other_"/>
    <w:basedOn w:val="Standardnpsmoodstavce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2">
    <w:name w:val="Picture caption (2)_"/>
    <w:basedOn w:val="Standardnpsmoodstavce"/>
    <w:link w:val="Picturecaption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Picturecaption21">
    <w:name w:val="Picture caption (2)"/>
    <w:basedOn w:val="Picturecaption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1">
    <w:name w:val="Picture caption"/>
    <w:basedOn w:val="Picturecaption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Picturecaption10ptSpacing3pt">
    <w:name w:val="Picture caption + 10 pt;Spacing 3 pt"/>
    <w:basedOn w:val="Picturecaption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1">
    <w:name w:val="Body text (4)"/>
    <w:basedOn w:val="Body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300" w:line="0" w:lineRule="atLeast"/>
      <w:ind w:hanging="760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660" w:line="274" w:lineRule="exact"/>
      <w:ind w:hanging="760"/>
      <w:jc w:val="both"/>
    </w:pPr>
    <w:rPr>
      <w:rFonts w:ascii="Arial" w:eastAsia="Arial" w:hAnsi="Arial" w:cs="Arial"/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274" w:lineRule="exact"/>
      <w:ind w:hanging="760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Other0">
    <w:name w:val="Other"/>
    <w:basedOn w:val="Normln"/>
    <w:link w:val="Other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icturecaption20">
    <w:name w:val="Picture caption (2)"/>
    <w:basedOn w:val="Normln"/>
    <w:link w:val="Picturecaption2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245" w:lineRule="exact"/>
      <w:jc w:val="center"/>
    </w:pPr>
    <w:rPr>
      <w:rFonts w:ascii="Arial" w:eastAsia="Arial" w:hAnsi="Arial" w:cs="Arial"/>
      <w:sz w:val="19"/>
      <w:szCs w:val="19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211" w:lineRule="exact"/>
      <w:jc w:val="center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1335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Martina Dvořáková</cp:lastModifiedBy>
  <cp:revision>3</cp:revision>
  <dcterms:created xsi:type="dcterms:W3CDTF">2025-02-12T10:31:00Z</dcterms:created>
  <dcterms:modified xsi:type="dcterms:W3CDTF">2025-02-12T10:54:00Z</dcterms:modified>
</cp:coreProperties>
</file>