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10AFE395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Společnost: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 w:rsidRPr="00E8620C">
        <w:rPr>
          <w:rFonts w:eastAsia="Times New Roman"/>
          <w:b/>
          <w:sz w:val="20"/>
          <w:szCs w:val="20"/>
          <w:lang w:eastAsia="cs-CZ"/>
        </w:rPr>
        <w:t>PANEP s.r.o.</w:t>
      </w:r>
      <w:r w:rsidR="00E8620C">
        <w:rPr>
          <w:rFonts w:eastAsia="Times New Roman"/>
          <w:sz w:val="20"/>
          <w:szCs w:val="20"/>
          <w:lang w:eastAsia="cs-CZ"/>
        </w:rPr>
        <w:tab/>
      </w:r>
    </w:p>
    <w:p w14:paraId="618DF1BF" w14:textId="79035A66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IČO: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25550250</w:t>
      </w:r>
    </w:p>
    <w:p w14:paraId="1D801C8F" w14:textId="590FAD98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DIČ: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CZ</w:t>
      </w:r>
      <w:bookmarkStart w:id="0" w:name="_GoBack"/>
      <w:bookmarkEnd w:id="0"/>
      <w:r w:rsidR="00E8620C">
        <w:rPr>
          <w:rFonts w:eastAsia="Times New Roman"/>
          <w:sz w:val="20"/>
          <w:szCs w:val="20"/>
          <w:lang w:eastAsia="cs-CZ"/>
        </w:rPr>
        <w:t>25550250</w:t>
      </w:r>
    </w:p>
    <w:p w14:paraId="56D44A34" w14:textId="7CCC92D6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Se sídlem: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Rosice u Brna, Brněnská 1246, PSČ 665 01</w:t>
      </w:r>
    </w:p>
    <w:p w14:paraId="292F85D5" w14:textId="09603B61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Zastoupená: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Mgr. Radek Patočka, jednatel</w:t>
      </w:r>
    </w:p>
    <w:p w14:paraId="1F2E0729" w14:textId="48C57F00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Bankovní spojení: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Komerční banka, a.s.</w:t>
      </w:r>
    </w:p>
    <w:p w14:paraId="43D56E03" w14:textId="6B4F4DBA" w:rsidR="007F0597" w:rsidRPr="00E8620C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>Číslo účtu:</w:t>
      </w:r>
      <w:r w:rsidRPr="00E8620C">
        <w:rPr>
          <w:rFonts w:eastAsia="Times New Roman"/>
          <w:sz w:val="20"/>
          <w:szCs w:val="20"/>
          <w:lang w:eastAsia="cs-CZ"/>
        </w:rPr>
        <w:tab/>
      </w:r>
      <w:r w:rsidR="00E8620C">
        <w:rPr>
          <w:rFonts w:eastAsia="Times New Roman"/>
          <w:sz w:val="20"/>
          <w:szCs w:val="20"/>
          <w:lang w:eastAsia="cs-CZ"/>
        </w:rPr>
        <w:t>19-7653740227/0100</w:t>
      </w:r>
    </w:p>
    <w:p w14:paraId="5493B493" w14:textId="7FE54543" w:rsidR="00975A7A" w:rsidRPr="00057561" w:rsidRDefault="007F0597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8620C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E8620C">
        <w:rPr>
          <w:rFonts w:eastAsia="Times New Roman"/>
          <w:sz w:val="20"/>
          <w:szCs w:val="20"/>
          <w:lang w:eastAsia="cs-CZ"/>
        </w:rPr>
        <w:t>Krajského</w:t>
      </w:r>
      <w:r w:rsidRPr="00E8620C">
        <w:rPr>
          <w:rFonts w:eastAsia="Times New Roman"/>
          <w:sz w:val="20"/>
          <w:szCs w:val="20"/>
          <w:lang w:eastAsia="cs-CZ"/>
        </w:rPr>
        <w:t xml:space="preserve"> soudu v</w:t>
      </w:r>
      <w:r w:rsidR="00E8620C">
        <w:rPr>
          <w:rFonts w:eastAsia="Times New Roman"/>
          <w:sz w:val="20"/>
          <w:szCs w:val="20"/>
          <w:lang w:eastAsia="cs-CZ"/>
        </w:rPr>
        <w:t> Brně,</w:t>
      </w:r>
      <w:r w:rsidRPr="00E8620C">
        <w:rPr>
          <w:rFonts w:eastAsia="Times New Roman"/>
          <w:sz w:val="20"/>
          <w:szCs w:val="20"/>
          <w:lang w:eastAsia="cs-CZ"/>
        </w:rPr>
        <w:t xml:space="preserve"> oddíl </w:t>
      </w:r>
      <w:r w:rsidR="00E8620C">
        <w:rPr>
          <w:rFonts w:eastAsia="Times New Roman"/>
          <w:sz w:val="20"/>
          <w:szCs w:val="20"/>
          <w:lang w:eastAsia="cs-CZ"/>
        </w:rPr>
        <w:t>C,</w:t>
      </w:r>
      <w:r w:rsidRPr="00E8620C">
        <w:rPr>
          <w:rFonts w:eastAsia="Times New Roman"/>
          <w:sz w:val="20"/>
          <w:szCs w:val="20"/>
          <w:lang w:eastAsia="cs-CZ"/>
        </w:rPr>
        <w:t xml:space="preserve"> vložka </w:t>
      </w:r>
      <w:r w:rsidR="00E8620C">
        <w:rPr>
          <w:rFonts w:eastAsia="Times New Roman"/>
          <w:sz w:val="20"/>
          <w:szCs w:val="20"/>
          <w:lang w:eastAsia="cs-CZ"/>
        </w:rPr>
        <w:t>32395</w:t>
      </w:r>
    </w:p>
    <w:p w14:paraId="5A92F103" w14:textId="77777777" w:rsidR="007E6EC8" w:rsidRPr="00057561" w:rsidRDefault="007E6EC8" w:rsidP="00E8620C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795B2C0C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641D64" w:rsidRPr="00641D64">
        <w:rPr>
          <w:rFonts w:eastAsia="Times New Roman"/>
          <w:b/>
          <w:caps/>
          <w:snapToGrid w:val="0"/>
          <w:sz w:val="20"/>
          <w:szCs w:val="20"/>
          <w:lang w:eastAsia="cs-CZ"/>
        </w:rPr>
        <w:t>Dodávky sterilních a nesterilních tamponů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02ECA106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C65C56">
        <w:rPr>
          <w:rFonts w:asciiTheme="minorHAnsi" w:hAnsiTheme="minorHAnsi" w:cstheme="minorHAnsi"/>
        </w:rPr>
        <w:t xml:space="preserve">sterilní a nesterilní </w:t>
      </w:r>
      <w:r w:rsidR="00641D64">
        <w:rPr>
          <w:rFonts w:asciiTheme="minorHAnsi" w:hAnsiTheme="minorHAnsi" w:cstheme="minorHAnsi"/>
        </w:rPr>
        <w:t>tampony</w:t>
      </w:r>
      <w:r w:rsidR="00550A56">
        <w:rPr>
          <w:rFonts w:ascii="Verdana" w:hAnsi="Verdana"/>
          <w:sz w:val="20"/>
          <w:lang w:eastAsia="cs-CZ"/>
        </w:rPr>
        <w:t>, kter</w:t>
      </w:r>
      <w:r w:rsidR="00C65C56">
        <w:rPr>
          <w:rFonts w:ascii="Verdana" w:hAnsi="Verdana"/>
          <w:sz w:val="20"/>
          <w:lang w:eastAsia="cs-CZ"/>
        </w:rPr>
        <w:t>é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C65C56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C65C56">
        <w:rPr>
          <w:rFonts w:ascii="Verdana" w:hAnsi="Verdana"/>
          <w:sz w:val="20"/>
          <w:lang w:eastAsia="cs-CZ"/>
        </w:rPr>
        <w:t>y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2C0013" w:rsidRPr="002C0013">
        <w:rPr>
          <w:rFonts w:ascii="Verdana" w:hAnsi="Verdana"/>
          <w:sz w:val="20"/>
          <w:lang w:eastAsia="cs-CZ"/>
        </w:rPr>
        <w:t xml:space="preserve">k níže specifikované veřejné zakázce </w:t>
      </w:r>
      <w:r w:rsidRPr="00E41B0A">
        <w:rPr>
          <w:rFonts w:ascii="Verdana" w:hAnsi="Verdana"/>
          <w:sz w:val="20"/>
          <w:lang w:eastAsia="cs-CZ"/>
        </w:rPr>
        <w:t xml:space="preserve">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176854BA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8466B0">
        <w:rPr>
          <w:rFonts w:ascii="Verdana" w:hAnsi="Verdana"/>
          <w:b/>
          <w:bCs/>
          <w:sz w:val="20"/>
          <w:lang w:eastAsia="cs-CZ"/>
        </w:rPr>
        <w:t>„</w:t>
      </w:r>
      <w:r w:rsidR="00C65C56" w:rsidRPr="00C65C56">
        <w:rPr>
          <w:rFonts w:ascii="Verdana" w:hAnsi="Verdana"/>
          <w:b/>
          <w:bCs/>
          <w:sz w:val="20"/>
          <w:lang w:eastAsia="cs-CZ"/>
        </w:rPr>
        <w:t xml:space="preserve">Dodávky sterilních a nesterilních </w:t>
      </w:r>
      <w:r w:rsidR="00641D64">
        <w:rPr>
          <w:rFonts w:ascii="Verdana" w:hAnsi="Verdana"/>
          <w:b/>
          <w:bCs/>
          <w:sz w:val="20"/>
          <w:lang w:eastAsia="cs-CZ"/>
        </w:rPr>
        <w:t>tamponů</w:t>
      </w:r>
      <w:r w:rsidRPr="008466B0">
        <w:rPr>
          <w:rFonts w:ascii="Verdana" w:hAnsi="Verdana"/>
          <w:b/>
          <w:bCs/>
          <w:sz w:val="20"/>
          <w:lang w:eastAsia="cs-CZ"/>
        </w:rPr>
        <w:t>“</w:t>
      </w:r>
      <w:r w:rsidR="00641D64">
        <w:rPr>
          <w:rFonts w:ascii="Verdana" w:hAnsi="Verdana"/>
          <w:b/>
          <w:b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442E99BD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prodávajícího </w:t>
      </w:r>
      <w:r w:rsidR="00E8620C">
        <w:rPr>
          <w:rFonts w:ascii="Verdana" w:hAnsi="Verdana"/>
          <w:b/>
          <w:bCs/>
          <w:sz w:val="20"/>
          <w:lang w:eastAsia="cs-CZ"/>
        </w:rPr>
        <w:t>panep@panep.cz</w:t>
      </w:r>
      <w:r w:rsidRPr="003A7C59">
        <w:rPr>
          <w:rFonts w:ascii="Verdana" w:hAnsi="Verdana"/>
          <w:sz w:val="20"/>
          <w:lang w:eastAsia="cs-CZ"/>
        </w:rPr>
        <w:t xml:space="preserve">. V případě objednávání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0BA5754D" w:rsidR="003A7C59" w:rsidRPr="00B2355F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2355F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B2355F" w:rsidRPr="00B2355F">
        <w:rPr>
          <w:rFonts w:ascii="Verdana" w:hAnsi="Verdana"/>
          <w:b/>
          <w:bCs/>
          <w:sz w:val="20"/>
          <w:lang w:eastAsia="cs-CZ"/>
        </w:rPr>
        <w:t>do 5 pracovních dnů</w:t>
      </w:r>
      <w:r w:rsidRPr="00B2355F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B2355F">
        <w:rPr>
          <w:rFonts w:ascii="Verdana" w:hAnsi="Verdana"/>
          <w:sz w:val="20"/>
          <w:lang w:eastAsia="cs-CZ"/>
        </w:rPr>
        <w:t xml:space="preserve">i </w:t>
      </w:r>
      <w:r w:rsidRPr="00B2355F">
        <w:rPr>
          <w:rFonts w:ascii="Verdana" w:hAnsi="Verdana"/>
          <w:sz w:val="20"/>
          <w:lang w:eastAsia="cs-CZ"/>
        </w:rPr>
        <w:t>z</w:t>
      </w:r>
      <w:r w:rsidR="002A1B7D" w:rsidRPr="00B2355F">
        <w:rPr>
          <w:rFonts w:ascii="Verdana" w:hAnsi="Verdana"/>
          <w:sz w:val="20"/>
          <w:lang w:eastAsia="cs-CZ"/>
        </w:rPr>
        <w:t xml:space="preserve"> </w:t>
      </w:r>
      <w:r w:rsidRPr="00B2355F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B2355F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2355F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B2355F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B2355F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18D7A355" w:rsidR="0016146E" w:rsidRPr="00B2355F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2355F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B2355F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B2355F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B2355F">
        <w:rPr>
          <w:rFonts w:ascii="Verdana" w:hAnsi="Verdana"/>
          <w:b/>
          <w:sz w:val="20"/>
          <w:lang w:eastAsia="cs-CZ"/>
        </w:rPr>
        <w:t xml:space="preserve"> </w:t>
      </w:r>
      <w:r w:rsidR="00836DA0" w:rsidRPr="00B2355F">
        <w:rPr>
          <w:rFonts w:ascii="Verdana" w:hAnsi="Verdana"/>
          <w:b/>
          <w:sz w:val="20"/>
          <w:lang w:eastAsia="cs-CZ"/>
        </w:rPr>
        <w:t>24</w:t>
      </w:r>
      <w:r w:rsidR="007129E5" w:rsidRPr="00B2355F">
        <w:rPr>
          <w:rFonts w:ascii="Verdana" w:hAnsi="Verdana"/>
          <w:b/>
          <w:sz w:val="20"/>
          <w:lang w:eastAsia="cs-CZ"/>
        </w:rPr>
        <w:t xml:space="preserve"> měsíců</w:t>
      </w:r>
      <w:r w:rsidR="00641D64" w:rsidRPr="00B2355F">
        <w:rPr>
          <w:rFonts w:ascii="Verdana" w:hAnsi="Verdana"/>
          <w:b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Smluvní strany se zavazují takové ustanovení bez zbytečného odkladu nahradit </w:t>
      </w:r>
      <w:r w:rsidRPr="0016146E">
        <w:rPr>
          <w:rFonts w:ascii="Verdana" w:hAnsi="Verdana"/>
          <w:sz w:val="20"/>
          <w:lang w:eastAsia="cs-CZ"/>
        </w:rPr>
        <w:lastRenderedPageBreak/>
        <w:t>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5014624C" w:rsidR="00E63753" w:rsidRPr="00E8620C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E8620C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E8620C" w:rsidRPr="00E8620C">
              <w:rPr>
                <w:rFonts w:eastAsia="Times New Roman"/>
                <w:sz w:val="20"/>
                <w:szCs w:val="20"/>
                <w:lang w:eastAsia="cs-CZ"/>
              </w:rPr>
              <w:t> Rosicích u Brna</w:t>
            </w:r>
            <w:r w:rsidRPr="00E8620C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B2355F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E63753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49C5DF69" w14:textId="77777777" w:rsidR="00E63753" w:rsidRPr="00E8620C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8B89F5" w14:textId="77777777" w:rsidR="00773285" w:rsidRPr="00E8620C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689CE" w14:textId="77777777" w:rsidR="00E63753" w:rsidRPr="00E8620C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514CE6" w14:textId="77777777" w:rsidR="00E63753" w:rsidRPr="00E8620C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620C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A1A809" w14:textId="77777777" w:rsidR="00057561" w:rsidRPr="00E8620C" w:rsidRDefault="00E8620C" w:rsidP="00E63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8620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PANEP s.r.o.</w:t>
            </w:r>
          </w:p>
          <w:p w14:paraId="1DA11F19" w14:textId="77777777" w:rsidR="00E8620C" w:rsidRPr="00E8620C" w:rsidRDefault="00E8620C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620C">
              <w:rPr>
                <w:rFonts w:eastAsia="Times New Roman"/>
                <w:sz w:val="20"/>
                <w:szCs w:val="20"/>
                <w:lang w:eastAsia="cs-CZ"/>
              </w:rPr>
              <w:t>Mgr. Radek Patočka</w:t>
            </w:r>
          </w:p>
          <w:p w14:paraId="22182164" w14:textId="712BE7A7" w:rsidR="00E8620C" w:rsidRPr="00E8620C" w:rsidRDefault="00E8620C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8620C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13A27F8C" w14:textId="77777777" w:rsidR="00E63753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773285" w:rsidRPr="00123F37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E63753" w:rsidRPr="00123F37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63753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52E37BA" w14:textId="025AC1D2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26F0E9C5" w14:textId="77777777" w:rsidR="00E63753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773285" w:rsidRPr="00123F37" w:rsidRDefault="00773285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1E55" w14:textId="77777777" w:rsidR="001662A5" w:rsidRDefault="001662A5">
      <w:r>
        <w:separator/>
      </w:r>
    </w:p>
  </w:endnote>
  <w:endnote w:type="continuationSeparator" w:id="0">
    <w:p w14:paraId="28E69F13" w14:textId="77777777" w:rsidR="001662A5" w:rsidRDefault="001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EE41" w14:textId="77777777" w:rsidR="001662A5" w:rsidRDefault="001662A5">
      <w:r>
        <w:separator/>
      </w:r>
    </w:p>
  </w:footnote>
  <w:footnote w:type="continuationSeparator" w:id="0">
    <w:p w14:paraId="3EC96608" w14:textId="77777777" w:rsidR="001662A5" w:rsidRDefault="0016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5007"/>
    <w:rsid w:val="00012FF6"/>
    <w:rsid w:val="00013DCE"/>
    <w:rsid w:val="00014484"/>
    <w:rsid w:val="00032211"/>
    <w:rsid w:val="00057561"/>
    <w:rsid w:val="00060BEF"/>
    <w:rsid w:val="00066DB2"/>
    <w:rsid w:val="00074661"/>
    <w:rsid w:val="0008675B"/>
    <w:rsid w:val="000A49D5"/>
    <w:rsid w:val="000A652D"/>
    <w:rsid w:val="000B1196"/>
    <w:rsid w:val="000B4463"/>
    <w:rsid w:val="000C7C57"/>
    <w:rsid w:val="000D0159"/>
    <w:rsid w:val="000D2F6B"/>
    <w:rsid w:val="000D5743"/>
    <w:rsid w:val="000E1D59"/>
    <w:rsid w:val="000F2F7B"/>
    <w:rsid w:val="000F4174"/>
    <w:rsid w:val="000F4B8A"/>
    <w:rsid w:val="0010006E"/>
    <w:rsid w:val="00132FBE"/>
    <w:rsid w:val="00136CB5"/>
    <w:rsid w:val="00141854"/>
    <w:rsid w:val="00143163"/>
    <w:rsid w:val="001472FE"/>
    <w:rsid w:val="0014746A"/>
    <w:rsid w:val="001522EE"/>
    <w:rsid w:val="00152353"/>
    <w:rsid w:val="00157376"/>
    <w:rsid w:val="0016146E"/>
    <w:rsid w:val="001662A5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0013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06026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6009B6"/>
    <w:rsid w:val="00620572"/>
    <w:rsid w:val="0062727B"/>
    <w:rsid w:val="00631F95"/>
    <w:rsid w:val="006370D6"/>
    <w:rsid w:val="006377F4"/>
    <w:rsid w:val="00641D6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2355F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65C56"/>
    <w:rsid w:val="00C70E46"/>
    <w:rsid w:val="00C73BAB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81588"/>
    <w:rsid w:val="00E82070"/>
    <w:rsid w:val="00E8620C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8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620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28F2-564E-4633-B543-559E1C59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1941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6</cp:revision>
  <cp:lastPrinted>2025-02-12T06:27:00Z</cp:lastPrinted>
  <dcterms:created xsi:type="dcterms:W3CDTF">2025-01-16T11:05:00Z</dcterms:created>
  <dcterms:modified xsi:type="dcterms:W3CDTF">2025-02-12T06:27:00Z</dcterms:modified>
</cp:coreProperties>
</file>