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tbl>
      <w:tblPr>
        <w:tblW w:w="9889" w:type="dxa"/>
        <w:tblLook w:val="04A0"/>
      </w:tblPr>
      <w:tblGrid>
        <w:gridCol w:w="3986"/>
        <w:gridCol w:w="1367"/>
        <w:gridCol w:w="992"/>
        <w:gridCol w:w="3544"/>
      </w:tblGrid>
      <w:tr w:rsidTr="0030787D">
        <w:tblPrEx>
          <w:tblW w:w="9889" w:type="dxa"/>
          <w:tblLook w:val="04A0"/>
        </w:tblPrEx>
        <w:tc>
          <w:tcPr>
            <w:tcW w:w="6345" w:type="dxa"/>
            <w:gridSpan w:val="3"/>
            <w:shd w:val="clear" w:color="auto" w:fill="auto"/>
          </w:tcPr>
          <w:p w:rsidR="002E59F5" w:rsidRPr="00DC3FDE" w:rsidP="0030787D">
            <w:pPr>
              <w:tabs>
                <w:tab w:val="left" w:pos="1206"/>
              </w:tabs>
              <w:rPr>
                <w:rFonts w:ascii="Cambria" w:hAnsi="Cambria" w:cs="Arial"/>
                <w:color w:val="1F497D"/>
                <w:sz w:val="28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3600450" cy="663940"/>
                  <wp:effectExtent l="0" t="0" r="0" b="3175"/>
                  <wp:docPr id="44" name="Obrázek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6960" cy="678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auto"/>
          </w:tcPr>
          <w:p w:rsidR="002E59F5" w:rsidP="0000463B">
            <w:pPr>
              <w:pStyle w:val="Header"/>
            </w:pPr>
            <w:r>
              <w:rPr>
                <w:rFonts w:cs="Arial"/>
                <w:b/>
                <w:noProof/>
                <w:color w:val="1F497D"/>
                <w:sz w:val="44"/>
                <w:szCs w:val="28"/>
              </w:rPr>
              <w:drawing>
                <wp:inline distT="0" distB="0" distL="0" distR="0">
                  <wp:extent cx="904495" cy="262080"/>
                  <wp:effectExtent l="0" t="0" r="0" b="5080"/>
                  <wp:docPr id="47" name="Obrázek 47" descr="uvcr-logo-sablony-zahla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8418573" name="Picture 3" descr="uvcr-logo-sablony-zahla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844" cy="268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463B" w:rsidRPr="00760D3D" w:rsidP="0000463B">
            <w:pPr>
              <w:tabs>
                <w:tab w:val="left" w:pos="1206"/>
              </w:tabs>
              <w:rPr>
                <w:rFonts w:ascii="Cambria" w:hAnsi="Cambria" w:cs="Arial"/>
                <w:b/>
                <w:color w:val="1F497D"/>
              </w:rPr>
            </w:pPr>
            <w:r w:rsidRPr="00760D3D">
              <w:rPr>
                <w:rFonts w:ascii="Cambria" w:hAnsi="Cambria" w:cs="Arial"/>
                <w:b/>
                <w:color w:val="1F497D"/>
              </w:rPr>
              <w:t>Úřad vlády České republiky</w:t>
            </w:r>
          </w:p>
          <w:p w:rsidR="0000463B" w:rsidRPr="00760D3D" w:rsidP="0000463B">
            <w:pPr>
              <w:tabs>
                <w:tab w:val="left" w:pos="1206"/>
              </w:tabs>
              <w:rPr>
                <w:rFonts w:ascii="Cambria" w:hAnsi="Cambria" w:cs="Arial"/>
                <w:b/>
                <w:color w:val="1F497D"/>
              </w:rPr>
            </w:pPr>
            <w:r w:rsidRPr="00760D3D">
              <w:rPr>
                <w:rFonts w:ascii="Cambria" w:hAnsi="Cambria" w:cs="Arial"/>
                <w:color w:val="1F497D"/>
              </w:rPr>
              <w:t>Odbor</w:t>
            </w:r>
            <w:r>
              <w:rPr>
                <w:rFonts w:ascii="Cambria" w:hAnsi="Cambria" w:cs="Arial"/>
                <w:color w:val="1F497D"/>
              </w:rPr>
              <w:t xml:space="preserve"> správy nemovitostí</w:t>
            </w:r>
          </w:p>
          <w:p w:rsidR="0000463B" w:rsidP="0000463B">
            <w:pPr>
              <w:pStyle w:val="Header"/>
            </w:pPr>
          </w:p>
        </w:tc>
      </w:tr>
      <w:tr w:rsidTr="001E3AA8">
        <w:tblPrEx>
          <w:tblW w:w="9889" w:type="dxa"/>
          <w:tblLook w:val="04A0"/>
        </w:tblPrEx>
        <w:tc>
          <w:tcPr>
            <w:tcW w:w="3986" w:type="dxa"/>
            <w:shd w:val="clear" w:color="auto" w:fill="auto"/>
            <w:vAlign w:val="center"/>
          </w:tcPr>
          <w:p w:rsidR="00076316" w:rsidRPr="00C80B22" w:rsidP="00492977">
            <w:pPr>
              <w:tabs>
                <w:tab w:val="left" w:pos="6237"/>
              </w:tabs>
              <w:suppressAutoHyphens/>
              <w:rPr>
                <w:rFonts w:ascii="Arial" w:hAnsi="Arial" w:cs="Arial"/>
                <w:szCs w:val="22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076316" w:rsidRPr="00C80B22" w:rsidP="00492977">
            <w:pPr>
              <w:tabs>
                <w:tab w:val="left" w:pos="6237"/>
              </w:tabs>
              <w:suppressAutoHyphens/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6316" w:rsidRPr="00C80B22" w:rsidP="00492977">
            <w:pPr>
              <w:tabs>
                <w:tab w:val="left" w:pos="6237"/>
              </w:tabs>
              <w:suppressAutoHyphens/>
              <w:rPr>
                <w:rFonts w:ascii="Arial" w:hAnsi="Arial" w:cs="Arial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76316" w:rsidRPr="00C80B22" w:rsidP="00492977">
            <w:pPr>
              <w:tabs>
                <w:tab w:val="left" w:pos="6237"/>
              </w:tabs>
              <w:suppressAutoHyphens/>
              <w:rPr>
                <w:rFonts w:ascii="Arial" w:hAnsi="Arial" w:cs="Arial"/>
                <w:b/>
                <w:szCs w:val="22"/>
              </w:rPr>
            </w:pPr>
          </w:p>
        </w:tc>
      </w:tr>
    </w:tbl>
    <w:p w:rsidR="009B7A4F" w:rsidP="009B7A4F">
      <w:pPr>
        <w:suppressAutoHyphens/>
        <w:ind w:left="142" w:right="96"/>
        <w:jc w:val="center"/>
        <w:rPr>
          <w:rFonts w:ascii="Arial" w:hAnsi="Arial" w:cs="Arial"/>
          <w:b/>
          <w:bCs/>
          <w:sz w:val="28"/>
          <w:szCs w:val="28"/>
        </w:rPr>
      </w:pPr>
    </w:p>
    <w:p w:rsidR="009B7A4F" w:rsidP="009B7A4F">
      <w:pPr>
        <w:suppressAutoHyphens/>
        <w:ind w:left="142" w:right="96"/>
        <w:jc w:val="center"/>
        <w:rPr>
          <w:rFonts w:ascii="Arial" w:hAnsi="Arial" w:cs="Arial"/>
          <w:b/>
          <w:bCs/>
          <w:sz w:val="28"/>
          <w:szCs w:val="28"/>
        </w:rPr>
      </w:pPr>
    </w:p>
    <w:p w:rsidR="009B7A4F" w:rsidP="009B7A4F">
      <w:pPr>
        <w:suppressAutoHyphens/>
        <w:ind w:left="142" w:right="96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PŘÍKAZNÍ </w:t>
      </w:r>
      <w:r w:rsidRPr="0036604C">
        <w:rPr>
          <w:rFonts w:ascii="Arial" w:hAnsi="Arial" w:cs="Arial"/>
          <w:b/>
          <w:bCs/>
          <w:sz w:val="28"/>
          <w:szCs w:val="28"/>
        </w:rPr>
        <w:t>S</w:t>
      </w:r>
      <w:r w:rsidRPr="0036604C">
        <w:rPr>
          <w:rFonts w:ascii="Arial" w:hAnsi="Arial" w:cs="Arial"/>
          <w:b/>
          <w:bCs/>
          <w:spacing w:val="1"/>
          <w:sz w:val="28"/>
          <w:szCs w:val="28"/>
        </w:rPr>
        <w:t>M</w:t>
      </w:r>
      <w:r w:rsidRPr="0036604C">
        <w:rPr>
          <w:rFonts w:ascii="Arial" w:hAnsi="Arial" w:cs="Arial"/>
          <w:b/>
          <w:bCs/>
          <w:spacing w:val="-1"/>
          <w:sz w:val="28"/>
          <w:szCs w:val="28"/>
        </w:rPr>
        <w:t>L</w:t>
      </w:r>
      <w:r w:rsidRPr="0036604C">
        <w:rPr>
          <w:rFonts w:ascii="Arial" w:hAnsi="Arial" w:cs="Arial"/>
          <w:b/>
          <w:bCs/>
          <w:spacing w:val="-2"/>
          <w:sz w:val="28"/>
          <w:szCs w:val="28"/>
        </w:rPr>
        <w:t>O</w:t>
      </w:r>
      <w:r w:rsidRPr="0036604C">
        <w:rPr>
          <w:rFonts w:ascii="Arial" w:hAnsi="Arial" w:cs="Arial"/>
          <w:b/>
          <w:bCs/>
          <w:spacing w:val="1"/>
          <w:sz w:val="28"/>
          <w:szCs w:val="28"/>
        </w:rPr>
        <w:t>U</w:t>
      </w:r>
      <w:r w:rsidRPr="0036604C">
        <w:rPr>
          <w:rFonts w:ascii="Arial" w:hAnsi="Arial" w:cs="Arial"/>
          <w:b/>
          <w:bCs/>
          <w:spacing w:val="-2"/>
          <w:sz w:val="28"/>
          <w:szCs w:val="28"/>
        </w:rPr>
        <w:t>V</w:t>
      </w:r>
      <w:r w:rsidRPr="0036604C">
        <w:rPr>
          <w:rFonts w:ascii="Arial" w:hAnsi="Arial" w:cs="Arial"/>
          <w:b/>
          <w:bCs/>
          <w:sz w:val="28"/>
          <w:szCs w:val="28"/>
        </w:rPr>
        <w:t xml:space="preserve">A </w:t>
      </w:r>
    </w:p>
    <w:p w:rsidR="009B7A4F" w:rsidRPr="00236203" w:rsidP="009B7A4F">
      <w:pPr>
        <w:suppressAutoHyphens/>
        <w:ind w:left="142" w:right="96"/>
        <w:jc w:val="center"/>
        <w:rPr>
          <w:rFonts w:ascii="Arial" w:hAnsi="Arial" w:cs="Arial"/>
          <w:bCs/>
          <w:sz w:val="24"/>
          <w:szCs w:val="24"/>
        </w:rPr>
      </w:pPr>
      <w:r w:rsidRPr="00FC2590">
        <w:rPr>
          <w:rFonts w:ascii="Arial" w:hAnsi="Arial" w:cs="Arial"/>
          <w:bCs/>
          <w:sz w:val="24"/>
          <w:szCs w:val="24"/>
        </w:rPr>
        <w:t xml:space="preserve">na poskytnutí služeb </w:t>
      </w:r>
      <w:r>
        <w:rPr>
          <w:rFonts w:ascii="Arial" w:hAnsi="Arial" w:cs="Arial"/>
          <w:bCs/>
          <w:sz w:val="24"/>
          <w:szCs w:val="24"/>
        </w:rPr>
        <w:t>technického dozoru stavebníka nad prováděním prací v souvislosti se stavbou</w:t>
      </w:r>
      <w:r w:rsidRPr="00FC2590"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/>
          <w:i/>
          <w:szCs w:val="22"/>
        </w:rPr>
        <w:t>„Poskytnutí služeb technického dozoru stavebníka nad prováděním stavby v rámci stavební zakázky Úpravy Slavíčkovy vily pro zřízení dětských skupin</w:t>
      </w:r>
      <w:r>
        <w:rPr>
          <w:rFonts w:ascii="Arial" w:hAnsi="Arial" w:cs="Arial"/>
          <w:b/>
          <w:bCs/>
          <w:i/>
          <w:szCs w:val="22"/>
        </w:rPr>
        <w:t>“</w:t>
      </w:r>
    </w:p>
    <w:p w:rsidR="009B7A4F" w:rsidRPr="00FC2590" w:rsidP="009B7A4F">
      <w:pPr>
        <w:suppressAutoHyphens/>
        <w:ind w:left="142" w:right="97"/>
        <w:jc w:val="center"/>
        <w:rPr>
          <w:rFonts w:ascii="Arial" w:hAnsi="Arial" w:cs="Arial"/>
          <w:b/>
          <w:bCs/>
          <w:sz w:val="24"/>
          <w:szCs w:val="24"/>
        </w:rPr>
      </w:pPr>
    </w:p>
    <w:p w:rsidR="009B7A4F" w:rsidP="009B7A4F">
      <w:pPr>
        <w:tabs>
          <w:tab w:val="left" w:pos="3828"/>
        </w:tabs>
        <w:suppressAutoHyphens/>
        <w:spacing w:before="120"/>
        <w:jc w:val="right"/>
        <w:rPr>
          <w:rFonts w:ascii="Arial" w:hAnsi="Arial" w:cs="Arial"/>
          <w:bCs/>
          <w:szCs w:val="22"/>
        </w:rPr>
      </w:pPr>
    </w:p>
    <w:p w:rsidR="009B7A4F" w:rsidP="00B06B2F">
      <w:pPr>
        <w:tabs>
          <w:tab w:val="left" w:pos="3828"/>
          <w:tab w:val="left" w:pos="5954"/>
        </w:tabs>
        <w:suppressAutoHyphens/>
        <w:jc w:val="center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ab/>
        <w:t>č.j. 4848-2025-UVČR</w:t>
      </w:r>
    </w:p>
    <w:p w:rsidR="009B7A4F" w:rsidRPr="002E5DB7" w:rsidP="00B06B2F">
      <w:pPr>
        <w:tabs>
          <w:tab w:val="left" w:pos="3828"/>
          <w:tab w:val="left" w:pos="6379"/>
        </w:tabs>
        <w:suppressAutoHyphens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ab/>
        <w:t>e</w:t>
      </w:r>
      <w:r>
        <w:rPr>
          <w:rFonts w:ascii="Arial" w:hAnsi="Arial" w:cs="Arial"/>
          <w:bCs/>
          <w:szCs w:val="22"/>
        </w:rPr>
        <w:t>v</w:t>
      </w:r>
      <w:r>
        <w:rPr>
          <w:rFonts w:ascii="Arial" w:hAnsi="Arial" w:cs="Arial"/>
          <w:bCs/>
          <w:szCs w:val="22"/>
        </w:rPr>
        <w:t>.</w:t>
      </w:r>
      <w:r>
        <w:rPr>
          <w:rFonts w:ascii="Arial" w:hAnsi="Arial" w:cs="Arial"/>
          <w:bCs/>
          <w:szCs w:val="22"/>
        </w:rPr>
        <w:t>č</w:t>
      </w:r>
      <w:r w:rsidRPr="00996769">
        <w:rPr>
          <w:rFonts w:ascii="Arial" w:hAnsi="Arial" w:cs="Arial"/>
          <w:bCs/>
          <w:szCs w:val="22"/>
        </w:rPr>
        <w:t>íslo smlouvy:</w:t>
      </w:r>
      <w:r>
        <w:rPr>
          <w:rFonts w:ascii="Arial" w:hAnsi="Arial" w:cs="Arial"/>
          <w:bCs/>
          <w:szCs w:val="22"/>
        </w:rPr>
        <w:t xml:space="preserve"> </w:t>
      </w:r>
      <w:r w:rsidR="00385FD5">
        <w:rPr>
          <w:rFonts w:ascii="Arial" w:hAnsi="Arial" w:cs="Arial"/>
          <w:bCs/>
          <w:szCs w:val="22"/>
        </w:rPr>
        <w:t>25/037-0</w:t>
      </w:r>
    </w:p>
    <w:p w:rsidR="009B7A4F" w:rsidRPr="00737F99" w:rsidP="009B7A4F">
      <w:pPr>
        <w:pStyle w:val="Heading4"/>
        <w:suppressAutoHyphens/>
        <w:rPr>
          <w:rFonts w:ascii="Arial" w:hAnsi="Arial" w:cs="Arial"/>
          <w:bCs w:val="0"/>
          <w:i w:val="0"/>
          <w:color w:val="auto"/>
          <w:sz w:val="22"/>
          <w:szCs w:val="22"/>
        </w:rPr>
      </w:pPr>
      <w:r w:rsidRPr="00737F99">
        <w:rPr>
          <w:rFonts w:ascii="Arial" w:hAnsi="Arial" w:cs="Arial"/>
          <w:bCs w:val="0"/>
          <w:i w:val="0"/>
          <w:color w:val="auto"/>
          <w:sz w:val="22"/>
          <w:szCs w:val="22"/>
        </w:rPr>
        <w:t>Česká republika – Úřad vlády České republiky</w:t>
      </w:r>
    </w:p>
    <w:p w:rsidR="009B7A4F" w:rsidRPr="00996769" w:rsidP="009B7A4F">
      <w:pPr>
        <w:tabs>
          <w:tab w:val="left" w:pos="2410"/>
        </w:tabs>
        <w:suppressAutoHyphens/>
        <w:rPr>
          <w:rFonts w:ascii="Arial" w:hAnsi="Arial" w:cs="Arial"/>
          <w:snapToGrid w:val="0"/>
          <w:szCs w:val="22"/>
        </w:rPr>
      </w:pPr>
      <w:r w:rsidRPr="00996769">
        <w:rPr>
          <w:rFonts w:ascii="Arial" w:hAnsi="Arial" w:cs="Arial"/>
          <w:snapToGrid w:val="0"/>
          <w:szCs w:val="22"/>
        </w:rPr>
        <w:t>se sídlem</w:t>
      </w:r>
      <w:r>
        <w:rPr>
          <w:rFonts w:ascii="Arial" w:hAnsi="Arial" w:cs="Arial"/>
          <w:snapToGrid w:val="0"/>
          <w:szCs w:val="22"/>
        </w:rPr>
        <w:t>:</w:t>
      </w:r>
      <w:r>
        <w:rPr>
          <w:rFonts w:ascii="Arial" w:hAnsi="Arial" w:cs="Arial"/>
          <w:snapToGrid w:val="0"/>
          <w:szCs w:val="22"/>
        </w:rPr>
        <w:tab/>
      </w:r>
      <w:r w:rsidRPr="00996769">
        <w:rPr>
          <w:rFonts w:ascii="Arial" w:hAnsi="Arial" w:cs="Arial"/>
          <w:snapToGrid w:val="0"/>
          <w:szCs w:val="22"/>
        </w:rPr>
        <w:t xml:space="preserve">nábřeží Edvarda Beneše 4, </w:t>
      </w:r>
      <w:r>
        <w:rPr>
          <w:rFonts w:ascii="Arial" w:hAnsi="Arial" w:cs="Arial"/>
          <w:snapToGrid w:val="0"/>
          <w:szCs w:val="22"/>
        </w:rPr>
        <w:t>118 01 Praha</w:t>
      </w:r>
      <w:r w:rsidRPr="00996769">
        <w:rPr>
          <w:rFonts w:ascii="Arial" w:hAnsi="Arial" w:cs="Arial"/>
          <w:snapToGrid w:val="0"/>
          <w:szCs w:val="22"/>
        </w:rPr>
        <w:t xml:space="preserve"> 1</w:t>
      </w:r>
    </w:p>
    <w:p w:rsidR="009B7A4F" w:rsidP="009B7A4F">
      <w:pPr>
        <w:tabs>
          <w:tab w:val="left" w:pos="2410"/>
        </w:tabs>
        <w:suppressAutoHyphens/>
        <w:rPr>
          <w:rFonts w:ascii="Arial" w:hAnsi="Arial" w:cs="Arial"/>
          <w:snapToGrid w:val="0"/>
          <w:szCs w:val="22"/>
        </w:rPr>
      </w:pPr>
      <w:r w:rsidRPr="00996769">
        <w:rPr>
          <w:rFonts w:ascii="Arial" w:hAnsi="Arial" w:cs="Arial"/>
          <w:snapToGrid w:val="0"/>
          <w:szCs w:val="22"/>
        </w:rPr>
        <w:t>IČ</w:t>
      </w:r>
      <w:r>
        <w:rPr>
          <w:rFonts w:ascii="Arial" w:hAnsi="Arial" w:cs="Arial"/>
          <w:snapToGrid w:val="0"/>
          <w:szCs w:val="22"/>
        </w:rPr>
        <w:t>O</w:t>
      </w:r>
      <w:r w:rsidRPr="00996769">
        <w:rPr>
          <w:rFonts w:ascii="Arial" w:hAnsi="Arial" w:cs="Arial"/>
          <w:snapToGrid w:val="0"/>
          <w:szCs w:val="22"/>
        </w:rPr>
        <w:t xml:space="preserve">: </w:t>
      </w:r>
      <w:r>
        <w:rPr>
          <w:rFonts w:ascii="Arial" w:hAnsi="Arial" w:cs="Arial"/>
          <w:snapToGrid w:val="0"/>
          <w:szCs w:val="22"/>
        </w:rPr>
        <w:tab/>
        <w:t>000065</w:t>
      </w:r>
      <w:r w:rsidRPr="00996769">
        <w:rPr>
          <w:rFonts w:ascii="Arial" w:hAnsi="Arial" w:cs="Arial"/>
          <w:snapToGrid w:val="0"/>
          <w:szCs w:val="22"/>
        </w:rPr>
        <w:t>99</w:t>
      </w:r>
    </w:p>
    <w:p w:rsidR="009B7A4F" w:rsidRPr="00996769" w:rsidP="009B7A4F">
      <w:pPr>
        <w:tabs>
          <w:tab w:val="left" w:pos="2410"/>
        </w:tabs>
        <w:suppressAutoHyphens/>
        <w:rPr>
          <w:rFonts w:ascii="Arial" w:hAnsi="Arial" w:cs="Arial"/>
          <w:snapToGrid w:val="0"/>
          <w:szCs w:val="22"/>
        </w:rPr>
      </w:pPr>
      <w:r>
        <w:rPr>
          <w:rFonts w:ascii="Arial" w:hAnsi="Arial" w:cs="Arial"/>
          <w:snapToGrid w:val="0"/>
          <w:szCs w:val="22"/>
        </w:rPr>
        <w:t xml:space="preserve">DIČ: </w:t>
      </w:r>
      <w:r>
        <w:rPr>
          <w:rFonts w:ascii="Arial" w:hAnsi="Arial" w:cs="Arial"/>
          <w:snapToGrid w:val="0"/>
          <w:szCs w:val="22"/>
        </w:rPr>
        <w:tab/>
        <w:t>CZ 00006599</w:t>
      </w:r>
    </w:p>
    <w:p w:rsidR="009B7A4F" w:rsidRPr="00996769" w:rsidP="009B7A4F">
      <w:pPr>
        <w:tabs>
          <w:tab w:val="left" w:pos="2410"/>
        </w:tabs>
        <w:suppressAutoHyphens/>
        <w:ind w:left="2410" w:hanging="2410"/>
        <w:jc w:val="both"/>
        <w:rPr>
          <w:rFonts w:ascii="Arial" w:hAnsi="Arial" w:cs="Arial"/>
          <w:snapToGrid w:val="0"/>
          <w:szCs w:val="22"/>
        </w:rPr>
      </w:pPr>
      <w:r>
        <w:rPr>
          <w:rFonts w:ascii="Arial" w:hAnsi="Arial" w:cs="Arial"/>
          <w:snapToGrid w:val="0"/>
          <w:szCs w:val="22"/>
        </w:rPr>
        <w:t>kterou zastupuje</w:t>
      </w:r>
      <w:r w:rsidRPr="00996769">
        <w:rPr>
          <w:rFonts w:ascii="Arial" w:hAnsi="Arial" w:cs="Arial"/>
          <w:snapToGrid w:val="0"/>
          <w:szCs w:val="22"/>
        </w:rPr>
        <w:t xml:space="preserve">: </w:t>
      </w:r>
      <w:r>
        <w:rPr>
          <w:rFonts w:ascii="Arial" w:hAnsi="Arial" w:cs="Arial"/>
          <w:snapToGrid w:val="0"/>
          <w:szCs w:val="22"/>
        </w:rPr>
        <w:tab/>
        <w:t>Ing. Tomáš Štainbruch, MBA</w:t>
      </w:r>
      <w:r w:rsidRPr="00996769">
        <w:rPr>
          <w:rFonts w:ascii="Arial" w:hAnsi="Arial" w:cs="Arial"/>
          <w:snapToGrid w:val="0"/>
          <w:szCs w:val="22"/>
        </w:rPr>
        <w:t xml:space="preserve">, </w:t>
      </w:r>
      <w:r>
        <w:rPr>
          <w:rFonts w:ascii="Arial" w:hAnsi="Arial" w:cs="Arial"/>
          <w:snapToGrid w:val="0"/>
          <w:szCs w:val="22"/>
        </w:rPr>
        <w:t xml:space="preserve">ředitel </w:t>
      </w:r>
      <w:r w:rsidRPr="00996769">
        <w:rPr>
          <w:rFonts w:ascii="Arial" w:hAnsi="Arial" w:cs="Arial"/>
          <w:snapToGrid w:val="0"/>
          <w:szCs w:val="22"/>
        </w:rPr>
        <w:t xml:space="preserve">Odboru </w:t>
      </w:r>
      <w:r>
        <w:rPr>
          <w:rFonts w:ascii="Arial" w:hAnsi="Arial" w:cs="Arial"/>
          <w:snapToGrid w:val="0"/>
          <w:szCs w:val="22"/>
        </w:rPr>
        <w:t>správy nemovitostí, na základě vnitřního předpisu</w:t>
      </w:r>
    </w:p>
    <w:p w:rsidR="009B7A4F" w:rsidP="009B7A4F">
      <w:pPr>
        <w:tabs>
          <w:tab w:val="left" w:pos="2410"/>
        </w:tabs>
        <w:suppressAutoHyphens/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napToGrid w:val="0"/>
          <w:szCs w:val="22"/>
        </w:rPr>
        <w:t>b</w:t>
      </w:r>
      <w:r w:rsidRPr="00996769">
        <w:rPr>
          <w:rFonts w:ascii="Arial" w:hAnsi="Arial" w:cs="Arial"/>
          <w:snapToGrid w:val="0"/>
          <w:szCs w:val="22"/>
        </w:rPr>
        <w:t xml:space="preserve">ankovní spojení: </w:t>
      </w:r>
      <w:r>
        <w:rPr>
          <w:rFonts w:ascii="Arial" w:hAnsi="Arial" w:cs="Arial"/>
          <w:snapToGrid w:val="0"/>
          <w:szCs w:val="22"/>
        </w:rPr>
        <w:tab/>
      </w:r>
      <w:r w:rsidRPr="00996769">
        <w:rPr>
          <w:rFonts w:ascii="Arial" w:hAnsi="Arial" w:cs="Arial"/>
          <w:snapToGrid w:val="0"/>
          <w:szCs w:val="22"/>
        </w:rPr>
        <w:t xml:space="preserve">ČNB, č. účtu: </w:t>
      </w:r>
      <w:r w:rsidRPr="00996769">
        <w:rPr>
          <w:rFonts w:ascii="Arial" w:hAnsi="Arial" w:cs="Arial"/>
          <w:szCs w:val="22"/>
        </w:rPr>
        <w:t>19-4320001/0710</w:t>
      </w:r>
    </w:p>
    <w:p w:rsidR="009B7A4F" w:rsidRPr="00996769" w:rsidP="009B7A4F">
      <w:pPr>
        <w:suppressAutoHyphens/>
        <w:rPr>
          <w:rFonts w:ascii="Arial" w:hAnsi="Arial" w:cs="Arial"/>
          <w:szCs w:val="22"/>
        </w:rPr>
      </w:pPr>
      <w:r w:rsidRPr="00996769">
        <w:rPr>
          <w:rFonts w:ascii="Arial" w:hAnsi="Arial" w:cs="Arial"/>
          <w:szCs w:val="22"/>
        </w:rPr>
        <w:t>(dále jen „</w:t>
      </w:r>
      <w:r>
        <w:rPr>
          <w:rFonts w:ascii="Arial" w:hAnsi="Arial" w:cs="Arial"/>
          <w:b/>
          <w:szCs w:val="22"/>
        </w:rPr>
        <w:t>příkazce</w:t>
      </w:r>
      <w:r w:rsidRPr="00996769">
        <w:rPr>
          <w:rFonts w:ascii="Arial" w:hAnsi="Arial" w:cs="Arial"/>
          <w:szCs w:val="22"/>
        </w:rPr>
        <w:t>“)</w:t>
      </w:r>
    </w:p>
    <w:p w:rsidR="009B7A4F" w:rsidP="009B7A4F">
      <w:pPr>
        <w:tabs>
          <w:tab w:val="left" w:pos="1870"/>
        </w:tabs>
        <w:suppressAutoHyphens/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</w:p>
    <w:p w:rsidR="009B7A4F" w:rsidP="009B7A4F">
      <w:pPr>
        <w:suppressAutoHyphens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</w:t>
      </w:r>
    </w:p>
    <w:p w:rsidR="009B7A4F" w:rsidRPr="00B23E2F" w:rsidP="009B7A4F">
      <w:pPr>
        <w:suppressAutoHyphens/>
        <w:rPr>
          <w:rFonts w:ascii="Arial" w:hAnsi="Arial" w:cs="Arial"/>
          <w:szCs w:val="22"/>
          <w:u w:val="single"/>
        </w:rPr>
      </w:pPr>
    </w:p>
    <w:p w:rsidR="009B7A4F" w:rsidRPr="007240E3" w:rsidP="009B7A4F">
      <w:pPr>
        <w:tabs>
          <w:tab w:val="center" w:pos="4546"/>
        </w:tabs>
        <w:suppressAutoHyphens/>
        <w:ind w:right="-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W.A.M. centrum s.r.o.</w:t>
      </w:r>
      <w:r>
        <w:rPr>
          <w:rFonts w:ascii="Arial" w:hAnsi="Arial" w:cs="Arial"/>
          <w:szCs w:val="22"/>
        </w:rPr>
        <w:tab/>
      </w:r>
    </w:p>
    <w:p w:rsidR="009B7A4F" w:rsidRPr="00705361" w:rsidP="009B7A4F">
      <w:pPr>
        <w:tabs>
          <w:tab w:val="left" w:pos="2410"/>
        </w:tabs>
        <w:suppressAutoHyphens/>
        <w:ind w:left="2410" w:right="-20" w:hanging="2410"/>
        <w:rPr>
          <w:rFonts w:ascii="Arial" w:hAnsi="Arial" w:cs="Arial"/>
          <w:szCs w:val="22"/>
        </w:rPr>
      </w:pPr>
      <w:r w:rsidRPr="00705361">
        <w:rPr>
          <w:rFonts w:ascii="Arial" w:hAnsi="Arial" w:cs="Arial"/>
          <w:szCs w:val="22"/>
        </w:rPr>
        <w:t>se sídl</w:t>
      </w:r>
      <w:r w:rsidRPr="00705361">
        <w:rPr>
          <w:rFonts w:ascii="Arial" w:hAnsi="Arial" w:cs="Arial"/>
          <w:spacing w:val="-1"/>
          <w:szCs w:val="22"/>
        </w:rPr>
        <w:t>e</w:t>
      </w:r>
      <w:r w:rsidRPr="00705361">
        <w:rPr>
          <w:rFonts w:ascii="Arial" w:hAnsi="Arial" w:cs="Arial"/>
          <w:szCs w:val="22"/>
        </w:rPr>
        <w:t xml:space="preserve">m: </w:t>
      </w:r>
      <w:r>
        <w:rPr>
          <w:rFonts w:ascii="Arial" w:hAnsi="Arial" w:cs="Arial"/>
          <w:szCs w:val="22"/>
        </w:rPr>
        <w:tab/>
        <w:t xml:space="preserve">Uhelný trh 420/1, Staré Město, </w:t>
      </w:r>
      <w:r>
        <w:rPr>
          <w:rFonts w:ascii="Arial" w:hAnsi="Arial" w:cs="Arial"/>
          <w:szCs w:val="22"/>
        </w:rPr>
        <w:t>110 00  Praha</w:t>
      </w:r>
      <w:r>
        <w:rPr>
          <w:rFonts w:ascii="Arial" w:hAnsi="Arial" w:cs="Arial"/>
          <w:szCs w:val="22"/>
        </w:rPr>
        <w:t xml:space="preserve"> 1</w:t>
      </w:r>
    </w:p>
    <w:p w:rsidR="009B7A4F" w:rsidP="009B7A4F">
      <w:pPr>
        <w:tabs>
          <w:tab w:val="left" w:pos="2410"/>
        </w:tabs>
        <w:suppressAutoHyphens/>
        <w:ind w:right="-20"/>
        <w:rPr>
          <w:rFonts w:ascii="Arial" w:hAnsi="Arial" w:cs="Arial"/>
          <w:szCs w:val="22"/>
        </w:rPr>
      </w:pPr>
      <w:r w:rsidRPr="00705361">
        <w:rPr>
          <w:rFonts w:ascii="Arial" w:hAnsi="Arial" w:cs="Arial"/>
          <w:spacing w:val="-3"/>
          <w:szCs w:val="22"/>
        </w:rPr>
        <w:t>I</w:t>
      </w:r>
      <w:r w:rsidRPr="00705361">
        <w:rPr>
          <w:rFonts w:ascii="Arial" w:hAnsi="Arial" w:cs="Arial"/>
          <w:spacing w:val="1"/>
          <w:szCs w:val="22"/>
        </w:rPr>
        <w:t>ČO</w:t>
      </w:r>
      <w:r w:rsidRPr="00705361">
        <w:rPr>
          <w:rFonts w:ascii="Arial" w:hAnsi="Arial" w:cs="Arial"/>
          <w:szCs w:val="22"/>
        </w:rPr>
        <w:t xml:space="preserve">: </w:t>
      </w:r>
      <w:r>
        <w:rPr>
          <w:rFonts w:ascii="Arial" w:hAnsi="Arial" w:cs="Arial"/>
          <w:szCs w:val="22"/>
        </w:rPr>
        <w:tab/>
        <w:t>481 17 862</w:t>
      </w:r>
    </w:p>
    <w:p w:rsidR="009B7A4F" w:rsidP="009B7A4F">
      <w:pPr>
        <w:tabs>
          <w:tab w:val="left" w:pos="2410"/>
        </w:tabs>
        <w:suppressAutoHyphens/>
        <w:ind w:right="-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DIČ</w:t>
      </w:r>
      <w:r w:rsidRPr="00B23E2F">
        <w:rPr>
          <w:rFonts w:ascii="Arial" w:hAnsi="Arial" w:cs="Arial"/>
          <w:szCs w:val="22"/>
        </w:rPr>
        <w:t>:</w:t>
      </w:r>
      <w:r w:rsidRPr="00B23E2F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>CZ 48117862</w:t>
      </w:r>
    </w:p>
    <w:p w:rsidR="009B7A4F" w:rsidRPr="00705361" w:rsidP="009B7A4F">
      <w:pPr>
        <w:tabs>
          <w:tab w:val="left" w:pos="2410"/>
        </w:tabs>
        <w:suppressAutoHyphens/>
        <w:ind w:right="-20"/>
        <w:rPr>
          <w:rFonts w:ascii="Arial" w:hAnsi="Arial" w:cs="Arial"/>
          <w:szCs w:val="22"/>
        </w:rPr>
      </w:pPr>
      <w:r w:rsidRPr="00705361">
        <w:rPr>
          <w:rFonts w:ascii="Arial" w:hAnsi="Arial" w:cs="Arial"/>
          <w:szCs w:val="22"/>
        </w:rPr>
        <w:t>kterou zastupuje:</w:t>
      </w:r>
      <w:r>
        <w:rPr>
          <w:rFonts w:ascii="Arial" w:hAnsi="Arial" w:cs="Arial"/>
          <w:szCs w:val="22"/>
        </w:rPr>
        <w:tab/>
        <w:t>Ing. Jana Maňhalová</w:t>
      </w:r>
      <w:r w:rsidRPr="00705361">
        <w:rPr>
          <w:rFonts w:ascii="Arial" w:hAnsi="Arial" w:cs="Arial"/>
          <w:szCs w:val="22"/>
        </w:rPr>
        <w:tab/>
      </w:r>
    </w:p>
    <w:p w:rsidR="009B7A4F" w:rsidRPr="00705361" w:rsidP="009B7A4F">
      <w:pPr>
        <w:tabs>
          <w:tab w:val="left" w:pos="2410"/>
        </w:tabs>
        <w:suppressAutoHyphens/>
        <w:ind w:right="-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společnost je zapsána v Obchodním rejstříku vedeném u městského soudu v Praze, oddíl C17036</w:t>
      </w:r>
      <w:r w:rsidRPr="00705361">
        <w:rPr>
          <w:rFonts w:ascii="Arial" w:hAnsi="Arial" w:cs="Arial"/>
          <w:szCs w:val="22"/>
        </w:rPr>
        <w:tab/>
      </w:r>
    </w:p>
    <w:p w:rsidR="009B7A4F" w:rsidRPr="00705361" w:rsidP="009B7A4F">
      <w:pPr>
        <w:tabs>
          <w:tab w:val="left" w:pos="2410"/>
        </w:tabs>
        <w:suppressAutoHyphens/>
        <w:spacing w:after="120"/>
        <w:ind w:right="-23"/>
        <w:rPr>
          <w:rFonts w:ascii="Arial" w:hAnsi="Arial" w:cs="Arial"/>
          <w:szCs w:val="22"/>
        </w:rPr>
      </w:pPr>
      <w:r w:rsidRPr="00705361">
        <w:rPr>
          <w:rFonts w:ascii="Arial" w:hAnsi="Arial" w:cs="Arial"/>
          <w:szCs w:val="22"/>
        </w:rPr>
        <w:t>b</w:t>
      </w:r>
      <w:r w:rsidRPr="00705361">
        <w:rPr>
          <w:rFonts w:ascii="Arial" w:hAnsi="Arial" w:cs="Arial"/>
          <w:spacing w:val="-1"/>
          <w:szCs w:val="22"/>
        </w:rPr>
        <w:t>a</w:t>
      </w:r>
      <w:r w:rsidRPr="00705361">
        <w:rPr>
          <w:rFonts w:ascii="Arial" w:hAnsi="Arial" w:cs="Arial"/>
          <w:szCs w:val="22"/>
        </w:rPr>
        <w:t>nkovní spoj</w:t>
      </w:r>
      <w:r w:rsidRPr="00705361">
        <w:rPr>
          <w:rFonts w:ascii="Arial" w:hAnsi="Arial" w:cs="Arial"/>
          <w:spacing w:val="-1"/>
          <w:szCs w:val="22"/>
        </w:rPr>
        <w:t>e</w:t>
      </w:r>
      <w:r w:rsidRPr="00705361">
        <w:rPr>
          <w:rFonts w:ascii="Arial" w:hAnsi="Arial" w:cs="Arial"/>
          <w:szCs w:val="22"/>
        </w:rPr>
        <w:t>ní:</w:t>
      </w:r>
      <w:r>
        <w:rPr>
          <w:rFonts w:ascii="Arial" w:hAnsi="Arial" w:cs="Arial"/>
          <w:szCs w:val="22"/>
        </w:rPr>
        <w:tab/>
      </w:r>
      <w:r w:rsidR="0042465B">
        <w:rPr>
          <w:rFonts w:ascii="Arial" w:hAnsi="Arial" w:cs="Arial"/>
          <w:szCs w:val="22"/>
        </w:rPr>
        <w:t xml:space="preserve">Česká spořitelna a.s., </w:t>
      </w:r>
      <w:r>
        <w:rPr>
          <w:rFonts w:ascii="Arial" w:hAnsi="Arial" w:cs="Arial"/>
          <w:szCs w:val="22"/>
        </w:rPr>
        <w:t>č. účtu</w:t>
      </w:r>
      <w:r w:rsidR="0042465B">
        <w:rPr>
          <w:rFonts w:ascii="Arial" w:hAnsi="Arial" w:cs="Arial"/>
          <w:szCs w:val="22"/>
        </w:rPr>
        <w:t>: 1928919369/0800</w:t>
      </w:r>
      <w:r w:rsidRPr="00705361">
        <w:rPr>
          <w:rFonts w:ascii="Arial" w:hAnsi="Arial" w:cs="Arial"/>
          <w:szCs w:val="22"/>
        </w:rPr>
        <w:tab/>
      </w:r>
    </w:p>
    <w:p w:rsidR="009B7A4F" w:rsidRPr="004153C7" w:rsidP="009B7A4F">
      <w:pPr>
        <w:suppressAutoHyphens/>
        <w:rPr>
          <w:rFonts w:ascii="Arial" w:hAnsi="Arial" w:cs="Arial"/>
          <w:szCs w:val="22"/>
        </w:rPr>
      </w:pPr>
      <w:r w:rsidRPr="00705361">
        <w:rPr>
          <w:rFonts w:ascii="Arial" w:hAnsi="Arial" w:cs="Arial"/>
          <w:szCs w:val="22"/>
        </w:rPr>
        <w:t>(dále jen „</w:t>
      </w:r>
      <w:r w:rsidRPr="00705361">
        <w:rPr>
          <w:rFonts w:ascii="Arial" w:hAnsi="Arial" w:cs="Arial"/>
          <w:b/>
          <w:szCs w:val="22"/>
        </w:rPr>
        <w:t>příkazník</w:t>
      </w:r>
      <w:r w:rsidRPr="00705361">
        <w:rPr>
          <w:rFonts w:ascii="Arial" w:hAnsi="Arial" w:cs="Arial"/>
          <w:szCs w:val="22"/>
        </w:rPr>
        <w:t>“)</w:t>
      </w:r>
    </w:p>
    <w:p w:rsidR="009B7A4F" w:rsidRPr="00B611F1" w:rsidP="009B7A4F">
      <w:pPr>
        <w:tabs>
          <w:tab w:val="left" w:pos="1276"/>
        </w:tabs>
        <w:suppressAutoHyphens/>
        <w:rPr>
          <w:rFonts w:ascii="Arial" w:hAnsi="Arial" w:cs="Arial"/>
          <w:szCs w:val="22"/>
        </w:rPr>
      </w:pPr>
    </w:p>
    <w:p w:rsidR="009B7A4F" w:rsidP="009B7A4F">
      <w:pPr>
        <w:pStyle w:val="BodyText"/>
        <w:suppressAutoHyphens/>
        <w:rPr>
          <w:rFonts w:ascii="Arial" w:hAnsi="Arial" w:cs="Arial"/>
          <w:snapToGrid w:val="0"/>
          <w:sz w:val="22"/>
          <w:szCs w:val="22"/>
        </w:rPr>
      </w:pPr>
      <w:r w:rsidRPr="00996769">
        <w:rPr>
          <w:rFonts w:ascii="Arial" w:hAnsi="Arial" w:cs="Arial"/>
          <w:snapToGrid w:val="0"/>
          <w:sz w:val="22"/>
          <w:szCs w:val="22"/>
        </w:rPr>
        <w:t xml:space="preserve">uzavírají níže uvedeného dne, měsíce a roku </w:t>
      </w:r>
      <w:r>
        <w:rPr>
          <w:rFonts w:ascii="Arial" w:hAnsi="Arial" w:cs="Arial"/>
          <w:snapToGrid w:val="0"/>
          <w:sz w:val="22"/>
          <w:szCs w:val="22"/>
          <w:lang w:val="cs-CZ"/>
        </w:rPr>
        <w:t xml:space="preserve">v souladu s ustanovením § 2430 a násl. zákona č. 89/2012 Sb., občanský zákoník, ve znění pozdějších předpisů (dále jen „občanský zákoník“), </w:t>
      </w:r>
      <w:r w:rsidRPr="00996769">
        <w:rPr>
          <w:rFonts w:ascii="Arial" w:hAnsi="Arial" w:cs="Arial"/>
          <w:snapToGrid w:val="0"/>
          <w:sz w:val="22"/>
          <w:szCs w:val="22"/>
        </w:rPr>
        <w:t xml:space="preserve">tuto </w:t>
      </w:r>
      <w:r>
        <w:rPr>
          <w:rFonts w:ascii="Arial" w:hAnsi="Arial" w:cs="Arial"/>
          <w:snapToGrid w:val="0"/>
          <w:sz w:val="22"/>
          <w:szCs w:val="22"/>
        </w:rPr>
        <w:t>příkazní</w:t>
      </w:r>
      <w:r w:rsidRPr="00996769">
        <w:rPr>
          <w:rFonts w:ascii="Arial" w:hAnsi="Arial" w:cs="Arial"/>
          <w:snapToGrid w:val="0"/>
          <w:sz w:val="22"/>
          <w:szCs w:val="22"/>
        </w:rPr>
        <w:t xml:space="preserve"> smlouvu (dále jen „</w:t>
      </w:r>
      <w:r>
        <w:rPr>
          <w:rFonts w:ascii="Arial" w:hAnsi="Arial" w:cs="Arial"/>
          <w:snapToGrid w:val="0"/>
          <w:sz w:val="22"/>
          <w:szCs w:val="22"/>
        </w:rPr>
        <w:t>s</w:t>
      </w:r>
      <w:r w:rsidRPr="00996769">
        <w:rPr>
          <w:rFonts w:ascii="Arial" w:hAnsi="Arial" w:cs="Arial"/>
          <w:snapToGrid w:val="0"/>
          <w:sz w:val="22"/>
          <w:szCs w:val="22"/>
        </w:rPr>
        <w:t>mlouva“).</w:t>
      </w:r>
    </w:p>
    <w:p w:rsidR="009B7A4F" w:rsidRPr="00B87895" w:rsidP="009B7A4F">
      <w:pPr>
        <w:pStyle w:val="Heading2"/>
        <w:suppressAutoHyphens/>
        <w:jc w:val="center"/>
        <w:rPr>
          <w:rFonts w:ascii="Arial" w:hAnsi="Arial" w:cs="Arial"/>
          <w:bCs w:val="0"/>
          <w:i w:val="0"/>
          <w:sz w:val="22"/>
          <w:szCs w:val="22"/>
        </w:rPr>
      </w:pPr>
      <w:r w:rsidRPr="00B87895">
        <w:rPr>
          <w:rFonts w:ascii="Arial" w:hAnsi="Arial" w:cs="Arial"/>
          <w:bCs w:val="0"/>
          <w:i w:val="0"/>
          <w:sz w:val="22"/>
          <w:szCs w:val="22"/>
        </w:rPr>
        <w:t>Čl. I</w:t>
      </w:r>
    </w:p>
    <w:p w:rsidR="009B7A4F" w:rsidRPr="00996769" w:rsidP="009B7A4F">
      <w:pPr>
        <w:suppressAutoHyphens/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Předmět a účel smlouvy</w:t>
      </w:r>
    </w:p>
    <w:p w:rsidR="009B7A4F" w:rsidRPr="00996769" w:rsidP="009B7A4F">
      <w:pPr>
        <w:suppressAutoHyphens/>
        <w:jc w:val="center"/>
        <w:rPr>
          <w:rFonts w:ascii="Arial" w:hAnsi="Arial" w:cs="Arial"/>
          <w:b/>
          <w:szCs w:val="22"/>
        </w:rPr>
      </w:pPr>
    </w:p>
    <w:p w:rsidR="009B7A4F" w:rsidRPr="003D0F95" w:rsidP="009B7A4F">
      <w:pPr>
        <w:pStyle w:val="ListParagraph"/>
        <w:numPr>
          <w:ilvl w:val="0"/>
          <w:numId w:val="37"/>
        </w:numPr>
        <w:suppressAutoHyphens/>
        <w:spacing w:before="240" w:after="240"/>
        <w:ind w:left="284" w:right="96" w:hanging="284"/>
        <w:jc w:val="both"/>
        <w:rPr>
          <w:rFonts w:ascii="Arial" w:hAnsi="Arial" w:cs="Arial"/>
        </w:rPr>
      </w:pPr>
      <w:r w:rsidRPr="003F3544">
        <w:rPr>
          <w:rFonts w:ascii="Arial" w:hAnsi="Arial" w:cs="Arial"/>
          <w:szCs w:val="22"/>
        </w:rPr>
        <w:t xml:space="preserve">Předmětem této smlouvy je závazek příkazníka zajišťovat pro příkazce výkon funkce technického dozoru stavebníka (dále jen „TDS“) nad prováděním stavby </w:t>
      </w:r>
      <w:r w:rsidRPr="003F3544">
        <w:rPr>
          <w:rFonts w:ascii="Arial" w:hAnsi="Arial" w:cs="Arial"/>
          <w:b/>
          <w:i/>
          <w:szCs w:val="22"/>
        </w:rPr>
        <w:t>„</w:t>
      </w:r>
      <w:r w:rsidRPr="003F3544">
        <w:rPr>
          <w:rFonts w:ascii="Arial" w:hAnsi="Arial" w:cs="Arial"/>
          <w:szCs w:val="22"/>
        </w:rPr>
        <w:t>Úpravy Slavíčkovy vily pro zřízení dětských skupin</w:t>
      </w:r>
      <w:r w:rsidRPr="003F3544">
        <w:rPr>
          <w:rFonts w:ascii="Arial" w:hAnsi="Arial" w:cs="Arial"/>
          <w:bCs/>
          <w:szCs w:val="22"/>
        </w:rPr>
        <w:t xml:space="preserve">“ </w:t>
      </w:r>
      <w:r w:rsidRPr="003F3544">
        <w:rPr>
          <w:rFonts w:ascii="Arial" w:hAnsi="Arial" w:cs="Arial"/>
          <w:szCs w:val="22"/>
        </w:rPr>
        <w:t>za podmínek stanovených touto smlouvou, s obecně závaznými právními předpisy, interními p</w:t>
      </w:r>
      <w:r>
        <w:rPr>
          <w:rFonts w:ascii="Arial" w:hAnsi="Arial" w:cs="Arial"/>
          <w:szCs w:val="22"/>
        </w:rPr>
        <w:t xml:space="preserve">ředpisy a ostatními předpisy, </w:t>
      </w:r>
      <w:r>
        <w:rPr>
          <w:rFonts w:ascii="Arial" w:hAnsi="Arial" w:cs="Arial"/>
          <w:szCs w:val="22"/>
        </w:rPr>
        <w:t>a </w:t>
      </w:r>
      <w:r w:rsidRPr="003F3544">
        <w:rPr>
          <w:rFonts w:ascii="Arial" w:hAnsi="Arial" w:cs="Arial"/>
          <w:szCs w:val="22"/>
        </w:rPr>
        <w:t xml:space="preserve">závazek příkazce platit příkazníkovi za jednotlivé činnosti sjednanou cenu (dále také jen „odměna“). </w:t>
      </w:r>
    </w:p>
    <w:p w:rsidR="009B7A4F" w:rsidRPr="003D0F95" w:rsidP="009B7A4F">
      <w:pPr>
        <w:pStyle w:val="ListParagraph"/>
        <w:suppressAutoHyphens/>
        <w:spacing w:before="240" w:after="240"/>
        <w:ind w:left="284" w:right="96"/>
        <w:jc w:val="both"/>
        <w:rPr>
          <w:rFonts w:ascii="Arial" w:hAnsi="Arial" w:cs="Arial"/>
        </w:rPr>
      </w:pPr>
    </w:p>
    <w:p w:rsidR="009B7A4F" w:rsidP="009B7A4F">
      <w:pPr>
        <w:pStyle w:val="ListParagraph"/>
        <w:numPr>
          <w:ilvl w:val="0"/>
          <w:numId w:val="37"/>
        </w:numPr>
        <w:suppressAutoHyphens/>
        <w:spacing w:before="240" w:after="240"/>
        <w:ind w:left="284" w:right="96" w:hanging="284"/>
        <w:jc w:val="both"/>
        <w:rPr>
          <w:rFonts w:ascii="Arial" w:hAnsi="Arial" w:cs="Arial"/>
        </w:rPr>
      </w:pPr>
      <w:r w:rsidRPr="003F3544">
        <w:rPr>
          <w:rFonts w:ascii="Arial" w:hAnsi="Arial" w:cs="Arial"/>
          <w:szCs w:val="22"/>
        </w:rPr>
        <w:t xml:space="preserve">Účelem této smlouvy je provedení všech činností TDS tak, aby stavba byla dokončena řádně a včas, v souladu se </w:t>
      </w:r>
      <w:r w:rsidRPr="003F3544">
        <w:rPr>
          <w:rFonts w:ascii="Arial" w:hAnsi="Arial" w:cs="Arial"/>
          <w:bCs/>
          <w:szCs w:val="22"/>
        </w:rPr>
        <w:t>smlouvou o dílo se zhotovitelem stavby</w:t>
      </w:r>
      <w:r w:rsidRPr="003F3544">
        <w:rPr>
          <w:rFonts w:ascii="Arial" w:hAnsi="Arial" w:cs="Arial"/>
          <w:szCs w:val="22"/>
        </w:rPr>
        <w:t xml:space="preserve"> </w:t>
      </w:r>
      <w:r w:rsidRPr="003F3544">
        <w:rPr>
          <w:rFonts w:ascii="Arial" w:hAnsi="Arial" w:cs="Arial"/>
          <w:szCs w:val="22"/>
        </w:rPr>
        <w:br/>
        <w:t>a dle dokumentace pro zadání stavby</w:t>
      </w:r>
      <w:r w:rsidRPr="003F3544">
        <w:rPr>
          <w:rFonts w:ascii="Arial" w:hAnsi="Arial" w:cs="Arial"/>
        </w:rPr>
        <w:t xml:space="preserve"> zpracované projektovou kanceláří FACT, s.r.o., se sídlem Podolská 401/50, 147 00 Praha 4 – Úpravy Slavíčkovy vily pro zřízení dětské skupiny, Slavíčkova 628, Praha 6 (dále jen „</w:t>
      </w:r>
      <w:r w:rsidRPr="003F3544">
        <w:rPr>
          <w:rFonts w:ascii="Arial" w:hAnsi="Arial" w:cs="Arial"/>
          <w:b/>
        </w:rPr>
        <w:t>DZS</w:t>
      </w:r>
      <w:r w:rsidRPr="003F3544">
        <w:rPr>
          <w:rFonts w:ascii="Arial" w:hAnsi="Arial" w:cs="Arial"/>
        </w:rPr>
        <w:t>“) a v oceněném soupisu prací - Soupis prací Úpravy Slavíčkovy vily pro zřízení dětský</w:t>
      </w:r>
      <w:r>
        <w:rPr>
          <w:rFonts w:ascii="Arial" w:hAnsi="Arial" w:cs="Arial"/>
        </w:rPr>
        <w:t>ch skupin z nabídky zhotovitele.</w:t>
      </w:r>
    </w:p>
    <w:p w:rsidR="009B7A4F" w:rsidP="009B7A4F">
      <w:pPr>
        <w:pStyle w:val="ListParagraph"/>
        <w:suppressAutoHyphens/>
        <w:spacing w:before="240" w:after="240"/>
        <w:ind w:left="284" w:right="96"/>
        <w:jc w:val="both"/>
        <w:rPr>
          <w:rFonts w:ascii="Arial" w:hAnsi="Arial" w:cs="Arial"/>
        </w:rPr>
      </w:pPr>
    </w:p>
    <w:p w:rsidR="009B7A4F" w:rsidRPr="003F3544" w:rsidP="009B7A4F">
      <w:pPr>
        <w:pStyle w:val="ListParagraph"/>
        <w:numPr>
          <w:ilvl w:val="0"/>
          <w:numId w:val="37"/>
        </w:numPr>
        <w:suppressAutoHyphens/>
        <w:spacing w:before="240"/>
        <w:ind w:left="284" w:right="96" w:hanging="284"/>
        <w:jc w:val="both"/>
        <w:rPr>
          <w:rFonts w:ascii="Arial" w:hAnsi="Arial" w:cs="Arial"/>
        </w:rPr>
      </w:pPr>
      <w:r w:rsidRPr="003F3544">
        <w:rPr>
          <w:rFonts w:ascii="Arial" w:hAnsi="Arial" w:cs="Arial"/>
          <w:szCs w:val="22"/>
        </w:rPr>
        <w:t>Obsahem TDS je provádění všech činností, které vyplývají z rozsahu stavby v souladu se zákonem č. 183/2006 Sb., stavební zákon, ve znění pozdějších předpisů (dále jen „stavební zákon“) a dalšími souvisejícími právními a ostatními předpisy, a to zejména:</w:t>
      </w:r>
    </w:p>
    <w:p w:rsidR="009B7A4F" w:rsidP="009B7A4F">
      <w:pPr>
        <w:numPr>
          <w:ilvl w:val="0"/>
          <w:numId w:val="2"/>
        </w:numPr>
        <w:suppressAutoHyphens/>
        <w:spacing w:after="120"/>
        <w:ind w:left="1074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inženýrská činnost v průběhu stavby dle potřeb a požadavků příkazce; </w:t>
      </w:r>
    </w:p>
    <w:p w:rsidR="009B7A4F" w:rsidP="009B7A4F">
      <w:pPr>
        <w:numPr>
          <w:ilvl w:val="0"/>
          <w:numId w:val="2"/>
        </w:numPr>
        <w:suppressAutoHyphens/>
        <w:spacing w:after="120"/>
        <w:ind w:left="1074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seznámení se s podklady, podle kterých se připravuje realizace stavby;</w:t>
      </w:r>
    </w:p>
    <w:p w:rsidR="009B7A4F" w:rsidP="009B7A4F">
      <w:pPr>
        <w:numPr>
          <w:ilvl w:val="0"/>
          <w:numId w:val="2"/>
        </w:numPr>
        <w:suppressAutoHyphens/>
        <w:spacing w:after="120"/>
        <w:ind w:left="1074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předání staveniště zhotoviteli stavby včetně zápisu předání do stavebního deníku;</w:t>
      </w:r>
    </w:p>
    <w:p w:rsidR="009B7A4F" w:rsidP="009B7A4F">
      <w:pPr>
        <w:numPr>
          <w:ilvl w:val="0"/>
          <w:numId w:val="2"/>
        </w:numPr>
        <w:suppressAutoHyphens/>
        <w:spacing w:after="120"/>
        <w:ind w:left="1074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organizace kontrolních dnů na stavbě a pořizování zápisů z nich;</w:t>
      </w:r>
    </w:p>
    <w:p w:rsidR="009B7A4F" w:rsidP="009B7A4F">
      <w:pPr>
        <w:numPr>
          <w:ilvl w:val="0"/>
          <w:numId w:val="2"/>
        </w:numPr>
        <w:suppressAutoHyphens/>
        <w:spacing w:after="120"/>
        <w:ind w:left="1074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zabezpečení dodržení podmínek, závazného stanoviska Odboru památkové péče MHMP</w:t>
      </w:r>
      <w:r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szCs w:val="22"/>
        </w:rPr>
        <w:t>a dodržení podmínek všech dalších dotčených orgánů;</w:t>
      </w:r>
    </w:p>
    <w:p w:rsidR="009B7A4F" w:rsidP="009B7A4F">
      <w:pPr>
        <w:numPr>
          <w:ilvl w:val="0"/>
          <w:numId w:val="2"/>
        </w:numPr>
        <w:suppressAutoHyphens/>
        <w:spacing w:after="120"/>
        <w:ind w:left="1074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péče o systematické doplňování dokumentace, podle které se stavba realizuje, evidence dokumentace dokončených částí stavby;</w:t>
      </w:r>
    </w:p>
    <w:p w:rsidR="009B7A4F" w:rsidP="009B7A4F">
      <w:pPr>
        <w:numPr>
          <w:ilvl w:val="0"/>
          <w:numId w:val="2"/>
        </w:numPr>
        <w:suppressAutoHyphens/>
        <w:spacing w:after="120"/>
        <w:ind w:left="1074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odsouhlasení doplňků a nutných změn, které nezvyšují náklady stavby, neprodlužují lhůtu výstavby a nerozšiřují parametry stavby, po předchozím souhlasu příkazce;</w:t>
      </w:r>
    </w:p>
    <w:p w:rsidR="009B7A4F" w:rsidP="009B7A4F">
      <w:pPr>
        <w:numPr>
          <w:ilvl w:val="0"/>
          <w:numId w:val="2"/>
        </w:numPr>
        <w:suppressAutoHyphens/>
        <w:spacing w:after="120"/>
        <w:ind w:left="1074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kontrola a odpovědnost za čerpání finančních prostředků, věcné a cenové správnosti a úplnosti oceňovaných podkladů a faktur, jejich soulad s podmínkami uvedenými ve smlouvě o dílo uzavřené se zhotovitelem stavby a jejich předkládání k úhradě příkazci nebo jejich vrácení s reklamačním dopisem zhotoviteli stavby a vyrozumění příkazce o vrácení faktury;</w:t>
      </w:r>
    </w:p>
    <w:p w:rsidR="009B7A4F" w:rsidP="009B7A4F">
      <w:pPr>
        <w:numPr>
          <w:ilvl w:val="0"/>
          <w:numId w:val="2"/>
        </w:numPr>
        <w:suppressAutoHyphens/>
        <w:spacing w:after="120"/>
        <w:ind w:left="1074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kontrola návrhů rozsahu oceňovaných podkladů na provádění prací nad rámec smlouvy o dílo se zhotovitelem stavby (tzv. vícepráce) a jejich předkládání příkazci k odsouhlasení. Kontrola bude pro</w:t>
      </w:r>
      <w:r w:rsidR="00C3218C">
        <w:rPr>
          <w:rFonts w:ascii="Arial" w:hAnsi="Arial" w:cs="Arial"/>
          <w:szCs w:val="22"/>
        </w:rPr>
        <w:t>vedena formou změnových listů a </w:t>
      </w:r>
      <w:r>
        <w:rPr>
          <w:rFonts w:ascii="Arial" w:hAnsi="Arial" w:cs="Arial"/>
          <w:szCs w:val="22"/>
        </w:rPr>
        <w:t>zjišťovacích protokolů o skutečném rozsahu provedených prací;</w:t>
      </w:r>
    </w:p>
    <w:p w:rsidR="009B7A4F" w:rsidP="009B7A4F">
      <w:pPr>
        <w:numPr>
          <w:ilvl w:val="0"/>
          <w:numId w:val="2"/>
        </w:numPr>
        <w:suppressAutoHyphens/>
        <w:spacing w:after="120"/>
        <w:ind w:left="1074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prověření těch částí stavby, které budou při dalším postupu stavby zakryty nebo se stanou nepřístupnými, zapsání výsledku tohoto prověření do stavebního deníku a zajištění potvrzení zápisu zhotovitelem stavby;</w:t>
      </w:r>
    </w:p>
    <w:p w:rsidR="009B7A4F" w:rsidP="009B7A4F">
      <w:pPr>
        <w:numPr>
          <w:ilvl w:val="0"/>
          <w:numId w:val="2"/>
        </w:numPr>
        <w:suppressAutoHyphens/>
        <w:spacing w:after="120"/>
        <w:ind w:left="1074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ve spolupráci s autorským dozorem projektanta kontrola souladu realizovaných dodávek a prací s DZS. V případě zjištění nesouladu návrh relevantních opatření;</w:t>
      </w:r>
    </w:p>
    <w:p w:rsidR="009B7A4F" w:rsidP="009B7A4F">
      <w:pPr>
        <w:numPr>
          <w:ilvl w:val="0"/>
          <w:numId w:val="2"/>
        </w:numPr>
        <w:suppressAutoHyphens/>
        <w:spacing w:after="120"/>
        <w:ind w:left="1074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jednání a koordinace s dotčenými orgány v průběhu stavby;</w:t>
      </w:r>
    </w:p>
    <w:p w:rsidR="009B7A4F" w:rsidP="009B7A4F">
      <w:pPr>
        <w:numPr>
          <w:ilvl w:val="0"/>
          <w:numId w:val="2"/>
        </w:numPr>
        <w:suppressAutoHyphens/>
        <w:spacing w:after="120"/>
        <w:ind w:left="1074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kontrola kvality prováděných prací a dodaného materiálu v souladu s právními předpisy, technickými normami, smlouvou o dílo uzavřenou se zhotovitelem stavby a DZS;</w:t>
      </w:r>
    </w:p>
    <w:p w:rsidR="009B7A4F" w:rsidP="009B7A4F">
      <w:pPr>
        <w:numPr>
          <w:ilvl w:val="0"/>
          <w:numId w:val="2"/>
        </w:numPr>
        <w:suppressAutoHyphens/>
        <w:spacing w:after="120"/>
        <w:ind w:left="1074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kontrola vedení stavebního deníku v souladu s podmínkami uvedenými ve smlouvě o dílo se zhotovitelem stavby, zejména potvrzování zápisů ve stavebním deníku, včetně stanovisek k nim;</w:t>
      </w:r>
    </w:p>
    <w:p w:rsidR="009B7A4F" w:rsidP="009B7A4F">
      <w:pPr>
        <w:numPr>
          <w:ilvl w:val="0"/>
          <w:numId w:val="2"/>
        </w:numPr>
        <w:suppressAutoHyphens/>
        <w:spacing w:after="120"/>
        <w:ind w:left="1074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zápisy přítomnosti TDS na stavbě do stavebního deníku;</w:t>
      </w:r>
    </w:p>
    <w:p w:rsidR="009B7A4F" w:rsidP="009B7A4F">
      <w:pPr>
        <w:numPr>
          <w:ilvl w:val="0"/>
          <w:numId w:val="2"/>
        </w:numPr>
        <w:suppressAutoHyphens/>
        <w:spacing w:after="120"/>
        <w:ind w:left="1074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kontrola postupu prací podle časového harmonogramu stavby a upozornění příkazce a zhotovitele stavby na nedodržení termínů, včetně přípravy podkladů k uplatnění a vymáhání sankcí;</w:t>
      </w:r>
    </w:p>
    <w:p w:rsidR="009B7A4F" w:rsidP="009B7A4F">
      <w:pPr>
        <w:numPr>
          <w:ilvl w:val="0"/>
          <w:numId w:val="2"/>
        </w:numPr>
        <w:suppressAutoHyphens/>
        <w:spacing w:after="120"/>
        <w:ind w:left="1071" w:hanging="357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účast na předem hlášených jednáních (kontrolách) vyvolaných kontrolními orgány v souvislosti s realizací stavby a činností zhotovitele stavby (např. příslušný stavební úřad, orgán památkové péče);</w:t>
      </w:r>
    </w:p>
    <w:p w:rsidR="009B7A4F" w:rsidP="009B7A4F">
      <w:pPr>
        <w:numPr>
          <w:ilvl w:val="0"/>
          <w:numId w:val="2"/>
        </w:numPr>
        <w:suppressAutoHyphens/>
        <w:spacing w:after="120"/>
        <w:ind w:left="1074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povinnost dostavit se na kontrolní prohlídku na základě výzvy příkazce; tuto výzvu je příkazce povinen odeslat příkazníkovi min. 3 pracovní dny před termínem konání kontrolní prohlídky svolané příkazcem na kontaktní e-mail příkazníka;</w:t>
      </w:r>
    </w:p>
    <w:p w:rsidR="009B7A4F" w:rsidP="009B7A4F">
      <w:pPr>
        <w:numPr>
          <w:ilvl w:val="0"/>
          <w:numId w:val="2"/>
        </w:numPr>
        <w:suppressAutoHyphens/>
        <w:spacing w:after="120"/>
        <w:ind w:left="1074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kontrola odstraňování vad a nedodělků zjištěných při přejímacím řízení, popř. v dohodnutých termínech;</w:t>
      </w:r>
    </w:p>
    <w:p w:rsidR="009B7A4F" w:rsidP="009B7A4F">
      <w:pPr>
        <w:numPr>
          <w:ilvl w:val="0"/>
          <w:numId w:val="2"/>
        </w:numPr>
        <w:suppressAutoHyphens/>
        <w:spacing w:after="120"/>
        <w:ind w:left="1074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organizační zajištění přejímacího řízení včetně podpisu protokolu o předání </w:t>
      </w:r>
      <w:r>
        <w:rPr>
          <w:rFonts w:ascii="Arial" w:hAnsi="Arial" w:cs="Arial"/>
          <w:szCs w:val="22"/>
        </w:rPr>
        <w:br/>
        <w:t>a převzetí stavby, zhotovení soupisu vad a</w:t>
      </w:r>
      <w:r w:rsidR="00C3218C">
        <w:rPr>
          <w:rFonts w:ascii="Arial" w:hAnsi="Arial" w:cs="Arial"/>
          <w:szCs w:val="22"/>
        </w:rPr>
        <w:t xml:space="preserve"> nedodělků a účast na jednání o </w:t>
      </w:r>
      <w:r>
        <w:rPr>
          <w:rFonts w:ascii="Arial" w:hAnsi="Arial" w:cs="Arial"/>
          <w:szCs w:val="22"/>
        </w:rPr>
        <w:t>předání dokončené stavby příkazci;</w:t>
      </w:r>
    </w:p>
    <w:p w:rsidR="009B7A4F" w:rsidP="009B7A4F">
      <w:pPr>
        <w:numPr>
          <w:ilvl w:val="0"/>
          <w:numId w:val="2"/>
        </w:numPr>
        <w:suppressAutoHyphens/>
        <w:spacing w:after="120"/>
        <w:ind w:left="1074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bezodkladné informování příkazce o všech závažných okolnostech;</w:t>
      </w:r>
    </w:p>
    <w:p w:rsidR="009B7A4F" w:rsidP="009B7A4F">
      <w:pPr>
        <w:numPr>
          <w:ilvl w:val="0"/>
          <w:numId w:val="2"/>
        </w:numPr>
        <w:suppressAutoHyphens/>
        <w:spacing w:after="120"/>
        <w:ind w:left="1071" w:hanging="357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účast na závěrečné kontrolní prohlídce včetně poskytnutí veškeré součinnosti příkazci pro vydání kolaudačního souhlasu a kontrola dokladů, které doloží zhotovitel k předání dokončené stavby;</w:t>
      </w:r>
    </w:p>
    <w:p w:rsidR="0040544B" w:rsidP="0040544B">
      <w:pPr>
        <w:numPr>
          <w:ilvl w:val="0"/>
          <w:numId w:val="2"/>
        </w:numPr>
        <w:suppressAutoHyphens/>
        <w:spacing w:after="120"/>
        <w:ind w:left="1071" w:hanging="357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spoluprác</w:t>
      </w:r>
      <w:r>
        <w:rPr>
          <w:rFonts w:ascii="Arial" w:hAnsi="Arial" w:cs="Arial"/>
          <w:szCs w:val="22"/>
        </w:rPr>
        <w:t>e</w:t>
      </w:r>
      <w:r>
        <w:rPr>
          <w:rFonts w:ascii="Arial" w:hAnsi="Arial" w:cs="Arial"/>
          <w:szCs w:val="22"/>
        </w:rPr>
        <w:t xml:space="preserve"> při závěrečném vyúčtování stavby;</w:t>
      </w:r>
    </w:p>
    <w:p w:rsidR="0040544B" w:rsidRPr="0040544B" w:rsidP="0040544B">
      <w:pPr>
        <w:numPr>
          <w:ilvl w:val="0"/>
          <w:numId w:val="2"/>
        </w:numPr>
        <w:suppressAutoHyphens/>
        <w:spacing w:after="120"/>
        <w:ind w:left="1071" w:hanging="357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spolupráce při vypracování protokolu „</w:t>
      </w:r>
      <w:r w:rsidR="00EF6AE8">
        <w:rPr>
          <w:rFonts w:ascii="Arial" w:hAnsi="Arial" w:cs="Arial"/>
          <w:szCs w:val="22"/>
        </w:rPr>
        <w:t>P</w:t>
      </w:r>
      <w:r w:rsidRPr="0040544B" w:rsidR="00EF6AE8">
        <w:rPr>
          <w:rFonts w:ascii="Arial" w:hAnsi="Arial" w:cs="Arial"/>
          <w:szCs w:val="22"/>
        </w:rPr>
        <w:t xml:space="preserve">otvrzení o splnění požadavků/podmínek </w:t>
      </w:r>
      <w:r w:rsidR="00EF6AE8">
        <w:rPr>
          <w:rFonts w:ascii="Arial" w:hAnsi="Arial" w:cs="Arial"/>
          <w:szCs w:val="22"/>
        </w:rPr>
        <w:t>DNSH</w:t>
      </w:r>
      <w:r>
        <w:rPr>
          <w:rFonts w:ascii="Arial" w:hAnsi="Arial" w:cs="Arial"/>
          <w:szCs w:val="22"/>
        </w:rPr>
        <w:t xml:space="preserve">“ </w:t>
      </w:r>
      <w:r w:rsidR="00EF6AE8">
        <w:rPr>
          <w:rFonts w:ascii="Arial" w:hAnsi="Arial" w:cs="Arial"/>
          <w:szCs w:val="22"/>
        </w:rPr>
        <w:t>v souladu s podmínkami</w:t>
      </w:r>
      <w:r>
        <w:rPr>
          <w:rFonts w:ascii="Arial" w:hAnsi="Arial" w:cs="Arial"/>
          <w:szCs w:val="22"/>
        </w:rPr>
        <w:t xml:space="preserve"> Národního plánu obnovy,</w:t>
      </w:r>
    </w:p>
    <w:p w:rsidR="009B7A4F" w:rsidP="009B7A4F">
      <w:pPr>
        <w:numPr>
          <w:ilvl w:val="0"/>
          <w:numId w:val="2"/>
        </w:numPr>
        <w:suppressAutoHyphens/>
        <w:spacing w:after="120"/>
        <w:ind w:left="1134" w:hanging="426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další činnosti vedoucí k zabezpečení plynulého a nejhospodárnějšího postupu vedoucímu ke zdárnému dokončení stavby.</w:t>
      </w:r>
    </w:p>
    <w:p w:rsidR="009B7A4F" w:rsidP="009B7A4F">
      <w:pPr>
        <w:pStyle w:val="ListParagraph"/>
        <w:suppressAutoHyphens/>
        <w:spacing w:after="120"/>
        <w:ind w:left="426" w:hanging="426"/>
        <w:contextualSpacing w:val="0"/>
        <w:jc w:val="both"/>
        <w:rPr>
          <w:rFonts w:ascii="Arial" w:hAnsi="Arial" w:cs="Arial"/>
          <w:szCs w:val="22"/>
        </w:rPr>
      </w:pPr>
    </w:p>
    <w:p w:rsidR="009B7A4F" w:rsidP="009B7A4F">
      <w:pPr>
        <w:pStyle w:val="ListParagraph"/>
        <w:numPr>
          <w:ilvl w:val="0"/>
          <w:numId w:val="37"/>
        </w:numPr>
        <w:suppressAutoHyphens/>
        <w:spacing w:after="120"/>
        <w:ind w:left="426" w:hanging="426"/>
        <w:jc w:val="both"/>
        <w:rPr>
          <w:rFonts w:ascii="Arial" w:hAnsi="Arial" w:cs="Arial"/>
          <w:szCs w:val="22"/>
        </w:rPr>
      </w:pPr>
      <w:r w:rsidRPr="003F3544">
        <w:rPr>
          <w:rFonts w:ascii="Arial" w:hAnsi="Arial" w:cs="Arial"/>
          <w:szCs w:val="22"/>
        </w:rPr>
        <w:t>Při výkonu TDS je příkazník povinen provádět i činnosti výše výslovně neuvedené, pokud o nich příkazník, jakožto odborník, ví nebo má vědět, že jsou nezbytné pro řádné provádění stavby, tj. pro provádění stavby v nejvyšší normové jakosti kvality v souladu s platnými právními předpisy, ČSN a EN a dalšími ostatními předpisy a metodikami.</w:t>
      </w:r>
    </w:p>
    <w:p w:rsidR="009B7A4F" w:rsidP="009B7A4F">
      <w:pPr>
        <w:pStyle w:val="ListParagraph"/>
        <w:suppressAutoHyphens/>
        <w:spacing w:after="120"/>
        <w:ind w:left="426" w:hanging="426"/>
        <w:jc w:val="both"/>
        <w:rPr>
          <w:rFonts w:ascii="Arial" w:hAnsi="Arial" w:cs="Arial"/>
          <w:szCs w:val="22"/>
        </w:rPr>
      </w:pPr>
    </w:p>
    <w:p w:rsidR="009B7A4F" w:rsidRPr="003F3544" w:rsidP="009B7A4F">
      <w:pPr>
        <w:pStyle w:val="ListParagraph"/>
        <w:numPr>
          <w:ilvl w:val="0"/>
          <w:numId w:val="37"/>
        </w:numPr>
        <w:suppressAutoHyphens/>
        <w:spacing w:after="120"/>
        <w:ind w:left="426" w:hanging="426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Příkazník prohlašuje</w:t>
      </w:r>
      <w:r w:rsidRPr="003F3544">
        <w:rPr>
          <w:rFonts w:ascii="Arial" w:hAnsi="Arial" w:cs="Arial"/>
          <w:szCs w:val="22"/>
        </w:rPr>
        <w:t>, že se seznámil s DZS, pod</w:t>
      </w:r>
      <w:r w:rsidR="00C3218C">
        <w:rPr>
          <w:rFonts w:ascii="Arial" w:hAnsi="Arial" w:cs="Arial"/>
          <w:szCs w:val="22"/>
        </w:rPr>
        <w:t>mínkami stanoviska, prohlédl si </w:t>
      </w:r>
      <w:r w:rsidRPr="003F3544">
        <w:rPr>
          <w:rFonts w:ascii="Arial" w:hAnsi="Arial" w:cs="Arial"/>
          <w:szCs w:val="22"/>
        </w:rPr>
        <w:t>staveniště a je seznámen s rozsahem prací a činností, které bude vykonávat ve funkci TDS</w:t>
      </w:r>
      <w:r>
        <w:rPr>
          <w:rFonts w:ascii="Arial" w:hAnsi="Arial" w:cs="Arial"/>
          <w:szCs w:val="22"/>
        </w:rPr>
        <w:t>.</w:t>
      </w:r>
    </w:p>
    <w:p w:rsidR="009B7A4F" w:rsidRPr="003F3544" w:rsidP="009B7A4F">
      <w:pPr>
        <w:pStyle w:val="ListParagraph"/>
        <w:suppressAutoHyphens/>
        <w:spacing w:after="120"/>
        <w:jc w:val="both"/>
        <w:rPr>
          <w:rFonts w:ascii="Arial" w:hAnsi="Arial" w:cs="Arial"/>
          <w:szCs w:val="22"/>
        </w:rPr>
      </w:pPr>
    </w:p>
    <w:p w:rsidR="009B7A4F" w:rsidRPr="003B5794" w:rsidP="009B7A4F">
      <w:pPr>
        <w:pStyle w:val="Heading2"/>
        <w:suppressAutoHyphens/>
        <w:jc w:val="center"/>
        <w:rPr>
          <w:rFonts w:ascii="Arial" w:hAnsi="Arial" w:cs="Arial"/>
          <w:bCs w:val="0"/>
          <w:i w:val="0"/>
          <w:sz w:val="22"/>
          <w:szCs w:val="22"/>
        </w:rPr>
      </w:pPr>
      <w:r w:rsidRPr="003B5794">
        <w:rPr>
          <w:rFonts w:ascii="Arial" w:hAnsi="Arial" w:cs="Arial"/>
          <w:bCs w:val="0"/>
          <w:i w:val="0"/>
          <w:sz w:val="22"/>
          <w:szCs w:val="22"/>
        </w:rPr>
        <w:t>Čl. II</w:t>
      </w:r>
    </w:p>
    <w:p w:rsidR="009B7A4F" w:rsidP="009B7A4F">
      <w:pPr>
        <w:suppressAutoHyphens/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Místo a doba plnění</w:t>
      </w:r>
    </w:p>
    <w:p w:rsidR="009B7A4F" w:rsidP="009B7A4F">
      <w:pPr>
        <w:suppressAutoHyphens/>
        <w:jc w:val="center"/>
        <w:rPr>
          <w:rFonts w:ascii="Arial" w:hAnsi="Arial" w:cs="Arial"/>
          <w:b/>
          <w:bCs/>
          <w:szCs w:val="22"/>
        </w:rPr>
      </w:pPr>
    </w:p>
    <w:p w:rsidR="009B7A4F" w:rsidRPr="00C56794" w:rsidP="009B7A4F">
      <w:pPr>
        <w:pStyle w:val="ListParagraph"/>
        <w:numPr>
          <w:ilvl w:val="0"/>
          <w:numId w:val="7"/>
        </w:numPr>
        <w:suppressAutoHyphens/>
        <w:spacing w:after="120"/>
        <w:ind w:left="425" w:hanging="425"/>
        <w:contextualSpacing w:val="0"/>
        <w:jc w:val="both"/>
        <w:rPr>
          <w:rFonts w:ascii="Arial" w:hAnsi="Arial" w:cs="Arial"/>
          <w:szCs w:val="22"/>
        </w:rPr>
      </w:pPr>
      <w:r w:rsidRPr="00F6007B">
        <w:rPr>
          <w:rFonts w:ascii="Arial" w:hAnsi="Arial" w:cs="Arial"/>
          <w:szCs w:val="22"/>
        </w:rPr>
        <w:t xml:space="preserve">Místem plnění </w:t>
      </w:r>
      <w:r>
        <w:rPr>
          <w:rFonts w:ascii="Arial" w:hAnsi="Arial" w:cs="Arial"/>
          <w:szCs w:val="22"/>
        </w:rPr>
        <w:t xml:space="preserve">této veřejné zakázky </w:t>
      </w:r>
      <w:r w:rsidRPr="00F6007B">
        <w:rPr>
          <w:rFonts w:ascii="Arial" w:hAnsi="Arial" w:cs="Arial"/>
          <w:szCs w:val="22"/>
        </w:rPr>
        <w:t>je</w:t>
      </w:r>
      <w:r>
        <w:rPr>
          <w:rFonts w:ascii="Arial" w:hAnsi="Arial" w:cs="Arial"/>
          <w:szCs w:val="22"/>
        </w:rPr>
        <w:t xml:space="preserve"> objekt Suchardovy vily v ulici </w:t>
      </w:r>
      <w:r>
        <w:rPr>
          <w:rFonts w:ascii="Arial" w:hAnsi="Arial" w:cs="Arial"/>
        </w:rPr>
        <w:t>Slavíčkova 628, 160 </w:t>
      </w:r>
      <w:r w:rsidRPr="00BD4473">
        <w:rPr>
          <w:rFonts w:ascii="Arial" w:hAnsi="Arial" w:cs="Arial"/>
        </w:rPr>
        <w:t>00</w:t>
      </w:r>
      <w:r>
        <w:rPr>
          <w:rFonts w:ascii="Arial" w:hAnsi="Arial" w:cs="Arial"/>
        </w:rPr>
        <w:t>,</w:t>
      </w:r>
      <w:r w:rsidRPr="00BD4473">
        <w:rPr>
          <w:rFonts w:ascii="Arial" w:hAnsi="Arial" w:cs="Arial"/>
        </w:rPr>
        <w:t xml:space="preserve"> Praha 6</w:t>
      </w:r>
      <w:r w:rsidRPr="00AC09DD">
        <w:rPr>
          <w:rFonts w:ascii="Arial" w:hAnsi="Arial" w:cs="Arial"/>
          <w:snapToGrid w:val="0"/>
        </w:rPr>
        <w:t xml:space="preserve"> (dále jen „Objekt“)</w:t>
      </w:r>
      <w:r w:rsidRPr="00F6007B">
        <w:rPr>
          <w:rFonts w:ascii="Arial" w:hAnsi="Arial" w:cs="Arial"/>
          <w:szCs w:val="22"/>
        </w:rPr>
        <w:t xml:space="preserve">. </w:t>
      </w:r>
      <w:r>
        <w:rPr>
          <w:rFonts w:ascii="Arial" w:hAnsi="Arial" w:cs="Arial"/>
          <w:szCs w:val="22"/>
        </w:rPr>
        <w:t xml:space="preserve">Příkazce upozorňuje, že jde o nemovitou kulturní památku. </w:t>
      </w:r>
    </w:p>
    <w:p w:rsidR="009B7A4F" w:rsidRPr="003D0F95" w:rsidP="009B7A4F">
      <w:pPr>
        <w:pStyle w:val="ListParagraph"/>
        <w:numPr>
          <w:ilvl w:val="0"/>
          <w:numId w:val="7"/>
        </w:numPr>
        <w:suppressAutoHyphens/>
        <w:spacing w:after="120"/>
        <w:ind w:left="425" w:hanging="425"/>
        <w:contextualSpacing w:val="0"/>
        <w:jc w:val="both"/>
        <w:rPr>
          <w:rFonts w:ascii="Arial" w:hAnsi="Arial" w:cs="Arial"/>
          <w:szCs w:val="22"/>
        </w:rPr>
      </w:pPr>
      <w:r w:rsidRPr="00C56794">
        <w:rPr>
          <w:rFonts w:ascii="Arial" w:hAnsi="Arial" w:cs="Arial"/>
          <w:szCs w:val="22"/>
        </w:rPr>
        <w:t xml:space="preserve">Příkazník je povinen vykonávat činnosti TDS průběžně ode dne účinnosti této smlouvy do předání komplexního díla zhotovitelem stavby a převzetí stavby příkazcem bez vad a nedodělků, resp. do vydání pravomocného kolaudačního souhlasu (prvním úkonem příkazníka bude předání staveniště zhotoviteli stavby). </w:t>
      </w:r>
      <w:r w:rsidRPr="003D0F95">
        <w:rPr>
          <w:rFonts w:ascii="Arial" w:hAnsi="Arial" w:cs="Arial"/>
          <w:szCs w:val="22"/>
        </w:rPr>
        <w:t>Předpokládaný termín zahájení realizace stavby je únor 2025, předpokládaný termín ukončení služeb TDS je červenec 2025, předpokládané trvání služeb je 6 měsíců.</w:t>
      </w:r>
    </w:p>
    <w:p w:rsidR="009B7A4F" w:rsidRPr="003F3544" w:rsidP="009B7A4F">
      <w:pPr>
        <w:pStyle w:val="ListParagraph"/>
        <w:numPr>
          <w:ilvl w:val="0"/>
          <w:numId w:val="7"/>
        </w:numPr>
        <w:suppressAutoHyphens/>
        <w:spacing w:after="120"/>
        <w:ind w:left="426"/>
        <w:contextualSpacing w:val="0"/>
        <w:rPr>
          <w:rFonts w:ascii="Arial" w:hAnsi="Arial" w:cs="Arial"/>
          <w:szCs w:val="22"/>
        </w:rPr>
      </w:pPr>
      <w:r w:rsidRPr="00A15257">
        <w:rPr>
          <w:rFonts w:ascii="Arial" w:hAnsi="Arial" w:cs="Arial"/>
          <w:szCs w:val="22"/>
        </w:rPr>
        <w:t xml:space="preserve">Smluvní strany se dohodly, že </w:t>
      </w:r>
      <w:r>
        <w:rPr>
          <w:rFonts w:ascii="Arial" w:hAnsi="Arial" w:cs="Arial"/>
          <w:szCs w:val="22"/>
        </w:rPr>
        <w:t>minimální</w:t>
      </w:r>
      <w:r w:rsidRPr="00A15257">
        <w:rPr>
          <w:rFonts w:ascii="Arial" w:hAnsi="Arial" w:cs="Arial"/>
          <w:szCs w:val="22"/>
        </w:rPr>
        <w:t xml:space="preserve"> rozsah výkonu činností TDS je kontrola prací </w:t>
      </w:r>
      <w:r>
        <w:rPr>
          <w:rFonts w:ascii="Arial" w:hAnsi="Arial" w:cs="Arial"/>
          <w:szCs w:val="22"/>
        </w:rPr>
        <w:t xml:space="preserve">min. </w:t>
      </w:r>
      <w:r w:rsidRPr="00A15257">
        <w:rPr>
          <w:rFonts w:ascii="Arial" w:hAnsi="Arial" w:cs="Arial"/>
          <w:szCs w:val="22"/>
        </w:rPr>
        <w:t>2x týdně včetně KD (</w:t>
      </w:r>
      <w:r w:rsidRPr="003F3544">
        <w:rPr>
          <w:rFonts w:ascii="Arial" w:hAnsi="Arial" w:cs="Arial"/>
          <w:szCs w:val="22"/>
        </w:rPr>
        <w:t xml:space="preserve">1x týdně) </w:t>
      </w:r>
      <w:r>
        <w:rPr>
          <w:rFonts w:ascii="Arial" w:hAnsi="Arial" w:cs="Arial"/>
          <w:szCs w:val="22"/>
        </w:rPr>
        <w:t xml:space="preserve">a </w:t>
      </w:r>
      <w:r w:rsidRPr="003F3544">
        <w:rPr>
          <w:rFonts w:ascii="Arial" w:hAnsi="Arial" w:eastAsiaTheme="minorHAnsi" w:cs="Arial"/>
          <w:szCs w:val="22"/>
          <w:lang w:eastAsia="en-US"/>
        </w:rPr>
        <w:t>vč</w:t>
      </w:r>
      <w:r>
        <w:rPr>
          <w:rFonts w:ascii="Arial" w:hAnsi="Arial" w:eastAsiaTheme="minorHAnsi" w:cs="Arial"/>
          <w:szCs w:val="22"/>
          <w:lang w:eastAsia="en-US"/>
        </w:rPr>
        <w:t>etně</w:t>
      </w:r>
      <w:r w:rsidRPr="003F3544">
        <w:rPr>
          <w:rFonts w:ascii="Arial" w:hAnsi="Arial" w:eastAsiaTheme="minorHAnsi" w:cs="Arial"/>
          <w:szCs w:val="22"/>
          <w:lang w:eastAsia="en-US"/>
        </w:rPr>
        <w:t xml:space="preserve"> nutné a související administrativní činnosti.</w:t>
      </w:r>
      <w:r w:rsidRPr="003F3544">
        <w:rPr>
          <w:rFonts w:ascii="Arial" w:hAnsi="Arial" w:cs="Arial"/>
          <w:szCs w:val="22"/>
        </w:rPr>
        <w:t xml:space="preserve">  </w:t>
      </w:r>
    </w:p>
    <w:p w:rsidR="009B7A4F" w:rsidP="009B7A4F">
      <w:pPr>
        <w:pStyle w:val="ListParagraph"/>
        <w:suppressAutoHyphens/>
        <w:spacing w:after="120"/>
        <w:ind w:left="3966" w:firstLine="282"/>
        <w:contextualSpacing w:val="0"/>
        <w:rPr>
          <w:rFonts w:ascii="Arial" w:hAnsi="Arial" w:cs="Arial"/>
          <w:b/>
          <w:szCs w:val="22"/>
        </w:rPr>
      </w:pPr>
    </w:p>
    <w:p w:rsidR="009B7A4F" w:rsidRPr="002C2ABC" w:rsidP="009B7A4F">
      <w:pPr>
        <w:pStyle w:val="ListParagraph"/>
        <w:suppressAutoHyphens/>
        <w:spacing w:after="120"/>
        <w:ind w:left="3966" w:firstLine="282"/>
        <w:contextualSpacing w:val="0"/>
        <w:rPr>
          <w:rFonts w:ascii="Arial" w:hAnsi="Arial" w:cs="Arial"/>
          <w:b/>
          <w:szCs w:val="22"/>
        </w:rPr>
      </w:pPr>
      <w:r w:rsidRPr="002C2ABC">
        <w:rPr>
          <w:rFonts w:ascii="Arial" w:hAnsi="Arial" w:cs="Arial"/>
          <w:b/>
          <w:szCs w:val="22"/>
        </w:rPr>
        <w:t>Čl. III</w:t>
      </w:r>
    </w:p>
    <w:p w:rsidR="009B7A4F" w:rsidP="009B7A4F">
      <w:pPr>
        <w:suppressAutoHyphens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Odměna příkazníka a platební podmínky</w:t>
      </w:r>
    </w:p>
    <w:p w:rsidR="009B7A4F" w:rsidRPr="00996769" w:rsidP="009B7A4F">
      <w:pPr>
        <w:suppressAutoHyphens/>
        <w:jc w:val="center"/>
        <w:rPr>
          <w:rFonts w:ascii="Arial" w:hAnsi="Arial" w:cs="Arial"/>
          <w:b/>
          <w:szCs w:val="22"/>
        </w:rPr>
      </w:pPr>
    </w:p>
    <w:p w:rsidR="009B7A4F" w:rsidP="009B7A4F">
      <w:pPr>
        <w:pStyle w:val="ListParagraph"/>
        <w:numPr>
          <w:ilvl w:val="0"/>
          <w:numId w:val="9"/>
        </w:numPr>
        <w:suppressAutoHyphens/>
        <w:spacing w:after="120"/>
        <w:ind w:left="426"/>
        <w:contextualSpacing w:val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Paušální měšíční c</w:t>
      </w:r>
      <w:r w:rsidRPr="006712B9">
        <w:rPr>
          <w:rFonts w:ascii="Arial" w:hAnsi="Arial" w:cs="Arial"/>
          <w:szCs w:val="22"/>
        </w:rPr>
        <w:t xml:space="preserve">ena za výkonu </w:t>
      </w:r>
      <w:r>
        <w:rPr>
          <w:rFonts w:ascii="Arial" w:hAnsi="Arial" w:cs="Arial"/>
          <w:szCs w:val="22"/>
        </w:rPr>
        <w:t>některé z činností TDS dle čl. I této smlouvy je 30.000 Kč bez DPH, tj. 36.300 Kč s DPH.</w:t>
      </w:r>
      <w:r w:rsidRPr="006712B9">
        <w:rPr>
          <w:rFonts w:ascii="Arial" w:hAnsi="Arial" w:cs="Arial"/>
          <w:szCs w:val="22"/>
        </w:rPr>
        <w:t xml:space="preserve"> Uvedená cena </w:t>
      </w:r>
      <w:r>
        <w:rPr>
          <w:rFonts w:ascii="Arial" w:hAnsi="Arial" w:cs="Arial"/>
          <w:szCs w:val="22"/>
        </w:rPr>
        <w:t xml:space="preserve">bez DPH </w:t>
      </w:r>
      <w:r w:rsidRPr="006712B9">
        <w:rPr>
          <w:rFonts w:ascii="Arial" w:hAnsi="Arial" w:cs="Arial"/>
          <w:szCs w:val="22"/>
        </w:rPr>
        <w:t>je nepřekročitelná a zahrnuje veškeré náklady příkazníka na zajišťování činností uvedených v čl. I</w:t>
      </w:r>
      <w:r>
        <w:rPr>
          <w:rFonts w:ascii="Arial" w:hAnsi="Arial" w:cs="Arial"/>
          <w:szCs w:val="22"/>
        </w:rPr>
        <w:t xml:space="preserve"> </w:t>
      </w:r>
      <w:r w:rsidRPr="006712B9">
        <w:rPr>
          <w:rFonts w:ascii="Arial" w:hAnsi="Arial" w:cs="Arial"/>
          <w:szCs w:val="22"/>
        </w:rPr>
        <w:t xml:space="preserve">této smlouvy včetně </w:t>
      </w:r>
      <w:r>
        <w:rPr>
          <w:rFonts w:ascii="Arial" w:hAnsi="Arial" w:cs="Arial"/>
          <w:szCs w:val="22"/>
        </w:rPr>
        <w:t xml:space="preserve">nákladů na </w:t>
      </w:r>
      <w:r w:rsidRPr="006712B9">
        <w:rPr>
          <w:rFonts w:ascii="Arial" w:hAnsi="Arial" w:cs="Arial"/>
          <w:szCs w:val="22"/>
        </w:rPr>
        <w:t>doprav</w:t>
      </w:r>
      <w:r>
        <w:rPr>
          <w:rFonts w:ascii="Arial" w:hAnsi="Arial" w:cs="Arial"/>
          <w:szCs w:val="22"/>
        </w:rPr>
        <w:t xml:space="preserve">u </w:t>
      </w:r>
      <w:r w:rsidRPr="006E3E15">
        <w:rPr>
          <w:rFonts w:ascii="Arial" w:hAnsi="Arial" w:cs="Arial"/>
          <w:szCs w:val="22"/>
        </w:rPr>
        <w:t>a běžnou kancelářskou činnost nutnou k výkonu činnosti (tisk a kopírová</w:t>
      </w:r>
      <w:r>
        <w:rPr>
          <w:rFonts w:ascii="Arial" w:hAnsi="Arial" w:cs="Arial"/>
          <w:szCs w:val="22"/>
        </w:rPr>
        <w:t>ní materiálů, emailová korespon</w:t>
      </w:r>
      <w:r w:rsidRPr="006E3E15">
        <w:rPr>
          <w:rFonts w:ascii="Arial" w:hAnsi="Arial" w:cs="Arial"/>
          <w:szCs w:val="22"/>
        </w:rPr>
        <w:t>dence k tématu nevyžadující další průzkumy apod.)</w:t>
      </w:r>
      <w:r w:rsidRPr="006712B9">
        <w:rPr>
          <w:rFonts w:ascii="Arial" w:hAnsi="Arial" w:cs="Arial"/>
          <w:szCs w:val="22"/>
        </w:rPr>
        <w:t>. DPH bude účtován</w:t>
      </w:r>
      <w:r>
        <w:rPr>
          <w:rFonts w:ascii="Arial" w:hAnsi="Arial" w:cs="Arial"/>
          <w:szCs w:val="22"/>
        </w:rPr>
        <w:t>o</w:t>
      </w:r>
      <w:r w:rsidRPr="006712B9">
        <w:rPr>
          <w:rFonts w:ascii="Arial" w:hAnsi="Arial" w:cs="Arial"/>
          <w:szCs w:val="22"/>
        </w:rPr>
        <w:t xml:space="preserve"> ve výši dle platných právních předpisů. </w:t>
      </w:r>
      <w:r>
        <w:rPr>
          <w:rFonts w:ascii="Arial" w:hAnsi="Arial" w:cs="Arial"/>
          <w:szCs w:val="22"/>
        </w:rPr>
        <w:t>V případě částečného plnění (zahájení a ukončení díla v průběhu měsíce) bude fakturována příslušná část v daném měsíci.</w:t>
      </w:r>
    </w:p>
    <w:p w:rsidR="009B7A4F" w:rsidP="009B7A4F">
      <w:pPr>
        <w:pStyle w:val="ListParagraph"/>
        <w:numPr>
          <w:ilvl w:val="0"/>
          <w:numId w:val="9"/>
        </w:numPr>
        <w:suppressAutoHyphens/>
        <w:spacing w:after="120"/>
        <w:ind w:left="425" w:hanging="425"/>
        <w:contextualSpacing w:val="0"/>
        <w:jc w:val="both"/>
        <w:rPr>
          <w:rFonts w:ascii="Arial" w:hAnsi="Arial" w:cs="Arial"/>
          <w:szCs w:val="22"/>
        </w:rPr>
      </w:pPr>
      <w:r w:rsidRPr="00B46E95">
        <w:rPr>
          <w:rFonts w:ascii="Arial" w:hAnsi="Arial" w:cs="Arial"/>
          <w:szCs w:val="22"/>
        </w:rPr>
        <w:t>Příkazník je oprávněn vystavit fakturu za provedené činnosti uvedené v čl. I</w:t>
      </w:r>
      <w:r>
        <w:rPr>
          <w:rFonts w:ascii="Arial" w:hAnsi="Arial" w:cs="Arial"/>
          <w:szCs w:val="22"/>
        </w:rPr>
        <w:t xml:space="preserve"> </w:t>
      </w:r>
      <w:r w:rsidRPr="00B46E95">
        <w:rPr>
          <w:rFonts w:ascii="Arial" w:hAnsi="Arial" w:cs="Arial"/>
          <w:szCs w:val="22"/>
        </w:rPr>
        <w:t>této smlouvy měsíčně zpětně</w:t>
      </w:r>
      <w:r>
        <w:rPr>
          <w:rFonts w:ascii="Arial" w:hAnsi="Arial" w:cs="Arial"/>
          <w:szCs w:val="22"/>
        </w:rPr>
        <w:t>.</w:t>
      </w:r>
      <w:r w:rsidRPr="00B46E95">
        <w:rPr>
          <w:rFonts w:ascii="Arial" w:hAnsi="Arial" w:cs="Arial"/>
          <w:szCs w:val="22"/>
        </w:rPr>
        <w:t xml:space="preserve"> </w:t>
      </w:r>
    </w:p>
    <w:p w:rsidR="009B7A4F" w:rsidRPr="00916656" w:rsidP="009B7A4F">
      <w:pPr>
        <w:numPr>
          <w:ilvl w:val="0"/>
          <w:numId w:val="9"/>
        </w:numPr>
        <w:suppressAutoHyphens/>
        <w:spacing w:after="120"/>
        <w:ind w:left="357" w:hanging="357"/>
        <w:jc w:val="both"/>
        <w:rPr>
          <w:rFonts w:ascii="Arial" w:hAnsi="Arial" w:cs="Arial"/>
          <w:szCs w:val="22"/>
        </w:rPr>
      </w:pPr>
      <w:r w:rsidRPr="00916656">
        <w:rPr>
          <w:rFonts w:ascii="Arial" w:hAnsi="Arial" w:cs="Arial"/>
          <w:szCs w:val="22"/>
        </w:rPr>
        <w:t xml:space="preserve">Faktura příkazníka musí obsahovat náležitosti obchodní listiny dle § 435 občanského zákoníku a daňového dokladu dle zák. č. 563/1991 Sb., o účetnictví, ve znění pozdějších předpisů, a dle zákona č. 235/2004 Sb., o dani z přidané hodnoty, ve znění pozdějších předpisů. Na faktuře musí být uvedeno evidenční </w:t>
      </w:r>
      <w:r>
        <w:rPr>
          <w:rFonts w:ascii="Arial" w:hAnsi="Arial" w:cs="Arial"/>
          <w:szCs w:val="22"/>
        </w:rPr>
        <w:t>číslo této smlouvy uvedené příkazcem</w:t>
      </w:r>
      <w:r w:rsidRPr="00916656">
        <w:rPr>
          <w:rFonts w:ascii="Arial" w:hAnsi="Arial" w:cs="Arial"/>
          <w:szCs w:val="22"/>
        </w:rPr>
        <w:t xml:space="preserve"> v záhlaví této smlouvy.</w:t>
      </w:r>
    </w:p>
    <w:p w:rsidR="009B7A4F" w:rsidRPr="00B23E2F" w:rsidP="009B7A4F">
      <w:pPr>
        <w:pStyle w:val="ListParagraph"/>
        <w:numPr>
          <w:ilvl w:val="0"/>
          <w:numId w:val="9"/>
        </w:numPr>
        <w:suppressAutoHyphens/>
        <w:spacing w:after="120"/>
        <w:ind w:left="425" w:hanging="425"/>
        <w:contextualSpacing w:val="0"/>
        <w:jc w:val="both"/>
        <w:rPr>
          <w:rFonts w:ascii="Arial" w:hAnsi="Arial" w:cs="Arial"/>
          <w:szCs w:val="22"/>
        </w:rPr>
      </w:pPr>
      <w:r w:rsidRPr="00B23E2F">
        <w:rPr>
          <w:rFonts w:ascii="Arial" w:hAnsi="Arial" w:cs="Arial"/>
          <w:szCs w:val="22"/>
        </w:rPr>
        <w:t>V případě, že faktura nebude mít odpovídající náležitosti nebo bude obsahovat nesprávné údaje, je příkazce oprávněn zaslat ji ve lh</w:t>
      </w:r>
      <w:r w:rsidR="00C3218C">
        <w:rPr>
          <w:rFonts w:ascii="Arial" w:hAnsi="Arial" w:cs="Arial"/>
          <w:szCs w:val="22"/>
        </w:rPr>
        <w:t>ůtě splatnosti zpět k opravě či </w:t>
      </w:r>
      <w:r w:rsidRPr="00B23E2F">
        <w:rPr>
          <w:rFonts w:ascii="Arial" w:hAnsi="Arial" w:cs="Arial"/>
          <w:szCs w:val="22"/>
        </w:rPr>
        <w:t>doplnění, aniž se tak dostane do prodlení se splatností; lhůta splatnosti počíná běžet znovu od obdržení náležitě doplněné či opravené faktury. Důvod případného vrácení faktury musí být příkazcem jednoznačně vymezen.</w:t>
      </w:r>
    </w:p>
    <w:p w:rsidR="009B7A4F" w:rsidRPr="00717055" w:rsidP="009B7A4F">
      <w:pPr>
        <w:pStyle w:val="ListParagraph"/>
        <w:numPr>
          <w:ilvl w:val="0"/>
          <w:numId w:val="9"/>
        </w:numPr>
        <w:suppressAutoHyphens/>
        <w:spacing w:after="120"/>
        <w:ind w:left="425" w:hanging="425"/>
        <w:contextualSpacing w:val="0"/>
        <w:jc w:val="both"/>
        <w:rPr>
          <w:rFonts w:ascii="Arial" w:hAnsi="Arial" w:cs="Arial"/>
          <w:szCs w:val="22"/>
        </w:rPr>
      </w:pPr>
      <w:r w:rsidRPr="00A26A4C">
        <w:rPr>
          <w:rFonts w:ascii="Arial" w:hAnsi="Arial" w:cs="Arial"/>
          <w:szCs w:val="22"/>
        </w:rPr>
        <w:t>Příkazce uhradí fakturu bezhotovostně převodem na účet příkazníka</w:t>
      </w:r>
      <w:r>
        <w:rPr>
          <w:rFonts w:ascii="Arial" w:hAnsi="Arial" w:cs="Arial"/>
          <w:szCs w:val="22"/>
        </w:rPr>
        <w:t xml:space="preserve">, přičemž splatnost faktury je </w:t>
      </w:r>
      <w:r w:rsidRPr="00A26A4C">
        <w:rPr>
          <w:rFonts w:ascii="Arial" w:hAnsi="Arial" w:cs="Arial"/>
          <w:szCs w:val="22"/>
        </w:rPr>
        <w:t>21 dnů ode dne</w:t>
      </w:r>
      <w:r>
        <w:rPr>
          <w:rFonts w:ascii="Arial" w:hAnsi="Arial" w:cs="Arial"/>
          <w:szCs w:val="22"/>
        </w:rPr>
        <w:t xml:space="preserve"> jejího doručení příkazci</w:t>
      </w:r>
      <w:r w:rsidRPr="00A26A4C">
        <w:rPr>
          <w:rFonts w:ascii="Arial" w:hAnsi="Arial" w:cs="Arial"/>
          <w:szCs w:val="22"/>
        </w:rPr>
        <w:t xml:space="preserve">. </w:t>
      </w:r>
      <w:r w:rsidRPr="0082030F">
        <w:rPr>
          <w:rFonts w:ascii="Arial" w:hAnsi="Arial" w:cs="Arial"/>
          <w:iCs/>
          <w:szCs w:val="22"/>
        </w:rPr>
        <w:t xml:space="preserve">Povinnost </w:t>
      </w:r>
      <w:r>
        <w:rPr>
          <w:rFonts w:ascii="Arial" w:hAnsi="Arial" w:cs="Arial"/>
          <w:iCs/>
          <w:szCs w:val="22"/>
        </w:rPr>
        <w:t>příkazce</w:t>
      </w:r>
      <w:r w:rsidRPr="0082030F">
        <w:rPr>
          <w:rFonts w:ascii="Arial" w:hAnsi="Arial" w:cs="Arial"/>
          <w:iCs/>
          <w:szCs w:val="22"/>
        </w:rPr>
        <w:t xml:space="preserve"> zaplatit fakturovanou částku dle této smlouvy je splněna odepsáním příslušné částky z účtu </w:t>
      </w:r>
      <w:r>
        <w:rPr>
          <w:rFonts w:ascii="Arial" w:hAnsi="Arial" w:cs="Arial"/>
          <w:iCs/>
          <w:szCs w:val="22"/>
        </w:rPr>
        <w:t>příkazce</w:t>
      </w:r>
      <w:r w:rsidRPr="0082030F">
        <w:rPr>
          <w:rFonts w:ascii="Arial" w:hAnsi="Arial" w:cs="Arial"/>
          <w:iCs/>
          <w:szCs w:val="22"/>
        </w:rPr>
        <w:t>.</w:t>
      </w:r>
    </w:p>
    <w:p w:rsidR="009B7A4F" w:rsidRPr="003878C6" w:rsidP="009B7A4F">
      <w:pPr>
        <w:pStyle w:val="ListParagraph"/>
        <w:numPr>
          <w:ilvl w:val="0"/>
          <w:numId w:val="9"/>
        </w:numPr>
        <w:suppressAutoHyphens/>
        <w:spacing w:after="120"/>
        <w:ind w:left="425" w:hanging="425"/>
        <w:contextualSpacing w:val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Příkazník </w:t>
      </w:r>
      <w:r w:rsidRPr="003878C6">
        <w:rPr>
          <w:rFonts w:ascii="Arial" w:hAnsi="Arial" w:cs="Arial"/>
          <w:szCs w:val="22"/>
        </w:rPr>
        <w:t>je oprávněn fakturu včetně všech jejích příloh vystavit v elektronické formě dle § 26 odst. 4 zákona č. 235/2004 Sb., o dani z přidané hodnoty, ve znění pozdějších předpisů, a to ve formátu ISDOC nebo ISDOCX verze 5.2 nebo vyšší. Elektronickou fakturu je možné zaslat datovou schránkou (identifikace: trfaa33) nebo elektronickou poštou na adresu posta@vlada</w:t>
      </w:r>
      <w:r>
        <w:rPr>
          <w:rFonts w:ascii="Arial" w:hAnsi="Arial" w:cs="Arial"/>
          <w:szCs w:val="22"/>
        </w:rPr>
        <w:t>.gov</w:t>
      </w:r>
      <w:r w:rsidRPr="003878C6">
        <w:rPr>
          <w:rFonts w:ascii="Arial" w:hAnsi="Arial" w:cs="Arial"/>
          <w:szCs w:val="22"/>
        </w:rPr>
        <w:t xml:space="preserve">.cz a v případě e-mailů opatřených zaručeným elektronickým podpisem také na adresu </w:t>
      </w:r>
      <w:hyperlink r:id="rId7" w:history="1">
        <w:r w:rsidRPr="00A954FD">
          <w:rPr>
            <w:rStyle w:val="Hyperlink"/>
            <w:rFonts w:ascii="Arial" w:hAnsi="Arial" w:cs="Arial"/>
            <w:szCs w:val="22"/>
          </w:rPr>
          <w:t>edesk@vlada.gov.cz</w:t>
        </w:r>
      </w:hyperlink>
      <w:r w:rsidRPr="003878C6">
        <w:rPr>
          <w:rFonts w:ascii="Arial" w:hAnsi="Arial" w:cs="Arial"/>
          <w:szCs w:val="22"/>
        </w:rPr>
        <w:t>.</w:t>
      </w:r>
    </w:p>
    <w:p w:rsidR="009B7A4F" w:rsidRPr="00657A3E" w:rsidP="009B7A4F">
      <w:pPr>
        <w:pStyle w:val="ListParagraph"/>
        <w:numPr>
          <w:ilvl w:val="0"/>
          <w:numId w:val="9"/>
        </w:numPr>
        <w:suppressAutoHyphens/>
        <w:spacing w:after="120"/>
        <w:ind w:left="425" w:hanging="425"/>
        <w:contextualSpacing w:val="0"/>
        <w:jc w:val="both"/>
        <w:rPr>
          <w:rFonts w:ascii="Arial" w:hAnsi="Arial" w:cs="Arial"/>
          <w:szCs w:val="22"/>
        </w:rPr>
      </w:pPr>
      <w:r w:rsidRPr="00657A3E">
        <w:rPr>
          <w:rFonts w:ascii="Arial" w:hAnsi="Arial" w:cs="Arial"/>
          <w:szCs w:val="22"/>
        </w:rPr>
        <w:t>Příkazce</w:t>
      </w:r>
      <w:r>
        <w:rPr>
          <w:rFonts w:ascii="Arial" w:eastAsia="Calibri" w:hAnsi="Arial" w:cs="Arial"/>
          <w:color w:val="000000"/>
          <w:szCs w:val="22"/>
        </w:rPr>
        <w:t xml:space="preserve"> </w:t>
      </w:r>
      <w:r w:rsidRPr="00657A3E">
        <w:rPr>
          <w:rFonts w:ascii="Arial" w:eastAsia="Calibri" w:hAnsi="Arial" w:cs="Arial"/>
          <w:color w:val="000000"/>
          <w:szCs w:val="22"/>
        </w:rPr>
        <w:t>je dále oprávněn vystavit fakturu ve formátu, který je v souladu s evropským standardem elektronické faktury dle technické normy ČSN EN 16931-1:2017.</w:t>
      </w:r>
    </w:p>
    <w:p w:rsidR="009B7A4F" w:rsidRPr="00A26A4C" w:rsidP="009B7A4F">
      <w:pPr>
        <w:pStyle w:val="ListParagraph"/>
        <w:numPr>
          <w:ilvl w:val="0"/>
          <w:numId w:val="9"/>
        </w:numPr>
        <w:suppressAutoHyphens/>
        <w:spacing w:after="120"/>
        <w:ind w:left="425" w:hanging="425"/>
        <w:contextualSpacing w:val="0"/>
        <w:jc w:val="both"/>
        <w:rPr>
          <w:rFonts w:ascii="Arial" w:hAnsi="Arial" w:cs="Arial"/>
          <w:szCs w:val="22"/>
        </w:rPr>
      </w:pPr>
      <w:r w:rsidRPr="00C149A3">
        <w:rPr>
          <w:rFonts w:ascii="Arial" w:hAnsi="Arial" w:cs="Arial"/>
          <w:szCs w:val="22"/>
        </w:rPr>
        <w:t>Změnu</w:t>
      </w:r>
      <w:r w:rsidRPr="00A26A4C">
        <w:rPr>
          <w:rFonts w:ascii="Arial" w:hAnsi="Arial" w:cs="Arial"/>
        </w:rPr>
        <w:t xml:space="preserve"> účtu, na který je příkazce povinen hradit platbu, je příkazník oprávněn provést jednostranným písemným oznámením </w:t>
      </w:r>
      <w:r>
        <w:rPr>
          <w:rFonts w:ascii="Arial" w:hAnsi="Arial" w:cs="Arial"/>
        </w:rPr>
        <w:t>příkazci</w:t>
      </w:r>
      <w:r w:rsidRPr="00A26A4C">
        <w:rPr>
          <w:rFonts w:ascii="Arial" w:hAnsi="Arial" w:cs="Arial"/>
        </w:rPr>
        <w:t>.</w:t>
      </w:r>
    </w:p>
    <w:p w:rsidR="009B7A4F" w:rsidP="009B7A4F">
      <w:pPr>
        <w:pStyle w:val="ListParagraph"/>
        <w:numPr>
          <w:ilvl w:val="0"/>
          <w:numId w:val="9"/>
        </w:numPr>
        <w:suppressAutoHyphens/>
        <w:spacing w:after="120"/>
        <w:ind w:left="425" w:hanging="425"/>
        <w:contextualSpacing w:val="0"/>
        <w:jc w:val="both"/>
        <w:rPr>
          <w:rFonts w:ascii="Arial" w:hAnsi="Arial" w:cs="Arial"/>
          <w:szCs w:val="22"/>
        </w:rPr>
      </w:pPr>
      <w:r w:rsidRPr="00A26A4C">
        <w:rPr>
          <w:rFonts w:ascii="Arial" w:hAnsi="Arial" w:cs="Arial"/>
          <w:szCs w:val="22"/>
        </w:rPr>
        <w:t>Příkazce neposkytuje zálohové platby.</w:t>
      </w:r>
    </w:p>
    <w:p w:rsidR="009B7A4F" w:rsidRPr="00F35E5C" w:rsidP="009B7A4F">
      <w:pPr>
        <w:pStyle w:val="Heading5"/>
        <w:suppressAutoHyphens/>
        <w:jc w:val="center"/>
        <w:rPr>
          <w:rFonts w:ascii="Arial" w:hAnsi="Arial" w:cs="Arial"/>
          <w:i w:val="0"/>
          <w:sz w:val="22"/>
          <w:szCs w:val="22"/>
        </w:rPr>
      </w:pPr>
      <w:r w:rsidRPr="00F35E5C">
        <w:rPr>
          <w:rFonts w:ascii="Arial" w:hAnsi="Arial" w:cs="Arial"/>
          <w:i w:val="0"/>
          <w:sz w:val="22"/>
          <w:szCs w:val="22"/>
        </w:rPr>
        <w:t xml:space="preserve">Čl. </w:t>
      </w:r>
      <w:r>
        <w:rPr>
          <w:rFonts w:ascii="Arial" w:hAnsi="Arial" w:cs="Arial"/>
          <w:i w:val="0"/>
          <w:sz w:val="22"/>
          <w:szCs w:val="22"/>
          <w:lang w:val="cs-CZ"/>
        </w:rPr>
        <w:t>I</w:t>
      </w:r>
      <w:r w:rsidRPr="00F35E5C">
        <w:rPr>
          <w:rFonts w:ascii="Arial" w:hAnsi="Arial" w:cs="Arial"/>
          <w:i w:val="0"/>
          <w:sz w:val="22"/>
          <w:szCs w:val="22"/>
        </w:rPr>
        <w:t>V</w:t>
      </w:r>
    </w:p>
    <w:p w:rsidR="009B7A4F" w:rsidP="009B7A4F">
      <w:pPr>
        <w:suppressAutoHyphens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Práva a povinnosti smluvních stran </w:t>
      </w:r>
    </w:p>
    <w:p w:rsidR="009B7A4F" w:rsidP="009B7A4F">
      <w:pPr>
        <w:suppressAutoHyphens/>
        <w:jc w:val="center"/>
        <w:rPr>
          <w:rFonts w:ascii="Arial" w:hAnsi="Arial" w:cs="Arial"/>
          <w:b/>
          <w:szCs w:val="22"/>
        </w:rPr>
      </w:pPr>
    </w:p>
    <w:p w:rsidR="009B7A4F" w:rsidP="009B7A4F">
      <w:pPr>
        <w:numPr>
          <w:ilvl w:val="0"/>
          <w:numId w:val="10"/>
        </w:numPr>
        <w:suppressAutoHyphens/>
        <w:spacing w:after="120"/>
        <w:ind w:left="426" w:hanging="426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Příkazník je povinen mít po celou dobu platnosti této smlouvy uzavřenou platnou pojistnou smlouvu na pojištění odpovědnosti za škodu způsobenou třetím osobám s výší pojistné částky min</w:t>
      </w:r>
      <w:r w:rsidRPr="00FE12DB">
        <w:rPr>
          <w:rFonts w:ascii="Arial" w:hAnsi="Arial" w:cs="Arial"/>
          <w:bCs/>
          <w:szCs w:val="22"/>
        </w:rPr>
        <w:t>. 1.000.000 Kč. Na</w:t>
      </w:r>
      <w:r>
        <w:rPr>
          <w:rFonts w:ascii="Arial" w:hAnsi="Arial" w:cs="Arial"/>
          <w:bCs/>
          <w:szCs w:val="22"/>
        </w:rPr>
        <w:t xml:space="preserve"> žádost příkazce je povinen příkazník tuto smlouvu příkazci předložit.</w:t>
      </w:r>
    </w:p>
    <w:p w:rsidR="009B7A4F" w:rsidP="009B7A4F">
      <w:pPr>
        <w:numPr>
          <w:ilvl w:val="0"/>
          <w:numId w:val="10"/>
        </w:numPr>
        <w:suppressAutoHyphens/>
        <w:spacing w:after="120"/>
        <w:ind w:left="426" w:hanging="426"/>
        <w:jc w:val="both"/>
        <w:rPr>
          <w:rFonts w:ascii="Arial" w:hAnsi="Arial" w:cs="Arial"/>
          <w:bCs/>
          <w:szCs w:val="22"/>
        </w:rPr>
      </w:pPr>
      <w:r w:rsidRPr="00A26A4C">
        <w:rPr>
          <w:rFonts w:ascii="Arial" w:hAnsi="Arial" w:cs="Arial"/>
          <w:bCs/>
          <w:szCs w:val="22"/>
        </w:rPr>
        <w:t>Příkazník se při plnění této smlouvy bude řídit pokyny příkazce a postupovat v úzké součinnosti s příkazcem. Součinnost mezi příkazcem a příkazníkem bude probíhat po celou dobu plnění předmětu této smlouvy.</w:t>
      </w:r>
    </w:p>
    <w:p w:rsidR="009B7A4F" w:rsidP="009B7A4F">
      <w:pPr>
        <w:numPr>
          <w:ilvl w:val="0"/>
          <w:numId w:val="10"/>
        </w:numPr>
        <w:suppressAutoHyphens/>
        <w:spacing w:after="120"/>
        <w:ind w:left="426" w:hanging="426"/>
        <w:jc w:val="both"/>
        <w:rPr>
          <w:rFonts w:ascii="Arial" w:hAnsi="Arial" w:cs="Arial"/>
          <w:bCs/>
          <w:szCs w:val="22"/>
        </w:rPr>
      </w:pPr>
      <w:r w:rsidRPr="00A26A4C">
        <w:rPr>
          <w:rFonts w:ascii="Arial" w:hAnsi="Arial" w:cs="Arial"/>
          <w:bCs/>
          <w:szCs w:val="22"/>
        </w:rPr>
        <w:t xml:space="preserve">Příkazník je povinen postupovat s náležitou odbornou péčí, zajišťovat plnění předmětu </w:t>
      </w:r>
      <w:r>
        <w:rPr>
          <w:rFonts w:ascii="Arial" w:hAnsi="Arial" w:cs="Arial"/>
          <w:bCs/>
          <w:szCs w:val="22"/>
        </w:rPr>
        <w:t xml:space="preserve">této </w:t>
      </w:r>
      <w:r w:rsidRPr="00A26A4C">
        <w:rPr>
          <w:rFonts w:ascii="Arial" w:hAnsi="Arial" w:cs="Arial"/>
          <w:bCs/>
          <w:szCs w:val="22"/>
        </w:rPr>
        <w:t xml:space="preserve">smlouvy v souladu se zájmy příkazce, v termínech podle pokynů příkazce </w:t>
      </w:r>
      <w:r>
        <w:rPr>
          <w:rFonts w:ascii="Arial" w:hAnsi="Arial" w:cs="Arial"/>
          <w:bCs/>
          <w:szCs w:val="22"/>
        </w:rPr>
        <w:br/>
      </w:r>
      <w:r w:rsidRPr="00A26A4C">
        <w:rPr>
          <w:rFonts w:ascii="Arial" w:hAnsi="Arial" w:cs="Arial"/>
          <w:bCs/>
          <w:szCs w:val="22"/>
        </w:rPr>
        <w:t>a v souladu s platnými právními a ostatními předpisy</w:t>
      </w:r>
      <w:r>
        <w:rPr>
          <w:rFonts w:ascii="Arial" w:hAnsi="Arial" w:cs="Arial"/>
          <w:bCs/>
          <w:szCs w:val="22"/>
        </w:rPr>
        <w:t xml:space="preserve">, </w:t>
      </w:r>
      <w:r w:rsidRPr="00A26A4C">
        <w:rPr>
          <w:rFonts w:ascii="Arial" w:hAnsi="Arial" w:cs="Arial"/>
          <w:bCs/>
          <w:szCs w:val="22"/>
        </w:rPr>
        <w:t>a oznámit příkazci všechny okolnosti, které zjistí při výkonu své činnosti, a jež mohou mít vliv na změnu pokynů příkazce v rámci plnění předmětu</w:t>
      </w:r>
      <w:r>
        <w:rPr>
          <w:rFonts w:ascii="Arial" w:hAnsi="Arial" w:cs="Arial"/>
          <w:bCs/>
          <w:szCs w:val="22"/>
        </w:rPr>
        <w:t xml:space="preserve"> této</w:t>
      </w:r>
      <w:r w:rsidRPr="00A26A4C">
        <w:rPr>
          <w:rFonts w:ascii="Arial" w:hAnsi="Arial" w:cs="Arial"/>
          <w:bCs/>
          <w:szCs w:val="22"/>
        </w:rPr>
        <w:t xml:space="preserve"> smlouvy</w:t>
      </w:r>
      <w:r>
        <w:rPr>
          <w:rFonts w:ascii="Arial" w:hAnsi="Arial" w:cs="Arial"/>
          <w:bCs/>
          <w:szCs w:val="22"/>
        </w:rPr>
        <w:t>.</w:t>
      </w:r>
    </w:p>
    <w:p w:rsidR="009B7A4F" w:rsidP="009B7A4F">
      <w:pPr>
        <w:numPr>
          <w:ilvl w:val="0"/>
          <w:numId w:val="10"/>
        </w:numPr>
        <w:suppressAutoHyphens/>
        <w:spacing w:after="120"/>
        <w:ind w:left="426" w:hanging="426"/>
        <w:jc w:val="both"/>
        <w:rPr>
          <w:rFonts w:ascii="Arial" w:hAnsi="Arial" w:cs="Arial"/>
          <w:bCs/>
          <w:szCs w:val="22"/>
        </w:rPr>
      </w:pPr>
      <w:r w:rsidRPr="00D21C3C">
        <w:rPr>
          <w:rFonts w:ascii="Arial" w:hAnsi="Arial" w:cs="Arial"/>
          <w:bCs/>
          <w:szCs w:val="22"/>
        </w:rPr>
        <w:t>Příkazník je povinen dostavit se vždy ke kontrole provádění stavby do 3 pracovních dnů od okamžiku vyzvání příkazce u prací, které mají být zakryty a odsouhlasit zakrytí zápisem do stavebního deníku. Za výzvu k převzetí se považuje zápis ve stavebním deníku, případně e-mail na adresu příkazníka uvedenou ve smlouvě.</w:t>
      </w:r>
    </w:p>
    <w:p w:rsidR="009B7A4F" w:rsidRPr="00C56794" w:rsidP="009B7A4F">
      <w:pPr>
        <w:numPr>
          <w:ilvl w:val="0"/>
          <w:numId w:val="10"/>
        </w:numPr>
        <w:suppressAutoHyphens/>
        <w:spacing w:after="120"/>
        <w:ind w:left="426" w:hanging="426"/>
        <w:jc w:val="both"/>
        <w:rPr>
          <w:rFonts w:ascii="Arial" w:hAnsi="Arial" w:cs="Arial"/>
          <w:bCs/>
          <w:szCs w:val="22"/>
        </w:rPr>
      </w:pPr>
      <w:r w:rsidRPr="00A26A4C">
        <w:rPr>
          <w:rFonts w:ascii="Arial" w:hAnsi="Arial" w:cs="Arial"/>
          <w:bCs/>
          <w:szCs w:val="22"/>
        </w:rPr>
        <w:t>Příkazník je povinen kdykoliv v průběhu plnění tét</w:t>
      </w:r>
      <w:r w:rsidR="00C3218C">
        <w:rPr>
          <w:rFonts w:ascii="Arial" w:hAnsi="Arial" w:cs="Arial"/>
          <w:bCs/>
          <w:szCs w:val="22"/>
        </w:rPr>
        <w:t>o smlouvy upozornit příkazce na </w:t>
      </w:r>
      <w:r w:rsidRPr="00A26A4C">
        <w:rPr>
          <w:rFonts w:ascii="Arial" w:hAnsi="Arial" w:cs="Arial"/>
          <w:bCs/>
          <w:szCs w:val="22"/>
        </w:rPr>
        <w:t>nevhodnost jeho pokynů a postupů</w:t>
      </w:r>
      <w:r>
        <w:rPr>
          <w:rFonts w:ascii="Arial" w:hAnsi="Arial" w:cs="Arial"/>
          <w:bCs/>
          <w:szCs w:val="22"/>
        </w:rPr>
        <w:t xml:space="preserve">, případně na zjevný rozpor pokynů příkazce </w:t>
      </w:r>
      <w:r>
        <w:rPr>
          <w:rFonts w:ascii="Arial" w:hAnsi="Arial" w:cs="Arial"/>
          <w:bCs/>
          <w:szCs w:val="22"/>
        </w:rPr>
        <w:t xml:space="preserve">s příslušnými technologickými předpisy (normy závazné i doporučené, obvyklé nebo </w:t>
      </w:r>
      <w:r w:rsidRPr="00C56794">
        <w:rPr>
          <w:rFonts w:ascii="Arial" w:hAnsi="Arial" w:cs="Arial"/>
          <w:bCs/>
          <w:szCs w:val="22"/>
        </w:rPr>
        <w:t>výrobcem požadované technologické postupy), s právními a ostatními předpisy v oblasti BOZP.</w:t>
      </w:r>
    </w:p>
    <w:p w:rsidR="009B7A4F" w:rsidP="009B7A4F">
      <w:pPr>
        <w:numPr>
          <w:ilvl w:val="0"/>
          <w:numId w:val="10"/>
        </w:numPr>
        <w:suppressAutoHyphens/>
        <w:spacing w:after="120"/>
        <w:ind w:left="426" w:hanging="426"/>
        <w:jc w:val="both"/>
        <w:rPr>
          <w:rFonts w:ascii="Arial" w:hAnsi="Arial" w:cs="Arial"/>
          <w:bCs/>
          <w:szCs w:val="22"/>
        </w:rPr>
      </w:pPr>
      <w:r w:rsidRPr="00A26A4C">
        <w:rPr>
          <w:rFonts w:ascii="Arial" w:hAnsi="Arial" w:cs="Arial"/>
          <w:szCs w:val="22"/>
        </w:rPr>
        <w:t>Příkazník se zavazuje zachovávat mlčenlivost o všech údajích a skutečnostech týkajících se druhé smluvní strany, které mají důvěrný charakter nebo tvoří obchodní tajemství. V případě porušení tohoto ustano</w:t>
      </w:r>
      <w:r w:rsidR="00C3218C">
        <w:rPr>
          <w:rFonts w:ascii="Arial" w:hAnsi="Arial" w:cs="Arial"/>
          <w:szCs w:val="22"/>
        </w:rPr>
        <w:t>vení může příkazce požadovat po </w:t>
      </w:r>
      <w:r w:rsidRPr="00A26A4C">
        <w:rPr>
          <w:rFonts w:ascii="Arial" w:hAnsi="Arial" w:cs="Arial"/>
          <w:szCs w:val="22"/>
        </w:rPr>
        <w:t>příkazníkovi náhradu škody.</w:t>
      </w:r>
    </w:p>
    <w:p w:rsidR="009B7A4F" w:rsidRPr="00A26A4C" w:rsidP="009B7A4F">
      <w:pPr>
        <w:numPr>
          <w:ilvl w:val="0"/>
          <w:numId w:val="10"/>
        </w:numPr>
        <w:suppressAutoHyphens/>
        <w:spacing w:after="120"/>
        <w:ind w:left="426" w:hanging="426"/>
        <w:jc w:val="both"/>
        <w:rPr>
          <w:rFonts w:ascii="Arial" w:hAnsi="Arial" w:cs="Arial"/>
          <w:bCs/>
          <w:szCs w:val="22"/>
        </w:rPr>
      </w:pPr>
      <w:r w:rsidRPr="00A26A4C">
        <w:rPr>
          <w:rFonts w:ascii="Arial" w:hAnsi="Arial" w:cs="Arial"/>
          <w:bCs/>
          <w:szCs w:val="22"/>
        </w:rPr>
        <w:t xml:space="preserve">Příkazce se zavazuje předat příkazníkovi ke dni uzavření </w:t>
      </w:r>
      <w:r>
        <w:rPr>
          <w:rFonts w:ascii="Arial" w:hAnsi="Arial" w:cs="Arial"/>
          <w:bCs/>
          <w:szCs w:val="22"/>
        </w:rPr>
        <w:t xml:space="preserve">této </w:t>
      </w:r>
      <w:r w:rsidRPr="00A26A4C">
        <w:rPr>
          <w:rFonts w:ascii="Arial" w:hAnsi="Arial" w:cs="Arial"/>
          <w:bCs/>
          <w:szCs w:val="22"/>
        </w:rPr>
        <w:t>smlouvy tyto doklady:</w:t>
      </w:r>
    </w:p>
    <w:p w:rsidR="009B7A4F" w:rsidRPr="00F7406A" w:rsidP="009B7A4F">
      <w:pPr>
        <w:numPr>
          <w:ilvl w:val="0"/>
          <w:numId w:val="11"/>
        </w:numPr>
        <w:suppressAutoHyphens/>
        <w:spacing w:after="120"/>
        <w:ind w:left="1434" w:hanging="357"/>
        <w:contextualSpacing/>
        <w:jc w:val="both"/>
        <w:rPr>
          <w:rFonts w:ascii="Arial" w:hAnsi="Arial" w:cs="Arial"/>
          <w:szCs w:val="22"/>
        </w:rPr>
      </w:pPr>
      <w:r w:rsidRPr="005D5092">
        <w:rPr>
          <w:rFonts w:ascii="Arial" w:hAnsi="Arial" w:cs="Arial"/>
          <w:bCs/>
          <w:szCs w:val="22"/>
        </w:rPr>
        <w:t>smlouvu o dílo se zhotovitelem stavby</w:t>
      </w:r>
      <w:r>
        <w:rPr>
          <w:rFonts w:ascii="Arial" w:hAnsi="Arial" w:cs="Arial"/>
          <w:bCs/>
          <w:szCs w:val="22"/>
        </w:rPr>
        <w:t xml:space="preserve"> včetně rozpočtu v podobě oceněného </w:t>
      </w:r>
      <w:r w:rsidRPr="00895ACD">
        <w:rPr>
          <w:rFonts w:ascii="Arial" w:hAnsi="Arial" w:cs="Arial"/>
          <w:bCs/>
          <w:szCs w:val="22"/>
        </w:rPr>
        <w:t>soupisu prací s výkazem výměr;</w:t>
      </w:r>
    </w:p>
    <w:p w:rsidR="009B7A4F" w:rsidRPr="00895ACD" w:rsidP="009B7A4F">
      <w:pPr>
        <w:numPr>
          <w:ilvl w:val="0"/>
          <w:numId w:val="11"/>
        </w:numPr>
        <w:suppressAutoHyphens/>
        <w:spacing w:after="120"/>
        <w:ind w:left="1434" w:hanging="357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Cs/>
          <w:szCs w:val="22"/>
        </w:rPr>
        <w:t>DZS 1x v tištěné verzi a v elektronické verzi;</w:t>
      </w:r>
    </w:p>
    <w:p w:rsidR="009B7A4F" w:rsidRPr="00F7406A" w:rsidP="009B7A4F">
      <w:pPr>
        <w:suppressAutoHyphens/>
        <w:spacing w:after="120"/>
        <w:jc w:val="both"/>
        <w:rPr>
          <w:rFonts w:ascii="Arial" w:hAnsi="Arial" w:cs="Arial"/>
          <w:szCs w:val="22"/>
          <w:highlight w:val="yellow"/>
        </w:rPr>
      </w:pPr>
    </w:p>
    <w:p w:rsidR="009B7A4F" w:rsidP="009B7A4F">
      <w:pPr>
        <w:numPr>
          <w:ilvl w:val="0"/>
          <w:numId w:val="10"/>
        </w:numPr>
        <w:suppressAutoHyphens/>
        <w:spacing w:after="120"/>
        <w:ind w:left="426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Příkazce se zavazuje poskytnout příkazníkovi veškerou potřebnou součinnost, především zavázat všechny zhotovitele, popřípadě jiné osoby k součinnosti s příkazníkem, a předávat příkazníkovi potřebné informace a podklady, které souvisejí </w:t>
      </w:r>
      <w:r w:rsidRPr="005D5092">
        <w:rPr>
          <w:rFonts w:ascii="Arial" w:hAnsi="Arial" w:cs="Arial"/>
          <w:bCs/>
          <w:szCs w:val="22"/>
        </w:rPr>
        <w:t>s předmětem plnění této smlouvy</w:t>
      </w:r>
      <w:r>
        <w:rPr>
          <w:rFonts w:ascii="Arial" w:hAnsi="Arial" w:cs="Arial"/>
          <w:bCs/>
          <w:szCs w:val="22"/>
        </w:rPr>
        <w:t>.</w:t>
      </w:r>
    </w:p>
    <w:p w:rsidR="009B7A4F" w:rsidRPr="00717055" w:rsidP="009B7A4F">
      <w:pPr>
        <w:numPr>
          <w:ilvl w:val="0"/>
          <w:numId w:val="10"/>
        </w:numPr>
        <w:suppressAutoHyphens/>
        <w:spacing w:after="120"/>
        <w:ind w:left="426"/>
        <w:jc w:val="both"/>
        <w:rPr>
          <w:rFonts w:ascii="Arial" w:hAnsi="Arial" w:cs="Arial"/>
          <w:bCs/>
          <w:szCs w:val="22"/>
        </w:rPr>
      </w:pPr>
      <w:r w:rsidRPr="00A26A4C">
        <w:rPr>
          <w:rFonts w:ascii="Arial" w:hAnsi="Arial" w:cs="Arial"/>
          <w:szCs w:val="22"/>
        </w:rPr>
        <w:t>Příkazník se zavazuje provádět činnosti dle této smlouvy osobně nebo s využitím poddodavatele, kterého příkazník</w:t>
      </w:r>
      <w:r>
        <w:rPr>
          <w:rFonts w:ascii="Arial" w:hAnsi="Arial" w:cs="Arial"/>
          <w:szCs w:val="22"/>
        </w:rPr>
        <w:t xml:space="preserve"> </w:t>
      </w:r>
      <w:r w:rsidRPr="00A26A4C">
        <w:rPr>
          <w:rFonts w:ascii="Arial" w:hAnsi="Arial" w:cs="Arial"/>
          <w:szCs w:val="22"/>
        </w:rPr>
        <w:t xml:space="preserve">uvedl ve své nabídce v rámci výběrového řízení na tuto zakázku. Jakoukoli změnu v osobě poddodavatele při plnění předmětu </w:t>
      </w:r>
      <w:r>
        <w:rPr>
          <w:rFonts w:ascii="Arial" w:hAnsi="Arial" w:cs="Arial"/>
          <w:szCs w:val="22"/>
        </w:rPr>
        <w:t xml:space="preserve">této </w:t>
      </w:r>
      <w:r w:rsidRPr="00A26A4C">
        <w:rPr>
          <w:rFonts w:ascii="Arial" w:hAnsi="Arial" w:cs="Arial"/>
          <w:szCs w:val="22"/>
        </w:rPr>
        <w:t>smlouvy nebo v obsahu činnosti některého ze subdodavatelů v rámci plnění předmětu této smlouvy, je příkazník oprávněn provést pouze s předchozím písemným souhlasem příkazce.</w:t>
      </w:r>
    </w:p>
    <w:p w:rsidR="009B7A4F" w:rsidRPr="00A26A4C" w:rsidP="009B7A4F">
      <w:pPr>
        <w:numPr>
          <w:ilvl w:val="0"/>
          <w:numId w:val="10"/>
        </w:numPr>
        <w:suppressAutoHyphens/>
        <w:spacing w:after="120"/>
        <w:ind w:left="426"/>
        <w:jc w:val="both"/>
        <w:rPr>
          <w:rFonts w:ascii="Arial" w:hAnsi="Arial" w:cs="Arial"/>
          <w:bCs/>
          <w:szCs w:val="22"/>
        </w:rPr>
      </w:pPr>
      <w:r w:rsidRPr="00A26A4C">
        <w:rPr>
          <w:rFonts w:ascii="Arial" w:hAnsi="Arial" w:cs="Arial"/>
          <w:szCs w:val="22"/>
        </w:rPr>
        <w:t xml:space="preserve">Ke dni podpisu této smlouvy je </w:t>
      </w:r>
    </w:p>
    <w:p w:rsidR="009B7A4F" w:rsidRPr="008E7C60" w:rsidP="009B7A4F">
      <w:pPr>
        <w:numPr>
          <w:ilvl w:val="0"/>
          <w:numId w:val="15"/>
        </w:numPr>
        <w:suppressAutoHyphens/>
        <w:spacing w:after="120"/>
        <w:contextualSpacing/>
        <w:jc w:val="both"/>
        <w:rPr>
          <w:rFonts w:ascii="Arial" w:hAnsi="Arial" w:cs="Arial"/>
          <w:bCs/>
          <w:szCs w:val="22"/>
        </w:rPr>
      </w:pPr>
      <w:r w:rsidRPr="000968F4">
        <w:rPr>
          <w:rFonts w:ascii="Arial" w:hAnsi="Arial" w:cs="Arial"/>
          <w:bCs/>
          <w:szCs w:val="22"/>
        </w:rPr>
        <w:t xml:space="preserve">pověřenou osobou příkazce: </w:t>
      </w:r>
      <w:r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ab/>
      </w:r>
      <w:r w:rsidR="00CE3C88">
        <w:rPr>
          <w:rFonts w:ascii="Arial" w:hAnsi="Arial" w:cs="Arial"/>
          <w:bCs/>
          <w:szCs w:val="22"/>
        </w:rPr>
        <w:t>xxxxxxxxxxxxxxx</w:t>
      </w:r>
      <w:bookmarkStart w:id="0" w:name="_GoBack"/>
      <w:bookmarkEnd w:id="0"/>
    </w:p>
    <w:p w:rsidR="009B7A4F" w:rsidRPr="008E7C60" w:rsidP="009B7A4F">
      <w:pPr>
        <w:suppressAutoHyphens/>
        <w:spacing w:after="120"/>
        <w:ind w:left="4248" w:firstLine="708"/>
        <w:contextualSpacing/>
        <w:rPr>
          <w:rFonts w:ascii="Arial" w:hAnsi="Arial" w:cs="Arial"/>
          <w:bCs/>
          <w:szCs w:val="22"/>
        </w:rPr>
      </w:pPr>
      <w:r w:rsidRPr="008E7C60">
        <w:rPr>
          <w:rFonts w:ascii="Arial" w:hAnsi="Arial" w:cs="Arial"/>
          <w:bCs/>
          <w:szCs w:val="22"/>
        </w:rPr>
        <w:t>tel. číslo</w:t>
      </w:r>
      <w:r w:rsidRPr="008E7C60" w:rsidR="008E7C60">
        <w:rPr>
          <w:rFonts w:ascii="Arial" w:hAnsi="Arial" w:cs="Arial"/>
          <w:bCs/>
          <w:szCs w:val="22"/>
        </w:rPr>
        <w:t xml:space="preserve">: </w:t>
      </w:r>
      <w:r w:rsidR="007959EA">
        <w:rPr>
          <w:rFonts w:ascii="Arial" w:hAnsi="Arial" w:cs="Arial"/>
          <w:bCs/>
          <w:szCs w:val="22"/>
        </w:rPr>
        <w:t>xxxxxx</w:t>
      </w:r>
    </w:p>
    <w:p w:rsidR="009B7A4F" w:rsidRPr="000968F4" w:rsidP="009B7A4F">
      <w:pPr>
        <w:suppressAutoHyphens/>
        <w:spacing w:after="120"/>
        <w:ind w:left="4248" w:firstLine="708"/>
        <w:contextualSpacing/>
        <w:rPr>
          <w:rFonts w:ascii="Arial" w:hAnsi="Arial" w:cs="Arial"/>
          <w:bCs/>
          <w:szCs w:val="22"/>
        </w:rPr>
      </w:pPr>
      <w:r w:rsidRPr="008E7C60">
        <w:rPr>
          <w:rFonts w:ascii="Arial" w:hAnsi="Arial" w:cs="Arial"/>
          <w:bCs/>
          <w:szCs w:val="22"/>
        </w:rPr>
        <w:t xml:space="preserve">e-mail: </w:t>
      </w:r>
      <w:r w:rsidR="007959EA">
        <w:rPr>
          <w:rFonts w:ascii="Arial" w:hAnsi="Arial" w:cs="Arial"/>
          <w:bCs/>
          <w:szCs w:val="22"/>
        </w:rPr>
        <w:t>xxxxx</w:t>
      </w:r>
    </w:p>
    <w:p w:rsidR="009B7A4F" w:rsidP="009B7A4F">
      <w:pPr>
        <w:numPr>
          <w:ilvl w:val="0"/>
          <w:numId w:val="15"/>
        </w:numPr>
        <w:suppressAutoHyphens/>
        <w:spacing w:after="120"/>
        <w:contextualSpacing/>
        <w:jc w:val="both"/>
        <w:rPr>
          <w:rFonts w:ascii="Arial" w:hAnsi="Arial" w:cs="Arial"/>
          <w:bCs/>
          <w:szCs w:val="22"/>
        </w:rPr>
      </w:pPr>
      <w:r w:rsidRPr="00EC0475">
        <w:rPr>
          <w:rFonts w:ascii="Arial" w:hAnsi="Arial" w:cs="Arial"/>
          <w:bCs/>
          <w:szCs w:val="22"/>
        </w:rPr>
        <w:t>pověřenou osobou příkazníka</w:t>
      </w:r>
      <w:r w:rsidRPr="00063E97">
        <w:rPr>
          <w:rFonts w:ascii="Arial" w:hAnsi="Arial" w:cs="Arial"/>
          <w:bCs/>
          <w:szCs w:val="22"/>
        </w:rPr>
        <w:t>:</w:t>
      </w:r>
      <w:r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ab/>
      </w:r>
    </w:p>
    <w:p w:rsidR="009B7A4F" w:rsidRPr="007240E3" w:rsidP="009B7A4F">
      <w:pPr>
        <w:numPr>
          <w:ilvl w:val="0"/>
          <w:numId w:val="11"/>
        </w:numPr>
        <w:suppressAutoHyphens/>
        <w:spacing w:after="120"/>
        <w:contextualSpacing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pro výkon činnosti TDS: </w:t>
      </w:r>
      <w:r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ab/>
      </w:r>
      <w:r w:rsidR="00CE3C88">
        <w:rPr>
          <w:rFonts w:ascii="Arial" w:hAnsi="Arial" w:cs="Arial"/>
          <w:bCs/>
          <w:szCs w:val="22"/>
        </w:rPr>
        <w:t>xxxxxxxxxxxxxxxx</w:t>
      </w:r>
    </w:p>
    <w:p w:rsidR="009B7A4F" w:rsidRPr="007240E3" w:rsidP="009B7A4F">
      <w:pPr>
        <w:suppressAutoHyphens/>
        <w:spacing w:after="120"/>
        <w:ind w:left="2496" w:firstLine="336"/>
        <w:contextualSpacing/>
        <w:rPr>
          <w:rFonts w:ascii="Arial" w:hAnsi="Arial" w:cs="Arial"/>
          <w:bCs/>
          <w:szCs w:val="22"/>
        </w:rPr>
      </w:pPr>
      <w:r w:rsidRPr="007240E3">
        <w:rPr>
          <w:rFonts w:ascii="Arial" w:hAnsi="Arial" w:cs="Arial"/>
          <w:bCs/>
          <w:szCs w:val="22"/>
        </w:rPr>
        <w:t xml:space="preserve">číslo autorizace/obor: </w:t>
      </w:r>
      <w:r w:rsidRPr="007240E3">
        <w:rPr>
          <w:rFonts w:ascii="Arial" w:hAnsi="Arial" w:cs="Arial"/>
          <w:bCs/>
          <w:szCs w:val="22"/>
        </w:rPr>
        <w:tab/>
      </w:r>
      <w:r w:rsidR="00CE3C88">
        <w:rPr>
          <w:rFonts w:ascii="Arial" w:hAnsi="Arial" w:cs="Arial"/>
          <w:bCs/>
          <w:szCs w:val="22"/>
        </w:rPr>
        <w:t>xxxxxxxxxxxxxxxx</w:t>
      </w:r>
    </w:p>
    <w:p w:rsidR="009B7A4F" w:rsidRPr="007240E3" w:rsidP="009B7A4F">
      <w:pPr>
        <w:suppressAutoHyphens/>
        <w:spacing w:after="120"/>
        <w:ind w:left="2160" w:firstLine="672"/>
        <w:contextualSpacing/>
        <w:rPr>
          <w:rFonts w:ascii="Arial" w:hAnsi="Arial" w:cs="Arial"/>
          <w:bCs/>
          <w:szCs w:val="22"/>
        </w:rPr>
      </w:pPr>
      <w:r w:rsidRPr="007240E3">
        <w:rPr>
          <w:rFonts w:ascii="Arial" w:hAnsi="Arial" w:cs="Arial"/>
          <w:bCs/>
          <w:szCs w:val="22"/>
        </w:rPr>
        <w:t>tel. č.</w:t>
      </w:r>
      <w:r w:rsidRPr="007240E3">
        <w:rPr>
          <w:rFonts w:ascii="Arial" w:hAnsi="Arial" w:cs="Arial"/>
          <w:bCs/>
          <w:szCs w:val="22"/>
        </w:rPr>
        <w:tab/>
      </w:r>
      <w:r w:rsidRPr="007240E3">
        <w:rPr>
          <w:rFonts w:ascii="Arial" w:hAnsi="Arial" w:cs="Arial"/>
          <w:bCs/>
          <w:szCs w:val="22"/>
        </w:rPr>
        <w:tab/>
      </w:r>
      <w:r w:rsidRPr="007240E3">
        <w:rPr>
          <w:rFonts w:ascii="Arial" w:hAnsi="Arial" w:cs="Arial"/>
          <w:bCs/>
          <w:szCs w:val="22"/>
        </w:rPr>
        <w:tab/>
      </w:r>
      <w:r w:rsidRPr="007240E3">
        <w:rPr>
          <w:rFonts w:ascii="Arial" w:hAnsi="Arial" w:cs="Arial"/>
          <w:bCs/>
          <w:szCs w:val="22"/>
        </w:rPr>
        <w:tab/>
      </w:r>
      <w:r w:rsidR="007959EA">
        <w:rPr>
          <w:rFonts w:ascii="Arial" w:hAnsi="Arial" w:cs="Arial"/>
          <w:bCs/>
          <w:szCs w:val="22"/>
        </w:rPr>
        <w:t>xxxxx</w:t>
      </w:r>
    </w:p>
    <w:p w:rsidR="009B7A4F" w:rsidP="009B7A4F">
      <w:pPr>
        <w:suppressAutoHyphens/>
        <w:spacing w:after="120"/>
        <w:ind w:left="2496" w:firstLine="336"/>
        <w:contextualSpacing/>
        <w:rPr>
          <w:rFonts w:ascii="Arial" w:hAnsi="Arial" w:cs="Arial"/>
          <w:bCs/>
          <w:szCs w:val="22"/>
        </w:rPr>
      </w:pPr>
      <w:r w:rsidRPr="007240E3">
        <w:rPr>
          <w:rFonts w:ascii="Arial" w:hAnsi="Arial" w:cs="Arial"/>
          <w:bCs/>
          <w:szCs w:val="22"/>
        </w:rPr>
        <w:t xml:space="preserve">e-mail:  </w:t>
      </w:r>
      <w:r w:rsidRPr="007240E3">
        <w:rPr>
          <w:rFonts w:ascii="Arial" w:hAnsi="Arial" w:cs="Arial"/>
          <w:bCs/>
          <w:szCs w:val="22"/>
        </w:rPr>
        <w:tab/>
      </w:r>
      <w:r w:rsidRPr="007240E3">
        <w:rPr>
          <w:rFonts w:ascii="Arial" w:hAnsi="Arial" w:cs="Arial"/>
          <w:bCs/>
          <w:szCs w:val="22"/>
        </w:rPr>
        <w:tab/>
      </w:r>
      <w:r w:rsidRPr="007240E3">
        <w:rPr>
          <w:rFonts w:ascii="Arial" w:hAnsi="Arial" w:cs="Arial"/>
          <w:bCs/>
          <w:szCs w:val="22"/>
        </w:rPr>
        <w:tab/>
      </w:r>
      <w:r w:rsidR="007959EA">
        <w:rPr>
          <w:rFonts w:ascii="Arial" w:hAnsi="Arial" w:cs="Arial"/>
          <w:bCs/>
          <w:szCs w:val="22"/>
        </w:rPr>
        <w:t>xxxxx</w:t>
      </w:r>
    </w:p>
    <w:p w:rsidR="009B7A4F" w:rsidP="009B7A4F">
      <w:pPr>
        <w:suppressAutoHyphens/>
        <w:spacing w:after="120"/>
        <w:ind w:left="1068"/>
        <w:contextualSpacing/>
        <w:jc w:val="both"/>
        <w:rPr>
          <w:rFonts w:ascii="Arial" w:hAnsi="Arial" w:cs="Arial"/>
          <w:szCs w:val="22"/>
        </w:rPr>
      </w:pPr>
    </w:p>
    <w:p w:rsidR="009B7A4F" w:rsidP="009B7A4F">
      <w:pPr>
        <w:numPr>
          <w:ilvl w:val="0"/>
          <w:numId w:val="10"/>
        </w:numPr>
        <w:suppressAutoHyphens/>
        <w:spacing w:after="120"/>
        <w:ind w:left="426"/>
        <w:jc w:val="both"/>
        <w:rPr>
          <w:rFonts w:ascii="Arial" w:hAnsi="Arial" w:cs="Arial"/>
          <w:szCs w:val="22"/>
        </w:rPr>
      </w:pPr>
      <w:r w:rsidRPr="00982423">
        <w:rPr>
          <w:rFonts w:ascii="Arial" w:hAnsi="Arial" w:cs="Arial"/>
          <w:szCs w:val="22"/>
        </w:rPr>
        <w:t xml:space="preserve">Příkazník se zavazuje provádět práce ve smyslu </w:t>
      </w:r>
      <w:r>
        <w:rPr>
          <w:rFonts w:ascii="Arial" w:hAnsi="Arial" w:cs="Arial"/>
          <w:szCs w:val="22"/>
        </w:rPr>
        <w:t>ustanovení § 152 odst. 4 stavebního zákona pouze prostřednictvím těchto fyzických osob.</w:t>
      </w:r>
    </w:p>
    <w:p w:rsidR="009B7A4F" w:rsidP="009B7A4F">
      <w:pPr>
        <w:numPr>
          <w:ilvl w:val="0"/>
          <w:numId w:val="10"/>
        </w:numPr>
        <w:suppressAutoHyphens/>
        <w:spacing w:after="120"/>
        <w:ind w:left="426"/>
        <w:jc w:val="both"/>
        <w:rPr>
          <w:rFonts w:ascii="Arial" w:hAnsi="Arial" w:cs="Arial"/>
          <w:szCs w:val="22"/>
        </w:rPr>
      </w:pPr>
      <w:r w:rsidRPr="00A6043D">
        <w:rPr>
          <w:rFonts w:ascii="Arial" w:hAnsi="Arial" w:cs="Arial"/>
          <w:szCs w:val="22"/>
        </w:rPr>
        <w:t>Změnu pověřených osob</w:t>
      </w:r>
      <w:r>
        <w:rPr>
          <w:rFonts w:ascii="Arial" w:hAnsi="Arial" w:cs="Arial"/>
          <w:szCs w:val="22"/>
        </w:rPr>
        <w:t xml:space="preserve"> </w:t>
      </w:r>
      <w:r w:rsidRPr="00A6043D">
        <w:rPr>
          <w:rFonts w:ascii="Arial" w:hAnsi="Arial" w:cs="Arial"/>
          <w:szCs w:val="22"/>
        </w:rPr>
        <w:t>nebo</w:t>
      </w:r>
      <w:r>
        <w:rPr>
          <w:rFonts w:ascii="Arial" w:hAnsi="Arial" w:cs="Arial"/>
          <w:szCs w:val="22"/>
        </w:rPr>
        <w:t xml:space="preserve"> změnu </w:t>
      </w:r>
      <w:r w:rsidRPr="00A6043D">
        <w:rPr>
          <w:rFonts w:ascii="Arial" w:hAnsi="Arial" w:cs="Arial"/>
          <w:szCs w:val="22"/>
        </w:rPr>
        <w:t xml:space="preserve">kontaktních údajů </w:t>
      </w:r>
      <w:r>
        <w:rPr>
          <w:rFonts w:ascii="Arial" w:hAnsi="Arial" w:cs="Arial"/>
          <w:szCs w:val="22"/>
        </w:rPr>
        <w:t xml:space="preserve">pověřených osob </w:t>
      </w:r>
      <w:r w:rsidRPr="00A6043D">
        <w:rPr>
          <w:rFonts w:ascii="Arial" w:hAnsi="Arial" w:cs="Arial"/>
          <w:szCs w:val="22"/>
        </w:rPr>
        <w:t>v průběhu platnosti této smlouvy je možno provést na základě písemného oznámení druhé smluvní straně.</w:t>
      </w:r>
      <w:r w:rsidRPr="00B23E2F">
        <w:rPr>
          <w:rFonts w:ascii="Arial" w:hAnsi="Arial" w:cs="Arial"/>
          <w:szCs w:val="22"/>
        </w:rPr>
        <w:t xml:space="preserve"> </w:t>
      </w:r>
      <w:r w:rsidRPr="00982423">
        <w:rPr>
          <w:rFonts w:ascii="Arial" w:hAnsi="Arial" w:cs="Arial"/>
          <w:szCs w:val="22"/>
        </w:rPr>
        <w:t>V případě, že příkazník mění osobu</w:t>
      </w:r>
      <w:r>
        <w:rPr>
          <w:rFonts w:ascii="Arial" w:hAnsi="Arial" w:cs="Arial"/>
          <w:szCs w:val="22"/>
        </w:rPr>
        <w:t xml:space="preserve">, </w:t>
      </w:r>
      <w:r w:rsidRPr="00982423">
        <w:rPr>
          <w:rFonts w:ascii="Arial" w:hAnsi="Arial" w:cs="Arial"/>
          <w:szCs w:val="22"/>
        </w:rPr>
        <w:t xml:space="preserve">jejímž prostřednictvím vykonává pro příkazce </w:t>
      </w:r>
      <w:r>
        <w:rPr>
          <w:rFonts w:ascii="Arial" w:hAnsi="Arial" w:cs="Arial"/>
          <w:szCs w:val="22"/>
        </w:rPr>
        <w:t>výkon činnosti TDS</w:t>
      </w:r>
      <w:r w:rsidRPr="00982423">
        <w:rPr>
          <w:rFonts w:ascii="Arial" w:hAnsi="Arial" w:cs="Arial"/>
          <w:szCs w:val="22"/>
        </w:rPr>
        <w:t xml:space="preserve"> dle čl.</w:t>
      </w:r>
      <w:r>
        <w:rPr>
          <w:rFonts w:ascii="Arial" w:hAnsi="Arial" w:cs="Arial"/>
          <w:szCs w:val="22"/>
        </w:rPr>
        <w:t xml:space="preserve"> </w:t>
      </w:r>
      <w:r w:rsidRPr="00982423">
        <w:rPr>
          <w:rFonts w:ascii="Arial" w:hAnsi="Arial" w:cs="Arial"/>
          <w:szCs w:val="22"/>
        </w:rPr>
        <w:t xml:space="preserve">I </w:t>
      </w:r>
      <w:r>
        <w:rPr>
          <w:rFonts w:ascii="Arial" w:hAnsi="Arial" w:cs="Arial"/>
          <w:szCs w:val="22"/>
        </w:rPr>
        <w:t xml:space="preserve">této </w:t>
      </w:r>
      <w:r w:rsidRPr="00982423">
        <w:rPr>
          <w:rFonts w:ascii="Arial" w:hAnsi="Arial" w:cs="Arial"/>
          <w:szCs w:val="22"/>
        </w:rPr>
        <w:t xml:space="preserve">smlouvy, doloží pro novou pověřenou osobu odpovídající kvalifikaci a </w:t>
      </w:r>
      <w:r>
        <w:rPr>
          <w:rFonts w:ascii="Arial" w:hAnsi="Arial" w:cs="Arial"/>
          <w:szCs w:val="22"/>
        </w:rPr>
        <w:t xml:space="preserve">taková </w:t>
      </w:r>
      <w:r w:rsidRPr="00982423">
        <w:rPr>
          <w:rFonts w:ascii="Arial" w:hAnsi="Arial" w:cs="Arial"/>
          <w:szCs w:val="22"/>
        </w:rPr>
        <w:t>změna podléhá</w:t>
      </w:r>
      <w:r>
        <w:rPr>
          <w:rFonts w:ascii="Arial" w:hAnsi="Arial" w:cs="Arial"/>
          <w:szCs w:val="22"/>
        </w:rPr>
        <w:t xml:space="preserve"> vždy výslovnému</w:t>
      </w:r>
      <w:r w:rsidRPr="00982423">
        <w:rPr>
          <w:rFonts w:ascii="Arial" w:hAnsi="Arial" w:cs="Arial"/>
          <w:szCs w:val="22"/>
        </w:rPr>
        <w:t xml:space="preserve"> souhlasu příkaz</w:t>
      </w:r>
      <w:r>
        <w:rPr>
          <w:rFonts w:ascii="Arial" w:hAnsi="Arial" w:cs="Arial"/>
          <w:szCs w:val="22"/>
        </w:rPr>
        <w:t>ce.</w:t>
      </w:r>
    </w:p>
    <w:p w:rsidR="009B7A4F" w:rsidP="009B7A4F">
      <w:pPr>
        <w:suppressAutoHyphens/>
        <w:spacing w:after="120"/>
        <w:jc w:val="both"/>
        <w:rPr>
          <w:rFonts w:ascii="Arial" w:hAnsi="Arial" w:cs="Arial"/>
          <w:szCs w:val="22"/>
        </w:rPr>
      </w:pPr>
    </w:p>
    <w:p w:rsidR="009B7A4F" w:rsidP="009B7A4F">
      <w:pPr>
        <w:suppressAutoHyphens/>
        <w:spacing w:after="120"/>
        <w:jc w:val="both"/>
        <w:rPr>
          <w:rFonts w:ascii="Arial" w:hAnsi="Arial" w:cs="Arial"/>
          <w:szCs w:val="22"/>
        </w:rPr>
      </w:pPr>
    </w:p>
    <w:p w:rsidR="009B7A4F" w:rsidP="009B7A4F">
      <w:pPr>
        <w:suppressAutoHyphens/>
        <w:spacing w:before="240" w:after="60"/>
        <w:ind w:left="720"/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Čl. V</w:t>
      </w:r>
    </w:p>
    <w:p w:rsidR="009B7A4F" w:rsidP="009B7A4F">
      <w:pPr>
        <w:suppressAutoHyphens/>
        <w:ind w:left="720"/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Smluvní pokuty, úrok z prodlení</w:t>
      </w:r>
    </w:p>
    <w:p w:rsidR="009B7A4F" w:rsidP="009B7A4F">
      <w:pPr>
        <w:suppressAutoHyphens/>
        <w:ind w:left="720"/>
        <w:jc w:val="center"/>
        <w:rPr>
          <w:rFonts w:ascii="Arial" w:hAnsi="Arial" w:cs="Arial"/>
          <w:b/>
          <w:bCs/>
          <w:szCs w:val="22"/>
        </w:rPr>
      </w:pPr>
    </w:p>
    <w:p w:rsidR="009B7A4F" w:rsidP="009B7A4F">
      <w:pPr>
        <w:numPr>
          <w:ilvl w:val="0"/>
          <w:numId w:val="33"/>
        </w:numPr>
        <w:suppressAutoHyphens/>
        <w:spacing w:after="120"/>
        <w:ind w:left="426" w:hanging="426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Příkazník se zavazuje zaplatit příkazci smluvní pokutu v případě </w:t>
      </w:r>
    </w:p>
    <w:p w:rsidR="009B7A4F" w:rsidRPr="002E5E4D" w:rsidP="009B7A4F">
      <w:pPr>
        <w:numPr>
          <w:ilvl w:val="0"/>
          <w:numId w:val="34"/>
        </w:numPr>
        <w:suppressAutoHyphens/>
        <w:spacing w:after="120"/>
        <w:jc w:val="both"/>
        <w:rPr>
          <w:rFonts w:ascii="Arial" w:hAnsi="Arial" w:cs="Arial"/>
          <w:bCs/>
          <w:szCs w:val="22"/>
        </w:rPr>
      </w:pPr>
      <w:r w:rsidRPr="002E5E4D">
        <w:rPr>
          <w:rFonts w:ascii="Arial" w:hAnsi="Arial" w:cs="Arial"/>
          <w:bCs/>
          <w:szCs w:val="22"/>
        </w:rPr>
        <w:t>nepředložení pojistné smlouvy příkazci dle čl. IV odst. 1 této smlouvy ani v dostatečně přiměřené lhůtě, poskytnuté příkazcem, a to ve výši 5.000 Kč. Tato smluvní pokuta může být uplatněna i opakovaně;</w:t>
      </w:r>
    </w:p>
    <w:p w:rsidR="009B7A4F" w:rsidRPr="002E5E4D" w:rsidP="009B7A4F">
      <w:pPr>
        <w:numPr>
          <w:ilvl w:val="0"/>
          <w:numId w:val="34"/>
        </w:numPr>
        <w:suppressAutoHyphens/>
        <w:spacing w:after="120"/>
        <w:jc w:val="both"/>
        <w:rPr>
          <w:rFonts w:ascii="Arial" w:hAnsi="Arial" w:cs="Arial"/>
          <w:bCs/>
          <w:szCs w:val="22"/>
        </w:rPr>
      </w:pPr>
      <w:r w:rsidRPr="002E5E4D">
        <w:rPr>
          <w:rFonts w:ascii="Arial" w:hAnsi="Arial" w:cs="Arial"/>
          <w:bCs/>
          <w:szCs w:val="22"/>
        </w:rPr>
        <w:t xml:space="preserve">nedostavení se na kontrolu stavebních prací ve lhůtě dle čl. IV. odst. 4 </w:t>
      </w:r>
      <w:r>
        <w:rPr>
          <w:rFonts w:ascii="Arial" w:hAnsi="Arial" w:cs="Arial"/>
          <w:bCs/>
          <w:szCs w:val="22"/>
        </w:rPr>
        <w:t xml:space="preserve">této </w:t>
      </w:r>
      <w:r w:rsidRPr="002E5E4D">
        <w:rPr>
          <w:rFonts w:ascii="Arial" w:hAnsi="Arial" w:cs="Arial"/>
          <w:bCs/>
          <w:szCs w:val="22"/>
        </w:rPr>
        <w:t>smlouvy ve výši 5.000 Kč za každý takový případ;</w:t>
      </w:r>
    </w:p>
    <w:p w:rsidR="009B7A4F" w:rsidRPr="002E5E4D" w:rsidP="009B7A4F">
      <w:pPr>
        <w:numPr>
          <w:ilvl w:val="0"/>
          <w:numId w:val="34"/>
        </w:numPr>
        <w:suppressAutoHyphens/>
        <w:spacing w:after="120"/>
        <w:jc w:val="both"/>
        <w:rPr>
          <w:rFonts w:ascii="Arial" w:hAnsi="Arial" w:cs="Arial"/>
          <w:bCs/>
          <w:szCs w:val="22"/>
        </w:rPr>
      </w:pPr>
      <w:r w:rsidRPr="002E5E4D">
        <w:rPr>
          <w:rFonts w:ascii="Arial" w:hAnsi="Arial" w:cs="Arial"/>
          <w:bCs/>
          <w:szCs w:val="22"/>
        </w:rPr>
        <w:t xml:space="preserve">porušení povinností uvedených v čl. IV. odst. 2 nebo 3 nebo v čl. I odst. 3 </w:t>
      </w:r>
      <w:r>
        <w:rPr>
          <w:rFonts w:ascii="Arial" w:hAnsi="Arial" w:cs="Arial"/>
          <w:bCs/>
          <w:szCs w:val="22"/>
        </w:rPr>
        <w:t xml:space="preserve">této </w:t>
      </w:r>
      <w:r w:rsidRPr="002E5E4D">
        <w:rPr>
          <w:rFonts w:ascii="Arial" w:hAnsi="Arial" w:cs="Arial"/>
          <w:bCs/>
          <w:szCs w:val="22"/>
        </w:rPr>
        <w:t>smlouvy, s výjimkou povinnosti uvedené v čl. I odst. 3 poslední odrážka ve výši 2.000 Kč za každý takový případ;</w:t>
      </w:r>
    </w:p>
    <w:p w:rsidR="009B7A4F" w:rsidRPr="002E5E4D" w:rsidP="009B7A4F">
      <w:pPr>
        <w:numPr>
          <w:ilvl w:val="0"/>
          <w:numId w:val="34"/>
        </w:numPr>
        <w:suppressAutoHyphens/>
        <w:spacing w:after="120"/>
        <w:jc w:val="both"/>
        <w:rPr>
          <w:rFonts w:ascii="Arial" w:hAnsi="Arial" w:cs="Arial"/>
          <w:bCs/>
          <w:szCs w:val="22"/>
        </w:rPr>
      </w:pPr>
      <w:r w:rsidRPr="002E5E4D">
        <w:rPr>
          <w:rFonts w:ascii="Arial" w:hAnsi="Arial" w:cs="Arial"/>
          <w:bCs/>
          <w:szCs w:val="22"/>
        </w:rPr>
        <w:t xml:space="preserve">porušení povinnosti uvedené v čl. IV odst. 9 a 11 </w:t>
      </w:r>
      <w:r>
        <w:rPr>
          <w:rFonts w:ascii="Arial" w:hAnsi="Arial" w:cs="Arial"/>
          <w:bCs/>
          <w:szCs w:val="22"/>
        </w:rPr>
        <w:t xml:space="preserve">této </w:t>
      </w:r>
      <w:r w:rsidRPr="002E5E4D">
        <w:rPr>
          <w:rFonts w:ascii="Arial" w:hAnsi="Arial" w:cs="Arial"/>
          <w:bCs/>
          <w:szCs w:val="22"/>
        </w:rPr>
        <w:t>smlouvy ve výši 5.000 Kč za každý takový případ a den trvání. V případě, že příkazník neuvede plnění povinnosti do souladu se smlouvou v termínu stanoveném příkazcem, je příkazce oprávněn odvolat příkaz okamžitě.</w:t>
      </w:r>
    </w:p>
    <w:p w:rsidR="009B7A4F" w:rsidP="009B7A4F">
      <w:pPr>
        <w:numPr>
          <w:ilvl w:val="0"/>
          <w:numId w:val="13"/>
        </w:numPr>
        <w:suppressAutoHyphens/>
        <w:spacing w:after="120"/>
        <w:ind w:left="426" w:hanging="426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Celková výše smluvních pokut není omezena a smluvní pokuty mohou být kombinovány, tzn., že uplatnění jedné smluvní pokuty nevylučuje souběžné uplatnění jiné smluvní pokuty.</w:t>
      </w:r>
    </w:p>
    <w:p w:rsidR="009B7A4F" w:rsidP="009B7A4F">
      <w:pPr>
        <w:numPr>
          <w:ilvl w:val="0"/>
          <w:numId w:val="13"/>
        </w:numPr>
        <w:suppressAutoHyphens/>
        <w:spacing w:after="120"/>
        <w:ind w:left="426" w:hanging="426"/>
        <w:jc w:val="both"/>
        <w:rPr>
          <w:rFonts w:ascii="Arial" w:hAnsi="Arial" w:cs="Arial"/>
          <w:bCs/>
          <w:szCs w:val="22"/>
        </w:rPr>
      </w:pPr>
      <w:r w:rsidRPr="00E22459">
        <w:rPr>
          <w:rFonts w:ascii="Arial" w:hAnsi="Arial" w:cs="Arial"/>
          <w:bCs/>
          <w:szCs w:val="22"/>
        </w:rPr>
        <w:t>Ujednáním o smluvní pokutě není dotčen nárok příkazce na náhradu vzniklé škody způsobené porušením povinnosti, přičemž se částka zaplacených smluvních pokut nezapočítává do výše náhrady škody.</w:t>
      </w:r>
    </w:p>
    <w:p w:rsidR="009B7A4F" w:rsidP="009B7A4F">
      <w:pPr>
        <w:numPr>
          <w:ilvl w:val="0"/>
          <w:numId w:val="13"/>
        </w:numPr>
        <w:suppressAutoHyphens/>
        <w:spacing w:after="120"/>
        <w:ind w:left="426" w:hanging="426"/>
        <w:jc w:val="both"/>
        <w:rPr>
          <w:rFonts w:ascii="Arial" w:hAnsi="Arial" w:cs="Arial"/>
          <w:bCs/>
          <w:szCs w:val="22"/>
        </w:rPr>
      </w:pPr>
      <w:r w:rsidRPr="00E22459">
        <w:rPr>
          <w:rFonts w:ascii="Arial" w:hAnsi="Arial" w:cs="Arial"/>
          <w:bCs/>
          <w:szCs w:val="22"/>
        </w:rPr>
        <w:t>Bude-li příkazce v prodlení s úhradou odměny příkazníkovi, může příkazník po příkazci požadovat úrok z prodlení z dlužné částky za každý byť započatý den prodlení ve výši podle zvláštního právního předpisu, kterým se stanoví výše úroků z prodlení podle občanského zákoníku.</w:t>
      </w:r>
    </w:p>
    <w:p w:rsidR="009B7A4F" w:rsidRPr="00895ACD" w:rsidP="009B7A4F">
      <w:pPr>
        <w:numPr>
          <w:ilvl w:val="0"/>
          <w:numId w:val="13"/>
        </w:numPr>
        <w:suppressAutoHyphens/>
        <w:spacing w:after="120"/>
        <w:ind w:left="357" w:hanging="357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szCs w:val="22"/>
        </w:rPr>
        <w:t xml:space="preserve">Smluvní pokuta </w:t>
      </w:r>
      <w:r w:rsidRPr="004817C1">
        <w:rPr>
          <w:rFonts w:ascii="Arial" w:hAnsi="Arial" w:cs="Arial"/>
          <w:szCs w:val="22"/>
        </w:rPr>
        <w:t>či úroky z prodlení jsou splatné do 21 dnů ode dne doručení oznámení o </w:t>
      </w:r>
      <w:r>
        <w:rPr>
          <w:rFonts w:ascii="Arial" w:hAnsi="Arial" w:cs="Arial"/>
          <w:szCs w:val="22"/>
        </w:rPr>
        <w:t>uložení smluvní pokuty příkazcem příkazníkovi</w:t>
      </w:r>
      <w:r w:rsidRPr="004817C1">
        <w:rPr>
          <w:rFonts w:ascii="Arial" w:hAnsi="Arial" w:cs="Arial"/>
          <w:szCs w:val="22"/>
        </w:rPr>
        <w:t xml:space="preserve"> nebo oznámení o započetí s účtován</w:t>
      </w:r>
      <w:r>
        <w:rPr>
          <w:rFonts w:ascii="Arial" w:hAnsi="Arial" w:cs="Arial"/>
          <w:szCs w:val="22"/>
        </w:rPr>
        <w:t>ím úroků z prodlení příkazníkem příkazci</w:t>
      </w:r>
      <w:r w:rsidRPr="004817C1">
        <w:rPr>
          <w:rFonts w:ascii="Arial" w:hAnsi="Arial" w:cs="Arial"/>
          <w:szCs w:val="22"/>
        </w:rPr>
        <w:t>. Pro případ pochybností o doručení oznámení o uložení smluvní pokuty nebo oznámení o započetí s účtováním úroků z prodlení se sjednává, že se oznámení považuje za doručené druhé straně třetím dnem od podání zásilky k poštovní přepravě.</w:t>
      </w:r>
    </w:p>
    <w:p w:rsidR="009B7A4F" w:rsidRPr="00895ACD" w:rsidP="009B7A4F">
      <w:pPr>
        <w:suppressAutoHyphens/>
        <w:spacing w:after="120"/>
        <w:ind w:left="357"/>
        <w:jc w:val="both"/>
        <w:rPr>
          <w:rFonts w:ascii="Arial" w:hAnsi="Arial" w:cs="Arial"/>
          <w:bCs/>
          <w:szCs w:val="22"/>
        </w:rPr>
      </w:pPr>
    </w:p>
    <w:p w:rsidR="009B7A4F" w:rsidRPr="004817C1" w:rsidP="009B7A4F">
      <w:pPr>
        <w:suppressAutoHyphens/>
        <w:spacing w:after="120"/>
        <w:ind w:left="357"/>
        <w:jc w:val="both"/>
        <w:rPr>
          <w:rFonts w:ascii="Arial" w:hAnsi="Arial" w:cs="Arial"/>
          <w:bCs/>
          <w:szCs w:val="22"/>
        </w:rPr>
      </w:pPr>
    </w:p>
    <w:p w:rsidR="009B7A4F" w:rsidRPr="00262F1C" w:rsidP="009B7A4F">
      <w:pPr>
        <w:suppressAutoHyphens/>
        <w:spacing w:before="240" w:after="60"/>
        <w:ind w:left="720"/>
        <w:jc w:val="center"/>
        <w:rPr>
          <w:rFonts w:ascii="Arial" w:hAnsi="Arial" w:cs="Arial"/>
          <w:b/>
          <w:szCs w:val="22"/>
        </w:rPr>
      </w:pPr>
      <w:r w:rsidRPr="00262F1C">
        <w:rPr>
          <w:rFonts w:ascii="Arial" w:hAnsi="Arial" w:cs="Arial"/>
          <w:b/>
          <w:szCs w:val="22"/>
        </w:rPr>
        <w:t>Čl. VI</w:t>
      </w:r>
    </w:p>
    <w:p w:rsidR="009B7A4F" w:rsidP="009B7A4F">
      <w:pPr>
        <w:suppressAutoHyphens/>
        <w:ind w:left="720"/>
        <w:jc w:val="center"/>
        <w:rPr>
          <w:rFonts w:ascii="Arial" w:hAnsi="Arial" w:cs="Arial"/>
          <w:b/>
          <w:szCs w:val="22"/>
        </w:rPr>
      </w:pPr>
      <w:r w:rsidRPr="00262F1C">
        <w:rPr>
          <w:rFonts w:ascii="Arial" w:hAnsi="Arial" w:cs="Arial"/>
          <w:b/>
          <w:szCs w:val="22"/>
        </w:rPr>
        <w:t>Výpověď, odvolání příkazu</w:t>
      </w:r>
    </w:p>
    <w:p w:rsidR="009B7A4F" w:rsidRPr="00262F1C" w:rsidP="009B7A4F">
      <w:pPr>
        <w:suppressAutoHyphens/>
        <w:ind w:left="720"/>
        <w:jc w:val="center"/>
        <w:rPr>
          <w:rFonts w:ascii="Arial" w:hAnsi="Arial" w:cs="Arial"/>
          <w:b/>
          <w:szCs w:val="22"/>
        </w:rPr>
      </w:pPr>
    </w:p>
    <w:p w:rsidR="009B7A4F" w:rsidP="009B7A4F">
      <w:pPr>
        <w:numPr>
          <w:ilvl w:val="0"/>
          <w:numId w:val="14"/>
        </w:numPr>
        <w:suppressAutoHyphens/>
        <w:spacing w:after="120"/>
        <w:ind w:left="426" w:hanging="426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Příkazník je oprávněn vypovědět smlouvu bez udání důvodu s výpovědní lhůtou v délce 3 měsíců počínající běžet </w:t>
      </w:r>
      <w:r w:rsidRPr="00884CAE">
        <w:rPr>
          <w:rFonts w:ascii="Arial" w:hAnsi="Arial" w:cs="Arial"/>
          <w:bCs/>
          <w:szCs w:val="22"/>
        </w:rPr>
        <w:t xml:space="preserve">od prvního dne </w:t>
      </w:r>
      <w:r>
        <w:rPr>
          <w:rFonts w:ascii="Arial" w:hAnsi="Arial" w:cs="Arial"/>
          <w:bCs/>
          <w:szCs w:val="22"/>
        </w:rPr>
        <w:t xml:space="preserve">měsíce následujícím po měsíci, v němž byla písemná výpověď doručena příkazci. </w:t>
      </w:r>
      <w:r w:rsidRPr="0034498C">
        <w:rPr>
          <w:rFonts w:ascii="Arial" w:hAnsi="Arial" w:cs="Arial"/>
          <w:szCs w:val="22"/>
        </w:rPr>
        <w:t xml:space="preserve">Pro případ pochybností o doručení </w:t>
      </w:r>
      <w:r>
        <w:rPr>
          <w:rFonts w:ascii="Arial" w:hAnsi="Arial" w:cs="Arial"/>
          <w:szCs w:val="22"/>
        </w:rPr>
        <w:t>výpovědi</w:t>
      </w:r>
      <w:r w:rsidRPr="0034498C">
        <w:rPr>
          <w:rFonts w:ascii="Arial" w:hAnsi="Arial" w:cs="Arial"/>
          <w:szCs w:val="22"/>
        </w:rPr>
        <w:t xml:space="preserve"> se sjednává, že se </w:t>
      </w:r>
      <w:r>
        <w:rPr>
          <w:rFonts w:ascii="Arial" w:hAnsi="Arial" w:cs="Arial"/>
          <w:szCs w:val="22"/>
        </w:rPr>
        <w:t>výpověď</w:t>
      </w:r>
      <w:r w:rsidRPr="0034498C">
        <w:rPr>
          <w:rFonts w:ascii="Arial" w:hAnsi="Arial" w:cs="Arial"/>
          <w:szCs w:val="22"/>
        </w:rPr>
        <w:t xml:space="preserve"> považuje za doručen</w:t>
      </w:r>
      <w:r>
        <w:rPr>
          <w:rFonts w:ascii="Arial" w:hAnsi="Arial" w:cs="Arial"/>
          <w:szCs w:val="22"/>
        </w:rPr>
        <w:t>ou</w:t>
      </w:r>
      <w:r w:rsidRPr="0034498C">
        <w:rPr>
          <w:rFonts w:ascii="Arial" w:hAnsi="Arial" w:cs="Arial"/>
          <w:szCs w:val="22"/>
        </w:rPr>
        <w:t xml:space="preserve"> druhé straně třetím dnem od podání zásilky k poštovní přepravě.</w:t>
      </w:r>
    </w:p>
    <w:p w:rsidR="009B7A4F" w:rsidP="009B7A4F">
      <w:pPr>
        <w:numPr>
          <w:ilvl w:val="0"/>
          <w:numId w:val="14"/>
        </w:numPr>
        <w:suppressAutoHyphens/>
        <w:spacing w:after="120"/>
        <w:ind w:left="426" w:hanging="426"/>
        <w:jc w:val="both"/>
        <w:rPr>
          <w:rFonts w:ascii="Arial" w:hAnsi="Arial" w:cs="Arial"/>
          <w:bCs/>
          <w:szCs w:val="22"/>
        </w:rPr>
      </w:pPr>
      <w:r w:rsidRPr="00AE1F75">
        <w:rPr>
          <w:rFonts w:ascii="Arial" w:hAnsi="Arial" w:cs="Arial"/>
          <w:bCs/>
          <w:szCs w:val="22"/>
        </w:rPr>
        <w:t xml:space="preserve">Příkazce je oprávněn odvolat příkaz bez udání důvodu. Odvolání je účinné dnem doručení odvolání příkazu příkazníkovi, pokud odvolání nestanoví pozdější účinnost. </w:t>
      </w:r>
      <w:r w:rsidRPr="00AE1F75">
        <w:rPr>
          <w:rFonts w:ascii="Arial" w:hAnsi="Arial" w:cs="Arial"/>
          <w:szCs w:val="22"/>
        </w:rPr>
        <w:t>Pro případ pochybností o doručení odvolání se sjedn</w:t>
      </w:r>
      <w:r w:rsidR="00C3218C">
        <w:rPr>
          <w:rFonts w:ascii="Arial" w:hAnsi="Arial" w:cs="Arial"/>
          <w:szCs w:val="22"/>
        </w:rPr>
        <w:t>ává, že se odvolání považuje za </w:t>
      </w:r>
      <w:r w:rsidRPr="00AE1F75">
        <w:rPr>
          <w:rFonts w:ascii="Arial" w:hAnsi="Arial" w:cs="Arial"/>
          <w:szCs w:val="22"/>
        </w:rPr>
        <w:t xml:space="preserve">doručené druhé straně třetím dnem od podání zásilky k poštovní přepravě. </w:t>
      </w:r>
      <w:r w:rsidRPr="00AE1F75">
        <w:rPr>
          <w:rFonts w:ascii="Arial" w:hAnsi="Arial" w:cs="Arial"/>
          <w:bCs/>
          <w:szCs w:val="22"/>
        </w:rPr>
        <w:t>Příkazník nemá v takovém případě právo na náhradu nákladů, které mu v souvislosti s odvoláním příkazu vznikly a nemá právo ani na náhradu škody.</w:t>
      </w:r>
    </w:p>
    <w:p w:rsidR="009B7A4F" w:rsidP="009B7A4F">
      <w:pPr>
        <w:numPr>
          <w:ilvl w:val="0"/>
          <w:numId w:val="14"/>
        </w:numPr>
        <w:suppressAutoHyphens/>
        <w:spacing w:after="120"/>
        <w:ind w:left="426" w:hanging="426"/>
        <w:jc w:val="both"/>
        <w:rPr>
          <w:rFonts w:ascii="Arial" w:hAnsi="Arial" w:cs="Arial"/>
          <w:bCs/>
          <w:szCs w:val="22"/>
        </w:rPr>
      </w:pPr>
      <w:r w:rsidRPr="00AE1F75">
        <w:rPr>
          <w:rFonts w:ascii="Arial" w:hAnsi="Arial" w:cs="Arial"/>
          <w:bCs/>
          <w:szCs w:val="22"/>
        </w:rPr>
        <w:t>Příkazce je oprávněn odvolat příkaz v případě nepředložení pojistné smlouvy</w:t>
      </w:r>
      <w:r>
        <w:rPr>
          <w:rFonts w:ascii="Arial" w:hAnsi="Arial" w:cs="Arial"/>
          <w:bCs/>
          <w:szCs w:val="22"/>
        </w:rPr>
        <w:t xml:space="preserve"> (</w:t>
      </w:r>
      <w:r w:rsidRPr="00AE1F75">
        <w:rPr>
          <w:rFonts w:ascii="Arial" w:hAnsi="Arial" w:cs="Arial"/>
          <w:bCs/>
          <w:szCs w:val="22"/>
        </w:rPr>
        <w:t>certifikátu pojištění) příkazci dle čl. IV odst.</w:t>
      </w:r>
      <w:r>
        <w:rPr>
          <w:rFonts w:ascii="Arial" w:hAnsi="Arial" w:cs="Arial"/>
          <w:bCs/>
          <w:szCs w:val="22"/>
        </w:rPr>
        <w:t xml:space="preserve"> </w:t>
      </w:r>
      <w:r w:rsidRPr="00AE1F75">
        <w:rPr>
          <w:rFonts w:ascii="Arial" w:hAnsi="Arial" w:cs="Arial"/>
          <w:bCs/>
          <w:szCs w:val="22"/>
        </w:rPr>
        <w:t xml:space="preserve">1 </w:t>
      </w:r>
      <w:r>
        <w:rPr>
          <w:rFonts w:ascii="Arial" w:hAnsi="Arial" w:cs="Arial"/>
          <w:bCs/>
          <w:szCs w:val="22"/>
        </w:rPr>
        <w:t xml:space="preserve">této smlouvy, </w:t>
      </w:r>
      <w:r w:rsidRPr="00AE1F75">
        <w:rPr>
          <w:rFonts w:ascii="Arial" w:hAnsi="Arial" w:cs="Arial"/>
          <w:bCs/>
          <w:szCs w:val="22"/>
        </w:rPr>
        <w:t>ani v náhradním termínu.</w:t>
      </w:r>
    </w:p>
    <w:p w:rsidR="009B7A4F" w:rsidP="009B7A4F">
      <w:pPr>
        <w:numPr>
          <w:ilvl w:val="0"/>
          <w:numId w:val="14"/>
        </w:numPr>
        <w:suppressAutoHyphens/>
        <w:spacing w:after="120"/>
        <w:ind w:left="426" w:hanging="426"/>
        <w:jc w:val="both"/>
        <w:rPr>
          <w:rFonts w:ascii="Arial" w:hAnsi="Arial" w:cs="Arial"/>
          <w:bCs/>
          <w:szCs w:val="22"/>
        </w:rPr>
      </w:pPr>
      <w:r w:rsidRPr="00AE1F75">
        <w:rPr>
          <w:rFonts w:ascii="Arial" w:hAnsi="Arial" w:cs="Arial"/>
          <w:bCs/>
          <w:szCs w:val="22"/>
        </w:rPr>
        <w:t>Při zániku příkazu výpovědí nebo odvoláním je povinen příkazník vykonat všechny činnosti, které nesnesou odkladu, a je povinen upozornit p</w:t>
      </w:r>
      <w:r w:rsidR="00C3218C">
        <w:rPr>
          <w:rFonts w:ascii="Arial" w:hAnsi="Arial" w:cs="Arial"/>
          <w:bCs/>
          <w:szCs w:val="22"/>
        </w:rPr>
        <w:t>říkazce na opatření, která je </w:t>
      </w:r>
      <w:r w:rsidRPr="00AE1F75">
        <w:rPr>
          <w:rFonts w:ascii="Arial" w:hAnsi="Arial" w:cs="Arial"/>
          <w:bCs/>
          <w:szCs w:val="22"/>
        </w:rPr>
        <w:t>potřeba učinit, aby se zabránilo vzniku škody bezprostředně hrozící příkazci neprovedením činností, které jsou předmětem</w:t>
      </w:r>
      <w:r>
        <w:rPr>
          <w:rFonts w:ascii="Arial" w:hAnsi="Arial" w:cs="Arial"/>
          <w:bCs/>
          <w:szCs w:val="22"/>
        </w:rPr>
        <w:t xml:space="preserve"> této</w:t>
      </w:r>
      <w:r w:rsidRPr="00AE1F75">
        <w:rPr>
          <w:rFonts w:ascii="Arial" w:hAnsi="Arial" w:cs="Arial"/>
          <w:bCs/>
          <w:szCs w:val="22"/>
        </w:rPr>
        <w:t xml:space="preserve"> smlouvy.</w:t>
      </w:r>
    </w:p>
    <w:p w:rsidR="009B7A4F" w:rsidP="009B7A4F">
      <w:pPr>
        <w:numPr>
          <w:ilvl w:val="0"/>
          <w:numId w:val="14"/>
        </w:numPr>
        <w:suppressAutoHyphens/>
        <w:spacing w:after="120"/>
        <w:ind w:left="426" w:hanging="426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Smlouva dále zaniká smrtí příkazníka nebo zánikem příkazníka bez právního nástupce nebo dohodou smluvních stran.</w:t>
      </w:r>
    </w:p>
    <w:p w:rsidR="009B7A4F" w:rsidP="009B7A4F">
      <w:pPr>
        <w:suppressAutoHyphens/>
        <w:spacing w:after="120"/>
        <w:jc w:val="both"/>
        <w:rPr>
          <w:rFonts w:ascii="Arial" w:hAnsi="Arial" w:cs="Arial"/>
          <w:bCs/>
          <w:szCs w:val="22"/>
        </w:rPr>
      </w:pPr>
    </w:p>
    <w:p w:rsidR="009B7A4F" w:rsidRPr="00A6043D" w:rsidP="009B7A4F">
      <w:pPr>
        <w:suppressAutoHyphens/>
        <w:spacing w:before="240" w:after="60"/>
        <w:ind w:left="720"/>
        <w:jc w:val="center"/>
        <w:rPr>
          <w:rFonts w:ascii="Arial" w:hAnsi="Arial" w:cs="Arial"/>
          <w:b/>
          <w:bCs/>
          <w:szCs w:val="22"/>
        </w:rPr>
      </w:pPr>
      <w:r w:rsidRPr="00A6043D">
        <w:rPr>
          <w:rFonts w:ascii="Arial" w:hAnsi="Arial" w:cs="Arial"/>
          <w:b/>
          <w:bCs/>
          <w:szCs w:val="22"/>
        </w:rPr>
        <w:t>Čl. VII</w:t>
      </w:r>
    </w:p>
    <w:p w:rsidR="009B7A4F" w:rsidP="009B7A4F">
      <w:pPr>
        <w:suppressAutoHyphens/>
        <w:spacing w:after="120"/>
        <w:ind w:left="720"/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Závěrečná ujednání</w:t>
      </w:r>
    </w:p>
    <w:p w:rsidR="009B7A4F" w:rsidP="009B7A4F">
      <w:pPr>
        <w:numPr>
          <w:ilvl w:val="0"/>
          <w:numId w:val="23"/>
        </w:numPr>
        <w:suppressAutoHyphens/>
        <w:spacing w:after="120"/>
        <w:ind w:left="426" w:hanging="426"/>
        <w:jc w:val="both"/>
        <w:rPr>
          <w:rFonts w:ascii="Arial" w:hAnsi="Arial" w:cs="Arial"/>
          <w:szCs w:val="22"/>
          <w:lang w:eastAsia="en-US"/>
        </w:rPr>
      </w:pPr>
      <w:r w:rsidRPr="007D1BC3">
        <w:rPr>
          <w:rFonts w:ascii="Arial" w:hAnsi="Arial" w:cs="Arial"/>
          <w:bCs/>
          <w:szCs w:val="22"/>
        </w:rPr>
        <w:t>Příkazník</w:t>
      </w:r>
      <w:r w:rsidRPr="004115F1">
        <w:rPr>
          <w:rFonts w:ascii="Arial" w:hAnsi="Arial" w:cs="Arial"/>
          <w:szCs w:val="22"/>
          <w:lang w:eastAsia="en-US"/>
        </w:rPr>
        <w:t xml:space="preserve"> bere v</w:t>
      </w:r>
      <w:r>
        <w:rPr>
          <w:rFonts w:ascii="Arial" w:hAnsi="Arial" w:cs="Arial"/>
          <w:szCs w:val="22"/>
          <w:lang w:eastAsia="en-US"/>
        </w:rPr>
        <w:t>ýslovně na vědomí, že příkazce</w:t>
      </w:r>
      <w:r w:rsidRPr="004115F1">
        <w:rPr>
          <w:rFonts w:ascii="Arial" w:hAnsi="Arial" w:cs="Arial"/>
          <w:szCs w:val="22"/>
          <w:lang w:eastAsia="en-US"/>
        </w:rPr>
        <w:t xml:space="preserve"> má pod</w:t>
      </w:r>
      <w:r>
        <w:rPr>
          <w:rFonts w:ascii="Arial" w:hAnsi="Arial" w:cs="Arial"/>
          <w:szCs w:val="22"/>
          <w:lang w:eastAsia="en-US"/>
        </w:rPr>
        <w:t>le ustanovení § 2 odst. 1 písm. a</w:t>
      </w:r>
      <w:r w:rsidRPr="004115F1">
        <w:rPr>
          <w:rFonts w:ascii="Arial" w:hAnsi="Arial" w:cs="Arial"/>
          <w:szCs w:val="22"/>
          <w:lang w:eastAsia="en-US"/>
        </w:rPr>
        <w:t>) zákona</w:t>
      </w:r>
      <w:r>
        <w:rPr>
          <w:rFonts w:ascii="Arial" w:hAnsi="Arial" w:cs="Arial"/>
          <w:szCs w:val="22"/>
          <w:lang w:eastAsia="en-US"/>
        </w:rPr>
        <w:t xml:space="preserve"> </w:t>
      </w:r>
      <w:r w:rsidRPr="004115F1">
        <w:rPr>
          <w:rFonts w:ascii="Arial" w:hAnsi="Arial" w:cs="Arial"/>
          <w:szCs w:val="22"/>
          <w:lang w:eastAsia="en-US"/>
        </w:rPr>
        <w:t>č. 340/2015 Sb., o registru smluv</w:t>
      </w:r>
      <w:r>
        <w:rPr>
          <w:rFonts w:ascii="Arial" w:hAnsi="Arial" w:cs="Arial"/>
          <w:szCs w:val="22"/>
          <w:lang w:eastAsia="en-US"/>
        </w:rPr>
        <w:t>, v platném znění (dále pro účely tohoto článku jenom jako „zákon“)</w:t>
      </w:r>
      <w:r w:rsidRPr="004115F1">
        <w:rPr>
          <w:rFonts w:ascii="Arial" w:hAnsi="Arial" w:cs="Arial"/>
          <w:szCs w:val="22"/>
          <w:lang w:eastAsia="en-US"/>
        </w:rPr>
        <w:t xml:space="preserve">, </w:t>
      </w:r>
      <w:r>
        <w:rPr>
          <w:rFonts w:ascii="Arial" w:hAnsi="Arial" w:cs="Arial"/>
          <w:szCs w:val="22"/>
          <w:lang w:eastAsia="en-US"/>
        </w:rPr>
        <w:t>povinnost zveřejnit</w:t>
      </w:r>
      <w:r w:rsidRPr="004115F1">
        <w:rPr>
          <w:rFonts w:ascii="Arial" w:hAnsi="Arial" w:cs="Arial"/>
          <w:szCs w:val="22"/>
          <w:lang w:eastAsia="en-US"/>
        </w:rPr>
        <w:t xml:space="preserve"> uzavřené soukromoprávní smlouvy,</w:t>
      </w:r>
      <w:r>
        <w:rPr>
          <w:rFonts w:ascii="Arial" w:hAnsi="Arial" w:cs="Arial"/>
          <w:szCs w:val="22"/>
          <w:lang w:eastAsia="en-US"/>
        </w:rPr>
        <w:t xml:space="preserve"> </w:t>
      </w:r>
      <w:r w:rsidRPr="004115F1">
        <w:rPr>
          <w:rFonts w:ascii="Arial" w:hAnsi="Arial" w:cs="Arial"/>
          <w:szCs w:val="22"/>
          <w:lang w:eastAsia="en-US"/>
        </w:rPr>
        <w:t>jakož i smlouvy</w:t>
      </w:r>
      <w:r>
        <w:rPr>
          <w:rFonts w:ascii="Arial" w:hAnsi="Arial" w:cs="Arial"/>
          <w:szCs w:val="22"/>
          <w:lang w:eastAsia="en-US"/>
        </w:rPr>
        <w:t xml:space="preserve"> o </w:t>
      </w:r>
      <w:r w:rsidRPr="004115F1">
        <w:rPr>
          <w:rFonts w:ascii="Arial" w:hAnsi="Arial" w:cs="Arial"/>
          <w:szCs w:val="22"/>
          <w:lang w:eastAsia="en-US"/>
        </w:rPr>
        <w:t xml:space="preserve">poskytnutí dotace nebo návratné finanční pomoci </w:t>
      </w:r>
      <w:r>
        <w:rPr>
          <w:rFonts w:ascii="Arial" w:hAnsi="Arial" w:cs="Arial"/>
          <w:szCs w:val="22"/>
          <w:lang w:eastAsia="en-US"/>
        </w:rPr>
        <w:t>postupem a za podmínek podle uvedeného</w:t>
      </w:r>
      <w:r w:rsidRPr="004115F1">
        <w:rPr>
          <w:rFonts w:ascii="Arial" w:hAnsi="Arial" w:cs="Arial"/>
          <w:szCs w:val="22"/>
          <w:lang w:eastAsia="en-US"/>
        </w:rPr>
        <w:t xml:space="preserve"> zákona.</w:t>
      </w:r>
    </w:p>
    <w:p w:rsidR="009B7A4F" w:rsidP="009B7A4F">
      <w:pPr>
        <w:numPr>
          <w:ilvl w:val="0"/>
          <w:numId w:val="23"/>
        </w:numPr>
        <w:suppressAutoHyphens/>
        <w:spacing w:after="120"/>
        <w:ind w:left="426" w:hanging="426"/>
        <w:jc w:val="both"/>
        <w:rPr>
          <w:rFonts w:ascii="Arial" w:hAnsi="Arial" w:cs="Arial"/>
          <w:szCs w:val="22"/>
          <w:lang w:eastAsia="en-US"/>
        </w:rPr>
      </w:pPr>
      <w:r>
        <w:rPr>
          <w:rFonts w:ascii="Arial" w:hAnsi="Arial" w:cs="Arial"/>
          <w:szCs w:val="22"/>
          <w:lang w:eastAsia="en-US"/>
        </w:rPr>
        <w:t>Příkazník</w:t>
      </w:r>
      <w:r w:rsidRPr="004115F1">
        <w:rPr>
          <w:rFonts w:ascii="Arial" w:hAnsi="Arial" w:cs="Arial"/>
          <w:szCs w:val="22"/>
          <w:lang w:eastAsia="en-US"/>
        </w:rPr>
        <w:t xml:space="preserve"> je srozuměn a výslovně a bezvýhradně souhlasí s tím, že úplné znění této smlouvy včetně</w:t>
      </w:r>
      <w:r>
        <w:rPr>
          <w:rFonts w:ascii="Arial" w:hAnsi="Arial" w:cs="Arial"/>
          <w:szCs w:val="22"/>
          <w:lang w:eastAsia="en-US"/>
        </w:rPr>
        <w:t xml:space="preserve"> </w:t>
      </w:r>
      <w:r w:rsidRPr="004115F1">
        <w:rPr>
          <w:rFonts w:ascii="Arial" w:hAnsi="Arial" w:cs="Arial"/>
          <w:szCs w:val="22"/>
          <w:lang w:eastAsia="en-US"/>
        </w:rPr>
        <w:t>všech příloh</w:t>
      </w:r>
      <w:r>
        <w:rPr>
          <w:rFonts w:ascii="Arial" w:hAnsi="Arial" w:cs="Arial"/>
          <w:szCs w:val="22"/>
          <w:lang w:eastAsia="en-US"/>
        </w:rPr>
        <w:t xml:space="preserve"> a případných dodatků</w:t>
      </w:r>
      <w:r w:rsidRPr="004115F1">
        <w:rPr>
          <w:rFonts w:ascii="Arial" w:hAnsi="Arial" w:cs="Arial"/>
          <w:szCs w:val="22"/>
          <w:lang w:eastAsia="en-US"/>
        </w:rPr>
        <w:t xml:space="preserve"> bude zveřejněno </w:t>
      </w:r>
      <w:r>
        <w:rPr>
          <w:rFonts w:ascii="Arial" w:hAnsi="Arial" w:cs="Arial"/>
          <w:szCs w:val="22"/>
          <w:lang w:eastAsia="en-US"/>
        </w:rPr>
        <w:t>v Registru smluv, postupem a za </w:t>
      </w:r>
      <w:r w:rsidRPr="004115F1">
        <w:rPr>
          <w:rFonts w:ascii="Arial" w:hAnsi="Arial" w:cs="Arial"/>
          <w:szCs w:val="22"/>
          <w:lang w:eastAsia="en-US"/>
        </w:rPr>
        <w:t>p</w:t>
      </w:r>
      <w:r>
        <w:rPr>
          <w:rFonts w:ascii="Arial" w:hAnsi="Arial" w:cs="Arial"/>
          <w:szCs w:val="22"/>
          <w:lang w:eastAsia="en-US"/>
        </w:rPr>
        <w:t>odmínek podle zákona. Příkazník</w:t>
      </w:r>
      <w:r w:rsidRPr="004115F1">
        <w:rPr>
          <w:rFonts w:ascii="Arial" w:hAnsi="Arial" w:cs="Arial"/>
          <w:szCs w:val="22"/>
          <w:lang w:eastAsia="en-US"/>
        </w:rPr>
        <w:t xml:space="preserve"> bere rovněž na vědomí, že registr</w:t>
      </w:r>
      <w:r>
        <w:rPr>
          <w:rFonts w:ascii="Arial" w:hAnsi="Arial" w:cs="Arial"/>
          <w:szCs w:val="22"/>
          <w:lang w:eastAsia="en-US"/>
        </w:rPr>
        <w:t xml:space="preserve"> </w:t>
      </w:r>
      <w:r w:rsidRPr="004115F1">
        <w:rPr>
          <w:rFonts w:ascii="Arial" w:hAnsi="Arial" w:cs="Arial"/>
          <w:szCs w:val="22"/>
          <w:lang w:eastAsia="en-US"/>
        </w:rPr>
        <w:t>smluv je veřejně přístupný informační systém ve</w:t>
      </w:r>
      <w:r w:rsidR="00C3218C">
        <w:rPr>
          <w:rFonts w:ascii="Arial" w:hAnsi="Arial" w:cs="Arial"/>
          <w:szCs w:val="22"/>
          <w:lang w:eastAsia="en-US"/>
        </w:rPr>
        <w:t>řejné správy, jehož správcem je </w:t>
      </w:r>
      <w:r w:rsidRPr="004115F1">
        <w:rPr>
          <w:rFonts w:ascii="Arial" w:hAnsi="Arial" w:cs="Arial"/>
          <w:szCs w:val="22"/>
          <w:lang w:eastAsia="en-US"/>
        </w:rPr>
        <w:t>Ministerstvo vnitra,</w:t>
      </w:r>
      <w:r>
        <w:rPr>
          <w:rFonts w:ascii="Arial" w:hAnsi="Arial" w:cs="Arial"/>
          <w:szCs w:val="22"/>
          <w:lang w:eastAsia="en-US"/>
        </w:rPr>
        <w:t xml:space="preserve"> </w:t>
      </w:r>
      <w:r w:rsidRPr="004115F1">
        <w:rPr>
          <w:rFonts w:ascii="Arial" w:hAnsi="Arial" w:cs="Arial"/>
          <w:szCs w:val="22"/>
          <w:lang w:eastAsia="en-US"/>
        </w:rPr>
        <w:t>který slouží k uveřejňování smluv po</w:t>
      </w:r>
      <w:r>
        <w:rPr>
          <w:rFonts w:ascii="Arial" w:hAnsi="Arial" w:cs="Arial"/>
          <w:szCs w:val="22"/>
          <w:lang w:eastAsia="en-US"/>
        </w:rPr>
        <w:t>dle zákona</w:t>
      </w:r>
      <w:r w:rsidRPr="004115F1">
        <w:rPr>
          <w:rFonts w:ascii="Arial" w:hAnsi="Arial" w:cs="Arial"/>
          <w:szCs w:val="22"/>
          <w:lang w:eastAsia="en-US"/>
        </w:rPr>
        <w:t xml:space="preserve"> a umožňuje</w:t>
      </w:r>
      <w:r>
        <w:rPr>
          <w:rFonts w:ascii="Arial" w:hAnsi="Arial" w:cs="Arial"/>
          <w:szCs w:val="22"/>
          <w:lang w:eastAsia="en-US"/>
        </w:rPr>
        <w:t xml:space="preserve"> bezplatný dálkový přístup.</w:t>
      </w:r>
    </w:p>
    <w:p w:rsidR="009B7A4F" w:rsidP="009B7A4F">
      <w:pPr>
        <w:numPr>
          <w:ilvl w:val="0"/>
          <w:numId w:val="23"/>
        </w:numPr>
        <w:suppressAutoHyphens/>
        <w:spacing w:after="120"/>
        <w:ind w:left="426" w:hanging="426"/>
        <w:jc w:val="both"/>
        <w:rPr>
          <w:rFonts w:ascii="Arial" w:hAnsi="Arial" w:cs="Arial"/>
          <w:szCs w:val="22"/>
          <w:lang w:eastAsia="en-US"/>
        </w:rPr>
      </w:pPr>
      <w:r>
        <w:rPr>
          <w:rFonts w:ascii="Arial" w:eastAsia="Calibri" w:hAnsi="Arial" w:cs="Arial"/>
          <w:color w:val="000000"/>
          <w:szCs w:val="22"/>
        </w:rPr>
        <w:t>Splnění</w:t>
      </w:r>
      <w:r w:rsidRPr="00BA67FB">
        <w:rPr>
          <w:rFonts w:ascii="Arial" w:eastAsia="Calibri" w:hAnsi="Arial" w:cs="Arial"/>
          <w:color w:val="000000"/>
          <w:szCs w:val="22"/>
        </w:rPr>
        <w:t xml:space="preserve"> povinnosti </w:t>
      </w:r>
      <w:r>
        <w:rPr>
          <w:rFonts w:ascii="Arial" w:eastAsia="Calibri" w:hAnsi="Arial" w:cs="Arial"/>
          <w:color w:val="000000"/>
          <w:szCs w:val="22"/>
        </w:rPr>
        <w:t xml:space="preserve">dle odst. 2 tohoto článku </w:t>
      </w:r>
      <w:r w:rsidRPr="00BA67FB">
        <w:rPr>
          <w:rFonts w:ascii="Arial" w:eastAsia="Calibri" w:hAnsi="Arial" w:cs="Arial"/>
          <w:color w:val="000000"/>
          <w:szCs w:val="22"/>
        </w:rPr>
        <w:t>není p</w:t>
      </w:r>
      <w:r w:rsidRPr="005A6DA6">
        <w:rPr>
          <w:rFonts w:ascii="Arial" w:hAnsi="Arial" w:cs="Arial"/>
          <w:color w:val="000000"/>
          <w:szCs w:val="22"/>
        </w:rPr>
        <w:t>orušením dův</w:t>
      </w:r>
      <w:r>
        <w:rPr>
          <w:rFonts w:ascii="Arial" w:hAnsi="Arial" w:cs="Arial"/>
          <w:color w:val="000000"/>
          <w:szCs w:val="22"/>
        </w:rPr>
        <w:t xml:space="preserve">ěrnosti informací. Příkazník </w:t>
      </w:r>
      <w:r w:rsidRPr="00BA67FB">
        <w:rPr>
          <w:rFonts w:ascii="Arial" w:eastAsia="Calibri" w:hAnsi="Arial" w:cs="Arial"/>
          <w:color w:val="000000"/>
          <w:szCs w:val="22"/>
        </w:rPr>
        <w:t>výslovně souhlasí s tím, že uveřejněno</w:t>
      </w:r>
      <w:r>
        <w:rPr>
          <w:rFonts w:ascii="Arial" w:hAnsi="Arial" w:cs="Arial"/>
          <w:color w:val="000000"/>
          <w:szCs w:val="22"/>
        </w:rPr>
        <w:t xml:space="preserve"> bude úplné znění smlouvy</w:t>
      </w:r>
      <w:r w:rsidRPr="00BA67FB">
        <w:rPr>
          <w:rFonts w:ascii="Arial" w:eastAsia="Calibri" w:hAnsi="Arial" w:cs="Arial"/>
          <w:color w:val="000000"/>
          <w:szCs w:val="22"/>
        </w:rPr>
        <w:t>, včetně všech identifikačních a kont</w:t>
      </w:r>
      <w:r>
        <w:rPr>
          <w:rFonts w:ascii="Arial" w:eastAsia="Calibri" w:hAnsi="Arial" w:cs="Arial"/>
          <w:color w:val="000000"/>
          <w:szCs w:val="22"/>
        </w:rPr>
        <w:t>aktních údajů osob, které příkazník</w:t>
      </w:r>
      <w:r w:rsidRPr="005A6DA6">
        <w:rPr>
          <w:rFonts w:ascii="Arial" w:hAnsi="Arial" w:cs="Arial"/>
          <w:color w:val="000000"/>
          <w:szCs w:val="22"/>
        </w:rPr>
        <w:t xml:space="preserve"> uvedl v</w:t>
      </w:r>
      <w:r>
        <w:rPr>
          <w:rFonts w:ascii="Arial" w:hAnsi="Arial" w:cs="Arial"/>
          <w:color w:val="000000"/>
          <w:szCs w:val="22"/>
        </w:rPr>
        <w:t> </w:t>
      </w:r>
      <w:r w:rsidRPr="005A6DA6">
        <w:rPr>
          <w:rFonts w:ascii="Arial" w:hAnsi="Arial" w:cs="Arial"/>
          <w:color w:val="000000"/>
          <w:szCs w:val="22"/>
        </w:rPr>
        <w:t>t</w:t>
      </w:r>
      <w:r>
        <w:rPr>
          <w:rFonts w:ascii="Arial" w:hAnsi="Arial" w:cs="Arial"/>
          <w:color w:val="000000"/>
          <w:szCs w:val="22"/>
        </w:rPr>
        <w:t>extu této smlouvy</w:t>
      </w:r>
      <w:r w:rsidRPr="00BA67FB">
        <w:rPr>
          <w:rFonts w:ascii="Arial" w:eastAsia="Calibri" w:hAnsi="Arial" w:cs="Arial"/>
          <w:color w:val="000000"/>
          <w:szCs w:val="22"/>
        </w:rPr>
        <w:t>, a podpisu osoby/podpi</w:t>
      </w:r>
      <w:r w:rsidRPr="005A6DA6">
        <w:rPr>
          <w:rFonts w:ascii="Arial" w:hAnsi="Arial" w:cs="Arial"/>
          <w:color w:val="000000"/>
          <w:szCs w:val="22"/>
        </w:rPr>
        <w:t xml:space="preserve">sů osob zastupujících </w:t>
      </w:r>
      <w:r>
        <w:rPr>
          <w:rFonts w:ascii="Arial" w:hAnsi="Arial" w:cs="Arial"/>
          <w:color w:val="000000"/>
          <w:szCs w:val="22"/>
        </w:rPr>
        <w:t>příkazníka</w:t>
      </w:r>
      <w:r w:rsidRPr="00BA67FB">
        <w:rPr>
          <w:rFonts w:ascii="Arial" w:eastAsia="Calibri" w:hAnsi="Arial" w:cs="Arial"/>
          <w:color w:val="000000"/>
          <w:szCs w:val="22"/>
        </w:rPr>
        <w:t xml:space="preserve">. Je-li podle Nařízení parlamentu a Rady (EU) 2016/679 o ochraně fyzických osob v souvislosti se zpracováním osobních údajů a volném pohybu těchto údajů (Obecného nařízení </w:t>
      </w:r>
      <w:r>
        <w:rPr>
          <w:rFonts w:ascii="Arial" w:eastAsia="Calibri" w:hAnsi="Arial" w:cs="Arial"/>
          <w:color w:val="000000"/>
          <w:szCs w:val="22"/>
        </w:rPr>
        <w:br/>
      </w:r>
      <w:r w:rsidRPr="00BA67FB">
        <w:rPr>
          <w:rFonts w:ascii="Arial" w:eastAsia="Calibri" w:hAnsi="Arial" w:cs="Arial"/>
          <w:color w:val="000000"/>
          <w:szCs w:val="22"/>
        </w:rPr>
        <w:t>o ochraně osobních údajů) k uveřejnění těchto údajů potřebný s</w:t>
      </w:r>
      <w:r w:rsidRPr="005A6DA6">
        <w:rPr>
          <w:rFonts w:ascii="Arial" w:hAnsi="Arial" w:cs="Arial"/>
          <w:color w:val="000000"/>
          <w:szCs w:val="22"/>
        </w:rPr>
        <w:t xml:space="preserve">ouhlas dotčených osob, </w:t>
      </w:r>
      <w:r>
        <w:rPr>
          <w:rFonts w:ascii="Arial" w:hAnsi="Arial" w:cs="Arial"/>
          <w:color w:val="000000"/>
          <w:szCs w:val="22"/>
        </w:rPr>
        <w:t>příkazník</w:t>
      </w:r>
      <w:r w:rsidRPr="00BA67FB">
        <w:rPr>
          <w:rFonts w:ascii="Arial" w:eastAsia="Calibri" w:hAnsi="Arial" w:cs="Arial"/>
          <w:color w:val="000000"/>
          <w:szCs w:val="22"/>
        </w:rPr>
        <w:t xml:space="preserve"> výslovně prohlašuje, že takový souhlas všech dotčených osob zajist</w:t>
      </w:r>
      <w:r>
        <w:rPr>
          <w:rFonts w:ascii="Arial" w:hAnsi="Arial" w:cs="Arial"/>
          <w:color w:val="000000"/>
          <w:szCs w:val="22"/>
        </w:rPr>
        <w:t>il. Smluvní strany se dohodly,</w:t>
      </w:r>
      <w:r w:rsidRPr="005A6DA6">
        <w:rPr>
          <w:rFonts w:ascii="Arial" w:hAnsi="Arial" w:cs="Arial"/>
          <w:color w:val="000000"/>
          <w:szCs w:val="22"/>
        </w:rPr>
        <w:t xml:space="preserve"> </w:t>
      </w:r>
      <w:r>
        <w:rPr>
          <w:rFonts w:ascii="Arial" w:hAnsi="Arial" w:cs="Arial"/>
          <w:color w:val="000000"/>
          <w:szCs w:val="22"/>
        </w:rPr>
        <w:t>ž</w:t>
      </w:r>
      <w:r w:rsidRPr="005A6DA6">
        <w:rPr>
          <w:rFonts w:ascii="Arial" w:hAnsi="Arial" w:cs="Arial"/>
          <w:color w:val="000000"/>
          <w:szCs w:val="22"/>
        </w:rPr>
        <w:t xml:space="preserve">e </w:t>
      </w:r>
      <w:r>
        <w:rPr>
          <w:rFonts w:ascii="Arial" w:hAnsi="Arial" w:cs="Arial"/>
          <w:color w:val="000000"/>
          <w:szCs w:val="22"/>
        </w:rPr>
        <w:t>smlouvu</w:t>
      </w:r>
      <w:r w:rsidRPr="00BA67FB">
        <w:rPr>
          <w:rFonts w:ascii="Arial" w:eastAsia="Calibri" w:hAnsi="Arial" w:cs="Arial"/>
          <w:color w:val="000000"/>
          <w:szCs w:val="22"/>
        </w:rPr>
        <w:t xml:space="preserve"> zašle správci Registru smluv k uveřejnění </w:t>
      </w:r>
      <w:r>
        <w:rPr>
          <w:rFonts w:ascii="Arial" w:hAnsi="Arial" w:cs="Arial"/>
          <w:color w:val="000000"/>
          <w:szCs w:val="22"/>
        </w:rPr>
        <w:t>příkazce</w:t>
      </w:r>
      <w:r w:rsidRPr="00BA67FB">
        <w:rPr>
          <w:rFonts w:ascii="Arial" w:eastAsia="Calibri" w:hAnsi="Arial" w:cs="Arial"/>
          <w:color w:val="000000"/>
          <w:szCs w:val="22"/>
        </w:rPr>
        <w:t xml:space="preserve"> </w:t>
      </w:r>
      <w:r>
        <w:rPr>
          <w:rFonts w:ascii="Arial" w:eastAsia="Calibri" w:hAnsi="Arial" w:cs="Arial"/>
          <w:color w:val="000000"/>
          <w:szCs w:val="22"/>
        </w:rPr>
        <w:br/>
      </w:r>
      <w:r w:rsidRPr="00BA67FB">
        <w:rPr>
          <w:rFonts w:ascii="Arial" w:eastAsia="Calibri" w:hAnsi="Arial" w:cs="Arial"/>
          <w:color w:val="000000"/>
          <w:szCs w:val="22"/>
        </w:rPr>
        <w:t xml:space="preserve">a bude </w:t>
      </w:r>
      <w:r>
        <w:rPr>
          <w:rFonts w:ascii="Arial" w:hAnsi="Arial" w:cs="Arial"/>
          <w:color w:val="000000"/>
          <w:szCs w:val="22"/>
        </w:rPr>
        <w:t>příkazníka</w:t>
      </w:r>
      <w:r w:rsidRPr="00BA67FB">
        <w:rPr>
          <w:rFonts w:ascii="Arial" w:eastAsia="Calibri" w:hAnsi="Arial" w:cs="Arial"/>
          <w:color w:val="000000"/>
          <w:szCs w:val="22"/>
        </w:rPr>
        <w:t xml:space="preserve"> píse</w:t>
      </w:r>
      <w:r>
        <w:rPr>
          <w:rFonts w:ascii="Arial" w:eastAsia="Calibri" w:hAnsi="Arial" w:cs="Arial"/>
          <w:color w:val="000000"/>
          <w:szCs w:val="22"/>
        </w:rPr>
        <w:t xml:space="preserve">mně informovat o uveřejnění </w:t>
      </w:r>
      <w:r w:rsidRPr="005A6DA6">
        <w:rPr>
          <w:rFonts w:ascii="Arial" w:hAnsi="Arial" w:cs="Arial"/>
          <w:color w:val="000000"/>
          <w:szCs w:val="22"/>
        </w:rPr>
        <w:t xml:space="preserve">v Registru smluv. </w:t>
      </w:r>
      <w:r>
        <w:rPr>
          <w:rFonts w:ascii="Arial" w:hAnsi="Arial" w:cs="Arial"/>
          <w:color w:val="000000"/>
          <w:szCs w:val="22"/>
        </w:rPr>
        <w:t xml:space="preserve">Příkazník </w:t>
      </w:r>
      <w:r w:rsidR="00C3218C">
        <w:rPr>
          <w:rFonts w:ascii="Arial" w:eastAsia="Calibri" w:hAnsi="Arial" w:cs="Arial"/>
          <w:color w:val="000000"/>
          <w:szCs w:val="22"/>
        </w:rPr>
        <w:t>je </w:t>
      </w:r>
      <w:r w:rsidRPr="005A6DA6">
        <w:rPr>
          <w:rFonts w:ascii="Arial" w:hAnsi="Arial" w:cs="Arial"/>
          <w:color w:val="000000"/>
          <w:szCs w:val="22"/>
        </w:rPr>
        <w:t xml:space="preserve">povinen zkontrolovat, že </w:t>
      </w:r>
      <w:r>
        <w:rPr>
          <w:rFonts w:ascii="Arial" w:hAnsi="Arial" w:cs="Arial"/>
          <w:color w:val="000000"/>
          <w:szCs w:val="22"/>
        </w:rPr>
        <w:t>smlouva</w:t>
      </w:r>
      <w:r w:rsidRPr="00BA67FB">
        <w:rPr>
          <w:rFonts w:ascii="Arial" w:eastAsia="Calibri" w:hAnsi="Arial" w:cs="Arial"/>
          <w:color w:val="000000"/>
          <w:szCs w:val="22"/>
        </w:rPr>
        <w:t xml:space="preserve"> byl</w:t>
      </w:r>
      <w:r>
        <w:rPr>
          <w:rFonts w:ascii="Arial" w:hAnsi="Arial" w:cs="Arial"/>
          <w:color w:val="000000"/>
          <w:szCs w:val="22"/>
        </w:rPr>
        <w:t>a</w:t>
      </w:r>
      <w:r w:rsidRPr="00BA67FB">
        <w:rPr>
          <w:rFonts w:ascii="Arial" w:eastAsia="Calibri" w:hAnsi="Arial" w:cs="Arial"/>
          <w:color w:val="000000"/>
          <w:szCs w:val="22"/>
        </w:rPr>
        <w:t xml:space="preserve"> v Registru smluv řádně uveřejněn</w:t>
      </w:r>
      <w:r>
        <w:rPr>
          <w:rFonts w:ascii="Arial" w:hAnsi="Arial" w:cs="Arial"/>
          <w:color w:val="000000"/>
          <w:szCs w:val="22"/>
        </w:rPr>
        <w:t>a</w:t>
      </w:r>
      <w:r w:rsidRPr="005A6DA6">
        <w:rPr>
          <w:rFonts w:ascii="Arial" w:hAnsi="Arial" w:cs="Arial"/>
          <w:color w:val="000000"/>
          <w:szCs w:val="22"/>
        </w:rPr>
        <w:t>. V případě, že</w:t>
      </w:r>
      <w:r>
        <w:rPr>
          <w:rFonts w:ascii="Arial" w:hAnsi="Arial" w:cs="Arial"/>
          <w:color w:val="000000"/>
          <w:szCs w:val="22"/>
        </w:rPr>
        <w:t xml:space="preserve"> příkazník</w:t>
      </w:r>
      <w:r>
        <w:rPr>
          <w:rFonts w:ascii="Arial" w:eastAsia="Calibri" w:hAnsi="Arial" w:cs="Arial"/>
          <w:color w:val="000000"/>
          <w:szCs w:val="22"/>
        </w:rPr>
        <w:t xml:space="preserve"> </w:t>
      </w:r>
      <w:r w:rsidRPr="00BA67FB">
        <w:rPr>
          <w:rFonts w:ascii="Arial" w:eastAsia="Calibri" w:hAnsi="Arial" w:cs="Arial"/>
          <w:color w:val="000000"/>
          <w:szCs w:val="22"/>
        </w:rPr>
        <w:t>zjistí jakékoliv nepřesnosti či nedostatky, je povinen bez zbyteč</w:t>
      </w:r>
      <w:r w:rsidRPr="005A6DA6">
        <w:rPr>
          <w:rFonts w:ascii="Arial" w:hAnsi="Arial" w:cs="Arial"/>
          <w:color w:val="000000"/>
          <w:szCs w:val="22"/>
        </w:rPr>
        <w:t xml:space="preserve">ného odkladu </w:t>
      </w:r>
      <w:r>
        <w:rPr>
          <w:rFonts w:ascii="Arial" w:hAnsi="Arial" w:cs="Arial"/>
          <w:color w:val="000000"/>
          <w:szCs w:val="22"/>
        </w:rPr>
        <w:br/>
      </w:r>
      <w:r w:rsidRPr="005A6DA6">
        <w:rPr>
          <w:rFonts w:ascii="Arial" w:hAnsi="Arial" w:cs="Arial"/>
          <w:color w:val="000000"/>
          <w:szCs w:val="22"/>
        </w:rPr>
        <w:t xml:space="preserve">o nich </w:t>
      </w:r>
      <w:r>
        <w:rPr>
          <w:rFonts w:ascii="Arial" w:hAnsi="Arial" w:cs="Arial"/>
          <w:color w:val="000000"/>
          <w:szCs w:val="22"/>
        </w:rPr>
        <w:t xml:space="preserve">příkazce </w:t>
      </w:r>
      <w:r>
        <w:rPr>
          <w:rFonts w:ascii="Arial" w:eastAsia="Calibri" w:hAnsi="Arial" w:cs="Arial"/>
          <w:color w:val="000000"/>
          <w:szCs w:val="22"/>
        </w:rPr>
        <w:t>informovat.</w:t>
      </w:r>
    </w:p>
    <w:p w:rsidR="009B7A4F" w:rsidP="009B7A4F">
      <w:pPr>
        <w:numPr>
          <w:ilvl w:val="0"/>
          <w:numId w:val="23"/>
        </w:numPr>
        <w:suppressAutoHyphens/>
        <w:spacing w:after="120"/>
        <w:ind w:left="426" w:hanging="426"/>
        <w:jc w:val="both"/>
        <w:rPr>
          <w:rFonts w:ascii="Arial" w:hAnsi="Arial" w:cs="Arial"/>
          <w:szCs w:val="22"/>
          <w:lang w:eastAsia="en-US"/>
        </w:rPr>
      </w:pPr>
      <w:r w:rsidRPr="00603FEB">
        <w:rPr>
          <w:rFonts w:ascii="Arial" w:hAnsi="Arial" w:cs="Arial"/>
          <w:szCs w:val="22"/>
          <w:lang w:eastAsia="en-US"/>
        </w:rPr>
        <w:t>Smluvní strany výslovně prohlašují, že veškeré informace, údaje a skutečnosti obsažené v této smlouvě nepovažují samostatně ani v jejich souhrnu za informace, které nelze poskytnout nebo zveřejnit při postupu po</w:t>
      </w:r>
      <w:r w:rsidRPr="0018754B">
        <w:rPr>
          <w:rFonts w:ascii="Arial" w:hAnsi="Arial" w:cs="Arial"/>
          <w:szCs w:val="22"/>
          <w:lang w:eastAsia="en-US"/>
        </w:rPr>
        <w:t xml:space="preserve">dle předpisů upravujících svobodný přístup k informacím, tedy zejména obchodní tajemství (ve smyslu ustanovení § 504 občanského zákoníku), bankovní tajemství (ve smyslu ustanovení § 38 odst. 1 zákona </w:t>
      </w:r>
      <w:r>
        <w:rPr>
          <w:rFonts w:ascii="Arial" w:hAnsi="Arial" w:cs="Arial"/>
          <w:szCs w:val="22"/>
          <w:lang w:eastAsia="en-US"/>
        </w:rPr>
        <w:br/>
      </w:r>
      <w:r w:rsidRPr="0018754B">
        <w:rPr>
          <w:rFonts w:ascii="Arial" w:hAnsi="Arial" w:cs="Arial"/>
          <w:szCs w:val="22"/>
          <w:lang w:eastAsia="en-US"/>
        </w:rPr>
        <w:t xml:space="preserve">č. 21/1992 Sb., o bankách, v platném znění) a utajované informace (ve smyslu příslušných ustanovení zákona č. 412/2005 Sb., o ochraně utajovaných informací </w:t>
      </w:r>
      <w:r>
        <w:rPr>
          <w:rFonts w:ascii="Arial" w:hAnsi="Arial" w:cs="Arial"/>
          <w:szCs w:val="22"/>
          <w:lang w:eastAsia="en-US"/>
        </w:rPr>
        <w:br/>
      </w:r>
      <w:r w:rsidRPr="0018754B">
        <w:rPr>
          <w:rFonts w:ascii="Arial" w:hAnsi="Arial" w:cs="Arial"/>
          <w:szCs w:val="22"/>
          <w:lang w:eastAsia="en-US"/>
        </w:rPr>
        <w:t>a o bezpečnostní způsobilosti, v platném znění) a podpisem této smlouvy vyjadřují svůj výslovný souhlas k jejich zveřejnění bez stanovení jakýchkoliv dalších podmínek.</w:t>
      </w:r>
      <w:r w:rsidRPr="0018754B">
        <w:rPr>
          <w:rFonts w:ascii="Arial" w:hAnsi="Arial" w:cs="Arial"/>
        </w:rPr>
        <w:t xml:space="preserve"> </w:t>
      </w:r>
    </w:p>
    <w:p w:rsidR="009B7A4F" w:rsidRPr="00B23E2F" w:rsidP="009B7A4F">
      <w:pPr>
        <w:numPr>
          <w:ilvl w:val="0"/>
          <w:numId w:val="23"/>
        </w:numPr>
        <w:suppressAutoHyphens/>
        <w:spacing w:after="120"/>
        <w:ind w:left="426" w:hanging="426"/>
        <w:jc w:val="both"/>
        <w:rPr>
          <w:rFonts w:ascii="Arial" w:hAnsi="Arial" w:cs="Arial"/>
          <w:szCs w:val="22"/>
          <w:lang w:eastAsia="en-US"/>
        </w:rPr>
      </w:pPr>
      <w:r w:rsidRPr="00603FEB">
        <w:rPr>
          <w:rFonts w:ascii="Arial" w:hAnsi="Arial" w:cs="Arial"/>
          <w:szCs w:val="22"/>
        </w:rPr>
        <w:t xml:space="preserve">Tato smlouva nabývá platnosti dnem podpisu </w:t>
      </w:r>
      <w:r>
        <w:rPr>
          <w:rFonts w:ascii="Arial" w:hAnsi="Arial" w:cs="Arial"/>
          <w:szCs w:val="22"/>
        </w:rPr>
        <w:t xml:space="preserve">obou </w:t>
      </w:r>
      <w:r w:rsidRPr="00603FEB">
        <w:rPr>
          <w:rFonts w:ascii="Arial" w:hAnsi="Arial" w:cs="Arial"/>
          <w:szCs w:val="22"/>
        </w:rPr>
        <w:t>smluvních stran a účinnosti dnem jejího uveřejnění v Registru smluv.</w:t>
      </w:r>
    </w:p>
    <w:p w:rsidR="009B7A4F" w:rsidRPr="00603FEB" w:rsidP="009B7A4F">
      <w:pPr>
        <w:numPr>
          <w:ilvl w:val="0"/>
          <w:numId w:val="23"/>
        </w:numPr>
        <w:suppressAutoHyphens/>
        <w:spacing w:after="120"/>
        <w:ind w:left="426" w:hanging="426"/>
        <w:jc w:val="both"/>
        <w:rPr>
          <w:rFonts w:ascii="Arial" w:hAnsi="Arial" w:cs="Arial"/>
          <w:szCs w:val="22"/>
        </w:rPr>
      </w:pPr>
      <w:r w:rsidRPr="0018754B">
        <w:rPr>
          <w:rFonts w:ascii="Arial" w:hAnsi="Arial" w:cs="Arial"/>
          <w:bCs/>
          <w:szCs w:val="22"/>
        </w:rPr>
        <w:t>Příkazník a příkazce vylučují, aby nad rámec výslovných ustanovení této smlouvy byla jakákoliv práva a povinnosti dovozovány z dosavadní či budoucí praxe zavedené mezi příkazníkem a příkazcem či zvyklostí zachovávaných obecně či v odvětví týkajícím se předmětu plnění této smlouvy, ledaže je ve smlouvě sjednáno jinak.</w:t>
      </w:r>
    </w:p>
    <w:p w:rsidR="009B7A4F" w:rsidRPr="00603FEB" w:rsidP="009B7A4F">
      <w:pPr>
        <w:numPr>
          <w:ilvl w:val="0"/>
          <w:numId w:val="23"/>
        </w:numPr>
        <w:suppressAutoHyphens/>
        <w:spacing w:after="120"/>
        <w:ind w:left="426" w:hanging="426"/>
        <w:jc w:val="both"/>
        <w:rPr>
          <w:rFonts w:ascii="Arial" w:hAnsi="Arial" w:cs="Arial"/>
          <w:szCs w:val="22"/>
        </w:rPr>
      </w:pPr>
      <w:r w:rsidRPr="00603FEB">
        <w:rPr>
          <w:rFonts w:ascii="Arial" w:hAnsi="Arial" w:cs="Arial"/>
          <w:bCs/>
          <w:szCs w:val="22"/>
        </w:rPr>
        <w:t>Tato smlouva je vyhotovena ve 4 stejnopisech, z nich 3 obdrží příkazce a 1 příkazník.</w:t>
      </w:r>
    </w:p>
    <w:p w:rsidR="009B7A4F" w:rsidRPr="00603FEB" w:rsidP="009B7A4F">
      <w:pPr>
        <w:numPr>
          <w:ilvl w:val="0"/>
          <w:numId w:val="23"/>
        </w:numPr>
        <w:suppressAutoHyphens/>
        <w:spacing w:after="120"/>
        <w:ind w:left="426" w:hanging="426"/>
        <w:jc w:val="both"/>
        <w:rPr>
          <w:rFonts w:ascii="Arial" w:hAnsi="Arial" w:cs="Arial"/>
          <w:szCs w:val="22"/>
        </w:rPr>
      </w:pPr>
      <w:r w:rsidRPr="0018754B">
        <w:rPr>
          <w:rFonts w:ascii="Arial" w:hAnsi="Arial" w:cs="Arial"/>
          <w:bCs/>
          <w:szCs w:val="22"/>
        </w:rPr>
        <w:t>Příkazník</w:t>
      </w:r>
      <w:r w:rsidRPr="0018754B">
        <w:rPr>
          <w:rFonts w:ascii="Arial" w:hAnsi="Arial" w:cs="Arial"/>
          <w:szCs w:val="22"/>
        </w:rPr>
        <w:t xml:space="preserve"> převzal na sebe nebezpečí změny okolností po uzavření této smlouvy, a proto mu nepřísluší domáhat se práv uvedených v § 1765 občanského zákoníku.</w:t>
      </w:r>
    </w:p>
    <w:p w:rsidR="009B7A4F" w:rsidRPr="00603FEB" w:rsidP="009B7A4F">
      <w:pPr>
        <w:numPr>
          <w:ilvl w:val="0"/>
          <w:numId w:val="23"/>
        </w:numPr>
        <w:suppressAutoHyphens/>
        <w:spacing w:after="120"/>
        <w:ind w:left="426" w:hanging="426"/>
        <w:jc w:val="both"/>
        <w:rPr>
          <w:rFonts w:ascii="Arial" w:hAnsi="Arial" w:cs="Arial"/>
          <w:szCs w:val="22"/>
        </w:rPr>
      </w:pPr>
      <w:r w:rsidRPr="0018754B">
        <w:rPr>
          <w:rFonts w:ascii="Arial" w:hAnsi="Arial" w:cs="Arial"/>
          <w:bCs/>
          <w:szCs w:val="22"/>
        </w:rPr>
        <w:t>Tuto smlouvu je možné měnit pouze vzestupně číslovanými písemnými dodatky podepsanými oběma smluvními stranami.</w:t>
      </w:r>
    </w:p>
    <w:p w:rsidR="009B7A4F" w:rsidRPr="00603FEB" w:rsidP="009B7A4F">
      <w:pPr>
        <w:numPr>
          <w:ilvl w:val="0"/>
          <w:numId w:val="23"/>
        </w:numPr>
        <w:suppressAutoHyphens/>
        <w:spacing w:after="120"/>
        <w:ind w:left="426" w:hanging="426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Příkazník</w:t>
      </w:r>
      <w:r w:rsidRPr="00527D20">
        <w:rPr>
          <w:rFonts w:ascii="Arial" w:hAnsi="Arial" w:cs="Arial"/>
          <w:szCs w:val="22"/>
        </w:rPr>
        <w:t xml:space="preserve"> bere na vědomí, že podle § 2 písm. e) zákona č. 320/2001 Sb., o finanční kontrole ve veřejné správě, znění pozdějších předpisů, je osobou povinnou spolupůsobit při výkonu finanční kontroly. </w:t>
      </w:r>
    </w:p>
    <w:p w:rsidR="009B7A4F" w:rsidP="009B7A4F">
      <w:pPr>
        <w:numPr>
          <w:ilvl w:val="0"/>
          <w:numId w:val="23"/>
        </w:numPr>
        <w:suppressAutoHyphens/>
        <w:spacing w:after="120"/>
        <w:ind w:left="426" w:hanging="426"/>
        <w:jc w:val="both"/>
        <w:rPr>
          <w:rFonts w:ascii="Arial" w:hAnsi="Arial" w:cs="Arial"/>
          <w:szCs w:val="22"/>
        </w:rPr>
      </w:pPr>
      <w:r w:rsidRPr="00603FEB">
        <w:rPr>
          <w:rFonts w:ascii="Arial" w:hAnsi="Arial" w:cs="Arial"/>
          <w:bCs/>
          <w:szCs w:val="22"/>
        </w:rPr>
        <w:t>Zástupci smluvních stran prohlašují, že tato smlouva odpovídá jejich svobodné a vážné vůli a nebyla uzavřena v tísni nebo za nápadně nevýhodných podmínek, což stvrzují svými vlastnoručními podpisy.</w:t>
      </w:r>
      <w:r w:rsidRPr="00527D20">
        <w:rPr>
          <w:rFonts w:ascii="Arial" w:hAnsi="Arial" w:cs="Arial"/>
          <w:szCs w:val="22"/>
        </w:rPr>
        <w:t xml:space="preserve"> </w:t>
      </w:r>
    </w:p>
    <w:p w:rsidR="009B7A4F" w:rsidRPr="00527D20" w:rsidP="009B7A4F">
      <w:pPr>
        <w:suppressAutoHyphens/>
        <w:spacing w:after="120"/>
        <w:ind w:left="426"/>
        <w:jc w:val="both"/>
        <w:rPr>
          <w:rFonts w:ascii="Arial" w:hAnsi="Arial" w:cs="Arial"/>
          <w:szCs w:val="22"/>
        </w:rPr>
      </w:pPr>
    </w:p>
    <w:p w:rsidR="009B7A4F" w:rsidP="009B7A4F">
      <w:pPr>
        <w:tabs>
          <w:tab w:val="left" w:pos="5670"/>
        </w:tabs>
        <w:suppressAutoHyphens/>
        <w:spacing w:after="120"/>
        <w:ind w:left="284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V Praze dne:</w:t>
      </w:r>
      <w:r w:rsidR="007959EA">
        <w:rPr>
          <w:rFonts w:ascii="Arial" w:hAnsi="Arial" w:cs="Arial"/>
          <w:bCs/>
          <w:szCs w:val="22"/>
        </w:rPr>
        <w:t xml:space="preserve"> </w:t>
      </w:r>
      <w:r w:rsidR="007959EA">
        <w:rPr>
          <w:rFonts w:ascii="Arial" w:hAnsi="Arial" w:cs="Arial"/>
          <w:bCs/>
          <w:szCs w:val="22"/>
        </w:rPr>
        <w:t>13.02.2025</w:t>
      </w:r>
      <w:r>
        <w:rPr>
          <w:rFonts w:ascii="Arial" w:hAnsi="Arial" w:cs="Arial"/>
          <w:bCs/>
          <w:szCs w:val="22"/>
        </w:rPr>
        <w:t xml:space="preserve">                     </w:t>
      </w:r>
      <w:r>
        <w:rPr>
          <w:rFonts w:ascii="Arial" w:hAnsi="Arial" w:cs="Arial"/>
          <w:bCs/>
          <w:szCs w:val="22"/>
        </w:rPr>
        <w:tab/>
        <w:t xml:space="preserve">V Praze dne: </w:t>
      </w:r>
      <w:r w:rsidR="007959EA">
        <w:rPr>
          <w:rFonts w:ascii="Arial" w:hAnsi="Arial" w:cs="Arial"/>
          <w:bCs/>
          <w:szCs w:val="22"/>
        </w:rPr>
        <w:t>13.02.2025</w:t>
      </w:r>
    </w:p>
    <w:p w:rsidR="009B7A4F" w:rsidP="009B7A4F">
      <w:pPr>
        <w:tabs>
          <w:tab w:val="left" w:pos="5670"/>
          <w:tab w:val="left" w:pos="6096"/>
        </w:tabs>
        <w:suppressAutoHyphens/>
        <w:ind w:left="284"/>
        <w:rPr>
          <w:rFonts w:ascii="Arial" w:hAnsi="Arial" w:cs="Arial"/>
          <w:szCs w:val="22"/>
        </w:rPr>
      </w:pPr>
    </w:p>
    <w:p w:rsidR="009B7A4F" w:rsidP="009B7A4F">
      <w:pPr>
        <w:tabs>
          <w:tab w:val="left" w:pos="5670"/>
          <w:tab w:val="left" w:pos="6096"/>
        </w:tabs>
        <w:suppressAutoHyphens/>
        <w:ind w:left="284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Za příkazníka                                                               </w:t>
      </w:r>
      <w:r>
        <w:rPr>
          <w:rFonts w:ascii="Arial" w:hAnsi="Arial" w:cs="Arial"/>
          <w:szCs w:val="22"/>
        </w:rPr>
        <w:tab/>
        <w:t xml:space="preserve">Za příkazce                       </w:t>
      </w:r>
    </w:p>
    <w:p w:rsidR="009B7A4F" w:rsidRPr="00996769" w:rsidP="009B7A4F">
      <w:pPr>
        <w:tabs>
          <w:tab w:val="left" w:pos="5670"/>
        </w:tabs>
        <w:suppressAutoHyphens/>
        <w:rPr>
          <w:rFonts w:ascii="Arial" w:hAnsi="Arial" w:cs="Arial"/>
          <w:szCs w:val="22"/>
        </w:rPr>
      </w:pPr>
    </w:p>
    <w:p w:rsidR="009B7A4F" w:rsidRPr="00996769" w:rsidP="009B7A4F">
      <w:pPr>
        <w:tabs>
          <w:tab w:val="left" w:pos="5670"/>
        </w:tabs>
        <w:suppressAutoHyphens/>
        <w:ind w:left="284"/>
        <w:rPr>
          <w:rFonts w:ascii="Arial" w:hAnsi="Arial" w:cs="Arial"/>
          <w:szCs w:val="22"/>
        </w:rPr>
      </w:pPr>
    </w:p>
    <w:p w:rsidR="009B7A4F" w:rsidRPr="00705361" w:rsidP="009B7A4F">
      <w:pPr>
        <w:tabs>
          <w:tab w:val="left" w:pos="5670"/>
          <w:tab w:val="left" w:pos="6096"/>
        </w:tabs>
        <w:suppressAutoHyphens/>
        <w:ind w:left="284"/>
        <w:rPr>
          <w:rFonts w:ascii="Arial" w:hAnsi="Arial" w:cs="Arial"/>
          <w:szCs w:val="22"/>
        </w:rPr>
      </w:pPr>
      <w:r w:rsidRPr="002817BF">
        <w:rPr>
          <w:rFonts w:ascii="Arial" w:hAnsi="Arial" w:cs="Arial"/>
          <w:szCs w:val="22"/>
        </w:rPr>
        <w:t>_______________________</w:t>
      </w:r>
      <w:r w:rsidRPr="00705361">
        <w:rPr>
          <w:rFonts w:ascii="Arial" w:hAnsi="Arial" w:cs="Arial"/>
          <w:szCs w:val="22"/>
        </w:rPr>
        <w:t xml:space="preserve">                                      </w:t>
      </w:r>
      <w:r w:rsidRPr="00705361">
        <w:rPr>
          <w:rFonts w:ascii="Arial" w:hAnsi="Arial" w:cs="Arial"/>
          <w:szCs w:val="22"/>
        </w:rPr>
        <w:tab/>
        <w:t>__________________________</w:t>
      </w:r>
    </w:p>
    <w:p w:rsidR="009B7A4F" w:rsidRPr="008E3688" w:rsidP="009B7A4F">
      <w:pPr>
        <w:tabs>
          <w:tab w:val="left" w:pos="5670"/>
        </w:tabs>
        <w:suppressAutoHyphens/>
        <w:ind w:left="284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Ing. Jana Maňhalová</w:t>
      </w:r>
      <w:r w:rsidR="007959EA">
        <w:rPr>
          <w:rFonts w:ascii="Arial" w:hAnsi="Arial" w:cs="Arial"/>
          <w:szCs w:val="22"/>
        </w:rPr>
        <w:t>, v.r.</w:t>
      </w:r>
      <w:r>
        <w:rPr>
          <w:rFonts w:ascii="Arial" w:hAnsi="Arial" w:cs="Arial"/>
          <w:szCs w:val="22"/>
        </w:rPr>
        <w:tab/>
        <w:t>Ing. Tomáš Štainbruch, MBA</w:t>
      </w:r>
      <w:r w:rsidR="007959EA">
        <w:rPr>
          <w:rFonts w:ascii="Arial" w:hAnsi="Arial" w:cs="Arial"/>
          <w:szCs w:val="22"/>
        </w:rPr>
        <w:t xml:space="preserve">, </w:t>
      </w:r>
      <w:r w:rsidR="007959EA">
        <w:rPr>
          <w:rFonts w:ascii="Arial" w:hAnsi="Arial" w:cs="Arial"/>
          <w:szCs w:val="22"/>
        </w:rPr>
        <w:t>v.r.</w:t>
      </w:r>
    </w:p>
    <w:p w:rsidR="009B7A4F" w:rsidP="009B7A4F">
      <w:pPr>
        <w:tabs>
          <w:tab w:val="left" w:pos="5670"/>
        </w:tabs>
        <w:suppressAutoHyphens/>
        <w:ind w:left="284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jednatelka</w:t>
      </w:r>
      <w:r>
        <w:rPr>
          <w:rFonts w:ascii="Arial" w:hAnsi="Arial" w:cs="Arial"/>
          <w:szCs w:val="22"/>
        </w:rPr>
        <w:tab/>
        <w:t>ředitel</w:t>
      </w:r>
      <w:r>
        <w:rPr>
          <w:rFonts w:ascii="Arial" w:hAnsi="Arial" w:cs="Arial"/>
          <w:szCs w:val="22"/>
        </w:rPr>
        <w:tab/>
      </w:r>
      <w:r w:rsidRPr="008E3688">
        <w:rPr>
          <w:rFonts w:ascii="Arial" w:hAnsi="Arial" w:cs="Arial"/>
          <w:szCs w:val="22"/>
        </w:rPr>
        <w:t>Odbor</w:t>
      </w:r>
      <w:r>
        <w:rPr>
          <w:rFonts w:ascii="Arial" w:hAnsi="Arial" w:cs="Arial"/>
          <w:szCs w:val="22"/>
        </w:rPr>
        <w:t>u</w:t>
      </w:r>
      <w:r w:rsidRPr="008E3688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správy nemovitostí</w:t>
      </w:r>
    </w:p>
    <w:p w:rsidR="009B7A4F" w:rsidP="009B7A4F">
      <w:pPr>
        <w:tabs>
          <w:tab w:val="left" w:pos="5670"/>
        </w:tabs>
        <w:suppressAutoHyphens/>
        <w:ind w:left="284"/>
        <w:rPr>
          <w:rFonts w:ascii="Arial" w:hAnsi="Arial" w:cs="Arial"/>
          <w:szCs w:val="22"/>
        </w:rPr>
      </w:pPr>
    </w:p>
    <w:p w:rsidR="009B7A4F" w:rsidP="009B7A4F">
      <w:pPr>
        <w:tabs>
          <w:tab w:val="left" w:pos="5670"/>
        </w:tabs>
        <w:suppressAutoHyphens/>
        <w:ind w:left="284"/>
        <w:rPr>
          <w:rFonts w:ascii="Arial" w:hAnsi="Arial" w:cs="Arial"/>
          <w:szCs w:val="22"/>
        </w:rPr>
      </w:pPr>
    </w:p>
    <w:p w:rsidR="009B7A4F" w:rsidP="009B7A4F">
      <w:pPr>
        <w:tabs>
          <w:tab w:val="left" w:pos="5670"/>
        </w:tabs>
        <w:suppressAutoHyphens/>
        <w:ind w:left="284"/>
        <w:rPr>
          <w:rFonts w:ascii="Arial" w:hAnsi="Arial" w:cs="Arial"/>
          <w:szCs w:val="22"/>
        </w:rPr>
      </w:pPr>
    </w:p>
    <w:p w:rsidR="009B7A4F" w:rsidP="009B7A4F">
      <w:pPr>
        <w:tabs>
          <w:tab w:val="left" w:pos="5670"/>
        </w:tabs>
        <w:suppressAutoHyphens/>
        <w:ind w:left="284"/>
        <w:rPr>
          <w:rFonts w:ascii="Arial" w:hAnsi="Arial" w:cs="Arial"/>
          <w:szCs w:val="22"/>
        </w:rPr>
      </w:pPr>
    </w:p>
    <w:p w:rsidR="009B7A4F" w:rsidP="009B7A4F">
      <w:pPr>
        <w:tabs>
          <w:tab w:val="left" w:pos="5670"/>
        </w:tabs>
        <w:suppressAutoHyphens/>
        <w:ind w:left="284"/>
        <w:rPr>
          <w:rFonts w:ascii="Arial" w:hAnsi="Arial" w:cs="Arial"/>
          <w:szCs w:val="22"/>
        </w:rPr>
      </w:pPr>
    </w:p>
    <w:p w:rsidR="009B7A4F" w:rsidP="009B7A4F">
      <w:pPr>
        <w:tabs>
          <w:tab w:val="left" w:pos="5670"/>
        </w:tabs>
        <w:suppressAutoHyphens/>
        <w:ind w:left="284"/>
        <w:rPr>
          <w:rFonts w:ascii="Arial" w:hAnsi="Arial" w:cs="Arial"/>
          <w:szCs w:val="22"/>
        </w:rPr>
      </w:pPr>
    </w:p>
    <w:p w:rsidR="009B7A4F" w:rsidP="009B7A4F">
      <w:pPr>
        <w:tabs>
          <w:tab w:val="left" w:pos="5670"/>
        </w:tabs>
        <w:suppressAutoHyphens/>
        <w:ind w:left="284"/>
        <w:rPr>
          <w:rFonts w:ascii="Arial" w:hAnsi="Arial" w:cs="Arial"/>
          <w:szCs w:val="22"/>
        </w:rPr>
      </w:pPr>
    </w:p>
    <w:p w:rsidR="009B7A4F" w:rsidP="009B7A4F">
      <w:pPr>
        <w:tabs>
          <w:tab w:val="left" w:pos="5670"/>
        </w:tabs>
        <w:suppressAutoHyphens/>
        <w:ind w:left="284"/>
        <w:rPr>
          <w:rFonts w:ascii="Arial" w:hAnsi="Arial" w:cs="Arial"/>
          <w:szCs w:val="22"/>
        </w:rPr>
      </w:pPr>
    </w:p>
    <w:p w:rsidR="009B7A4F" w:rsidP="009B7A4F">
      <w:pPr>
        <w:tabs>
          <w:tab w:val="left" w:pos="5670"/>
        </w:tabs>
        <w:suppressAutoHyphens/>
        <w:ind w:left="284"/>
        <w:rPr>
          <w:rFonts w:ascii="Arial" w:hAnsi="Arial" w:cs="Arial"/>
          <w:szCs w:val="22"/>
        </w:rPr>
      </w:pPr>
    </w:p>
    <w:p w:rsidR="009B7A4F" w:rsidP="009B7A4F">
      <w:pPr>
        <w:tabs>
          <w:tab w:val="left" w:pos="5670"/>
        </w:tabs>
        <w:suppressAutoHyphens/>
        <w:ind w:left="284"/>
        <w:rPr>
          <w:rFonts w:ascii="Arial" w:hAnsi="Arial" w:cs="Arial"/>
          <w:szCs w:val="22"/>
        </w:rPr>
      </w:pPr>
    </w:p>
    <w:p w:rsidR="009B7A4F" w:rsidP="009B7A4F">
      <w:pPr>
        <w:tabs>
          <w:tab w:val="left" w:pos="5670"/>
        </w:tabs>
        <w:suppressAutoHyphens/>
        <w:ind w:left="284"/>
        <w:rPr>
          <w:rFonts w:ascii="Arial" w:hAnsi="Arial" w:cs="Arial"/>
          <w:szCs w:val="22"/>
        </w:rPr>
      </w:pPr>
    </w:p>
    <w:p w:rsidR="009B7A4F" w:rsidP="009B7A4F">
      <w:pPr>
        <w:tabs>
          <w:tab w:val="left" w:pos="5670"/>
        </w:tabs>
        <w:suppressAutoHyphens/>
        <w:ind w:left="284"/>
        <w:rPr>
          <w:rFonts w:ascii="Arial" w:hAnsi="Arial" w:cs="Arial"/>
          <w:szCs w:val="22"/>
        </w:rPr>
      </w:pPr>
    </w:p>
    <w:p w:rsidR="009B7A4F" w:rsidP="009B7A4F">
      <w:pPr>
        <w:tabs>
          <w:tab w:val="left" w:pos="5670"/>
        </w:tabs>
        <w:suppressAutoHyphens/>
        <w:ind w:left="284"/>
        <w:rPr>
          <w:rFonts w:ascii="Arial" w:hAnsi="Arial" w:cs="Arial"/>
          <w:szCs w:val="22"/>
        </w:rPr>
      </w:pPr>
    </w:p>
    <w:p w:rsidR="009B7A4F" w:rsidP="009B7A4F">
      <w:pPr>
        <w:tabs>
          <w:tab w:val="left" w:pos="5670"/>
        </w:tabs>
        <w:suppressAutoHyphens/>
        <w:ind w:left="284"/>
        <w:rPr>
          <w:rFonts w:ascii="Arial" w:hAnsi="Arial" w:cs="Arial"/>
          <w:szCs w:val="22"/>
        </w:rPr>
      </w:pPr>
    </w:p>
    <w:p w:rsidR="009B7A4F" w:rsidP="009B7A4F">
      <w:pPr>
        <w:tabs>
          <w:tab w:val="left" w:pos="5670"/>
        </w:tabs>
        <w:suppressAutoHyphens/>
        <w:ind w:left="284"/>
        <w:rPr>
          <w:rFonts w:ascii="Arial" w:hAnsi="Arial" w:cs="Arial"/>
          <w:szCs w:val="22"/>
        </w:rPr>
      </w:pPr>
    </w:p>
    <w:p w:rsidR="009B7A4F" w:rsidP="009B7A4F">
      <w:pPr>
        <w:tabs>
          <w:tab w:val="left" w:pos="5670"/>
        </w:tabs>
        <w:suppressAutoHyphens/>
        <w:ind w:left="284"/>
        <w:rPr>
          <w:rFonts w:ascii="Arial" w:hAnsi="Arial" w:cs="Arial"/>
          <w:szCs w:val="22"/>
        </w:rPr>
      </w:pPr>
    </w:p>
    <w:p w:rsidR="009B7A4F" w:rsidP="009B7A4F">
      <w:pPr>
        <w:tabs>
          <w:tab w:val="left" w:pos="5670"/>
        </w:tabs>
        <w:suppressAutoHyphens/>
        <w:ind w:left="284"/>
        <w:rPr>
          <w:rFonts w:ascii="Arial" w:hAnsi="Arial" w:cs="Arial"/>
          <w:szCs w:val="22"/>
        </w:rPr>
      </w:pPr>
    </w:p>
    <w:p w:rsidR="009B7A4F" w:rsidP="009B7A4F">
      <w:pPr>
        <w:tabs>
          <w:tab w:val="left" w:pos="5670"/>
        </w:tabs>
        <w:suppressAutoHyphens/>
        <w:ind w:left="284"/>
        <w:rPr>
          <w:rFonts w:ascii="Arial" w:hAnsi="Arial" w:cs="Arial"/>
          <w:szCs w:val="22"/>
        </w:rPr>
      </w:pPr>
    </w:p>
    <w:p w:rsidR="009B7A4F" w:rsidP="009B7A4F">
      <w:pPr>
        <w:tabs>
          <w:tab w:val="left" w:pos="5670"/>
        </w:tabs>
        <w:suppressAutoHyphens/>
        <w:ind w:left="284"/>
        <w:rPr>
          <w:rFonts w:ascii="Arial" w:hAnsi="Arial" w:cs="Arial"/>
          <w:szCs w:val="22"/>
        </w:rPr>
      </w:pPr>
    </w:p>
    <w:p w:rsidR="009B7A4F" w:rsidP="009B7A4F">
      <w:pPr>
        <w:tabs>
          <w:tab w:val="left" w:pos="5670"/>
        </w:tabs>
        <w:suppressAutoHyphens/>
        <w:ind w:left="284"/>
        <w:rPr>
          <w:rFonts w:ascii="Arial" w:hAnsi="Arial" w:cs="Arial"/>
          <w:szCs w:val="22"/>
        </w:rPr>
      </w:pPr>
    </w:p>
    <w:p w:rsidR="009B7A4F" w:rsidP="009B7A4F">
      <w:pPr>
        <w:tabs>
          <w:tab w:val="left" w:pos="5670"/>
        </w:tabs>
        <w:suppressAutoHyphens/>
        <w:ind w:left="284"/>
        <w:rPr>
          <w:rFonts w:ascii="Arial" w:hAnsi="Arial" w:cs="Arial"/>
          <w:szCs w:val="22"/>
        </w:rPr>
      </w:pPr>
    </w:p>
    <w:p w:rsidR="009B7A4F" w:rsidP="009B7A4F">
      <w:pPr>
        <w:tabs>
          <w:tab w:val="left" w:pos="5670"/>
        </w:tabs>
        <w:suppressAutoHyphens/>
        <w:ind w:left="284"/>
        <w:rPr>
          <w:rFonts w:ascii="Arial" w:hAnsi="Arial" w:cs="Arial"/>
          <w:szCs w:val="22"/>
        </w:rPr>
      </w:pPr>
    </w:p>
    <w:p w:rsidR="009B7A4F" w:rsidP="009B7A4F">
      <w:pPr>
        <w:tabs>
          <w:tab w:val="left" w:pos="5670"/>
        </w:tabs>
        <w:suppressAutoHyphens/>
        <w:ind w:left="284"/>
        <w:rPr>
          <w:rFonts w:ascii="Arial" w:hAnsi="Arial" w:cs="Arial"/>
          <w:szCs w:val="22"/>
        </w:rPr>
      </w:pPr>
    </w:p>
    <w:p w:rsidR="009B7A4F" w:rsidP="009B7A4F">
      <w:pPr>
        <w:tabs>
          <w:tab w:val="left" w:pos="5670"/>
        </w:tabs>
        <w:suppressAutoHyphens/>
        <w:ind w:left="284"/>
        <w:rPr>
          <w:rFonts w:ascii="Arial" w:hAnsi="Arial" w:cs="Arial"/>
          <w:szCs w:val="22"/>
        </w:rPr>
      </w:pPr>
    </w:p>
    <w:p w:rsidR="009B7A4F" w:rsidP="009B7A4F">
      <w:pPr>
        <w:tabs>
          <w:tab w:val="left" w:pos="5670"/>
        </w:tabs>
        <w:suppressAutoHyphens/>
        <w:ind w:left="284"/>
        <w:rPr>
          <w:rFonts w:ascii="Arial" w:hAnsi="Arial" w:cs="Arial"/>
          <w:szCs w:val="22"/>
        </w:rPr>
      </w:pPr>
    </w:p>
    <w:p w:rsidR="009B7A4F" w:rsidP="009B7A4F">
      <w:pPr>
        <w:tabs>
          <w:tab w:val="left" w:pos="5670"/>
        </w:tabs>
        <w:suppressAutoHyphens/>
        <w:ind w:left="284"/>
        <w:rPr>
          <w:rFonts w:ascii="Arial" w:hAnsi="Arial" w:cs="Arial"/>
          <w:szCs w:val="22"/>
        </w:rPr>
      </w:pPr>
    </w:p>
    <w:p w:rsidR="009B7A4F" w:rsidP="009B7A4F">
      <w:pPr>
        <w:tabs>
          <w:tab w:val="left" w:pos="5670"/>
        </w:tabs>
        <w:suppressAutoHyphens/>
        <w:ind w:left="284"/>
        <w:rPr>
          <w:rFonts w:ascii="Arial" w:hAnsi="Arial" w:cs="Arial"/>
          <w:szCs w:val="22"/>
        </w:rPr>
      </w:pPr>
    </w:p>
    <w:p w:rsidR="009B7A4F" w:rsidP="009B7A4F">
      <w:pPr>
        <w:tabs>
          <w:tab w:val="left" w:pos="5670"/>
        </w:tabs>
        <w:suppressAutoHyphens/>
        <w:ind w:left="284"/>
        <w:rPr>
          <w:rFonts w:ascii="Arial" w:hAnsi="Arial" w:cs="Arial"/>
          <w:szCs w:val="22"/>
        </w:rPr>
      </w:pPr>
    </w:p>
    <w:p w:rsidR="009B7A4F" w:rsidP="009B7A4F">
      <w:pPr>
        <w:tabs>
          <w:tab w:val="left" w:pos="5670"/>
        </w:tabs>
        <w:suppressAutoHyphens/>
        <w:ind w:left="284"/>
        <w:rPr>
          <w:rFonts w:ascii="Arial" w:hAnsi="Arial" w:cs="Arial"/>
          <w:szCs w:val="22"/>
        </w:rPr>
      </w:pPr>
    </w:p>
    <w:p w:rsidR="009B7A4F" w:rsidP="009B7A4F">
      <w:pPr>
        <w:tabs>
          <w:tab w:val="left" w:pos="5670"/>
        </w:tabs>
        <w:suppressAutoHyphens/>
        <w:ind w:left="284"/>
        <w:rPr>
          <w:rFonts w:ascii="Arial" w:hAnsi="Arial" w:cs="Arial"/>
          <w:szCs w:val="22"/>
        </w:rPr>
      </w:pPr>
    </w:p>
    <w:p w:rsidR="009B7A4F" w:rsidP="009B7A4F">
      <w:pPr>
        <w:tabs>
          <w:tab w:val="left" w:pos="5670"/>
        </w:tabs>
        <w:suppressAutoHyphens/>
        <w:ind w:left="284"/>
        <w:rPr>
          <w:rFonts w:ascii="Arial" w:hAnsi="Arial" w:cs="Arial"/>
          <w:szCs w:val="22"/>
        </w:rPr>
      </w:pPr>
    </w:p>
    <w:p w:rsidR="009B7A4F" w:rsidP="009B7A4F">
      <w:pPr>
        <w:tabs>
          <w:tab w:val="left" w:pos="5670"/>
        </w:tabs>
        <w:suppressAutoHyphens/>
        <w:ind w:left="284"/>
        <w:rPr>
          <w:rFonts w:ascii="Arial" w:hAnsi="Arial" w:cs="Arial"/>
          <w:szCs w:val="22"/>
        </w:rPr>
      </w:pPr>
    </w:p>
    <w:p w:rsidR="009B7A4F" w:rsidP="009B7A4F">
      <w:pPr>
        <w:tabs>
          <w:tab w:val="left" w:pos="5670"/>
        </w:tabs>
        <w:suppressAutoHyphens/>
        <w:ind w:left="284"/>
        <w:rPr>
          <w:rFonts w:ascii="Arial" w:hAnsi="Arial" w:cs="Arial"/>
          <w:szCs w:val="22"/>
        </w:rPr>
      </w:pPr>
    </w:p>
    <w:p w:rsidR="009B7A4F" w:rsidP="009B7A4F">
      <w:pPr>
        <w:tabs>
          <w:tab w:val="left" w:pos="5670"/>
        </w:tabs>
        <w:suppressAutoHyphens/>
        <w:ind w:left="284"/>
        <w:rPr>
          <w:rFonts w:ascii="Arial" w:hAnsi="Arial" w:cs="Arial"/>
          <w:szCs w:val="22"/>
        </w:rPr>
      </w:pPr>
    </w:p>
    <w:p w:rsidR="009B7A4F" w:rsidP="009B7A4F">
      <w:pPr>
        <w:tabs>
          <w:tab w:val="left" w:pos="5670"/>
        </w:tabs>
        <w:suppressAutoHyphens/>
        <w:ind w:left="284"/>
        <w:rPr>
          <w:rFonts w:ascii="Arial" w:hAnsi="Arial" w:cs="Arial"/>
          <w:szCs w:val="22"/>
        </w:rPr>
      </w:pPr>
    </w:p>
    <w:p w:rsidR="009B7A4F" w:rsidP="009B7A4F">
      <w:pPr>
        <w:tabs>
          <w:tab w:val="left" w:pos="5670"/>
        </w:tabs>
        <w:suppressAutoHyphens/>
        <w:ind w:left="284"/>
        <w:rPr>
          <w:rFonts w:ascii="Arial" w:hAnsi="Arial" w:cs="Arial"/>
          <w:szCs w:val="22"/>
        </w:rPr>
      </w:pPr>
    </w:p>
    <w:p w:rsidR="009B7A4F" w:rsidP="009B7A4F">
      <w:r>
        <w:rPr>
          <w:rFonts w:ascii="Arial" w:hAnsi="Arial" w:cs="Arial"/>
          <w:szCs w:val="22"/>
        </w:rPr>
        <w:t xml:space="preserve">      </w:t>
      </w:r>
    </w:p>
    <w:p w:rsidR="002E59F5" w:rsidRPr="00896030" w:rsidP="002E59F5">
      <w:pPr>
        <w:pStyle w:val="Footer"/>
        <w:pBdr>
          <w:top w:val="single" w:sz="4" w:space="0" w:color="auto"/>
        </w:pBd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Stran</w:t>
      </w:r>
      <w:r w:rsidRPr="00896030">
        <w:rPr>
          <w:rFonts w:ascii="Arial" w:hAnsi="Arial" w:cs="Arial"/>
          <w:sz w:val="20"/>
        </w:rPr>
        <w:t xml:space="preserve">a </w:t>
      </w:r>
      <w:r w:rsidRPr="00896030">
        <w:rPr>
          <w:rFonts w:ascii="Arial" w:hAnsi="Arial" w:cs="Arial"/>
          <w:bCs/>
          <w:sz w:val="20"/>
        </w:rPr>
        <w:fldChar w:fldCharType="begin"/>
      </w:r>
      <w:r w:rsidRPr="00896030">
        <w:rPr>
          <w:rFonts w:ascii="Arial" w:hAnsi="Arial" w:cs="Arial"/>
          <w:bCs/>
          <w:sz w:val="20"/>
        </w:rPr>
        <w:instrText>PAGE</w:instrText>
      </w:r>
      <w:r w:rsidRPr="00896030">
        <w:rPr>
          <w:rFonts w:ascii="Arial" w:hAnsi="Arial" w:cs="Arial"/>
          <w:bCs/>
          <w:sz w:val="20"/>
        </w:rPr>
        <w:fldChar w:fldCharType="separate"/>
      </w:r>
      <w:r w:rsidRPr="00896030">
        <w:rPr>
          <w:rFonts w:ascii="Arial" w:hAnsi="Arial" w:cs="Arial"/>
          <w:bCs/>
          <w:sz w:val="20"/>
        </w:rPr>
        <w:t>9</w:t>
      </w:r>
      <w:r w:rsidRPr="00896030">
        <w:rPr>
          <w:rFonts w:ascii="Arial" w:hAnsi="Arial" w:cs="Arial"/>
          <w:bCs/>
          <w:sz w:val="20"/>
        </w:rPr>
        <w:fldChar w:fldCharType="end"/>
      </w:r>
      <w:r w:rsidRPr="0089603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(celkem</w:t>
      </w:r>
      <w:r w:rsidRPr="00896030">
        <w:rPr>
          <w:rFonts w:ascii="Arial" w:hAnsi="Arial" w:cs="Arial"/>
          <w:sz w:val="20"/>
        </w:rPr>
        <w:t xml:space="preserve"> </w:t>
      </w:r>
      <w:r w:rsidRPr="00896030">
        <w:rPr>
          <w:rFonts w:ascii="Arial" w:hAnsi="Arial" w:cs="Arial"/>
          <w:bCs/>
          <w:sz w:val="20"/>
        </w:rPr>
        <w:fldChar w:fldCharType="begin"/>
      </w:r>
      <w:r w:rsidRPr="00896030">
        <w:rPr>
          <w:rFonts w:ascii="Arial" w:hAnsi="Arial" w:cs="Arial"/>
          <w:bCs/>
          <w:sz w:val="20"/>
        </w:rPr>
        <w:instrText>NUMPAGES</w:instrText>
      </w:r>
      <w:r w:rsidRPr="00896030">
        <w:rPr>
          <w:rFonts w:ascii="Arial" w:hAnsi="Arial" w:cs="Arial"/>
          <w:bCs/>
          <w:sz w:val="20"/>
        </w:rPr>
        <w:fldChar w:fldCharType="separate"/>
      </w:r>
      <w:r w:rsidRPr="00896030">
        <w:rPr>
          <w:rFonts w:ascii="Arial" w:hAnsi="Arial" w:cs="Arial"/>
          <w:bCs/>
          <w:sz w:val="20"/>
        </w:rPr>
        <w:t>9</w:t>
      </w:r>
      <w:r w:rsidRPr="00896030">
        <w:rPr>
          <w:rFonts w:ascii="Arial" w:hAnsi="Arial" w:cs="Arial"/>
          <w:bCs/>
          <w:sz w:val="20"/>
        </w:rPr>
        <w:fldChar w:fldCharType="end"/>
      </w:r>
      <w:r>
        <w:rPr>
          <w:rFonts w:ascii="Arial" w:hAnsi="Arial" w:cs="Arial"/>
          <w:bCs/>
          <w:sz w:val="20"/>
        </w:rPr>
        <w:t>)</w:t>
      </w:r>
    </w:p>
    <w:sectPr w:rsidSect="001E04BD"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09" w:footer="42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3DB9" w:rsidRPr="008D4503" w:rsidP="00AA3DB9">
    <w:pPr>
      <w:pStyle w:val="Footer"/>
      <w:rPr>
        <w:rFonts w:ascii="Arial" w:hAnsi="Arial" w:cs="Arial"/>
        <w:sz w:val="18"/>
        <w:szCs w:val="18"/>
      </w:rPr>
    </w:pPr>
    <w:r w:rsidRPr="008D4503">
      <w:rPr>
        <w:rFonts w:ascii="Arial" w:hAnsi="Arial" w:cs="Arial"/>
        <w:sz w:val="18"/>
        <w:szCs w:val="18"/>
      </w:rPr>
      <w:t>Revitalizace objektu a zahrady za účelem zřízení dětských skupin Úřadu vlády České republiky</w:t>
    </w:r>
  </w:p>
  <w:p w:rsidR="00AA3DB9" w:rsidRPr="008D4503" w:rsidP="00AA3DB9">
    <w:pPr>
      <w:pStyle w:val="Footer"/>
      <w:rPr>
        <w:rFonts w:ascii="Arial" w:hAnsi="Arial" w:cs="Arial"/>
        <w:sz w:val="18"/>
        <w:szCs w:val="18"/>
      </w:rPr>
    </w:pPr>
    <w:r w:rsidRPr="008D4503">
      <w:rPr>
        <w:rFonts w:ascii="Arial" w:hAnsi="Arial" w:cs="Arial"/>
        <w:sz w:val="18"/>
        <w:szCs w:val="18"/>
      </w:rPr>
      <w:t>reg.č.</w:t>
    </w:r>
    <w:r w:rsidRPr="008D4503"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 </w:t>
    </w:r>
    <w:r w:rsidRPr="008D4503">
      <w:rPr>
        <w:rFonts w:ascii="Arial" w:hAnsi="Arial" w:cs="Arial"/>
        <w:sz w:val="18"/>
        <w:szCs w:val="18"/>
      </w:rPr>
      <w:t>CZ.31.6.0/0.0/0.0/24_150/0011032</w:t>
    </w:r>
  </w:p>
  <w:p w:rsidR="005C7309">
    <w:pPr>
      <w:pStyle w:val="Footer"/>
    </w:pPr>
  </w:p>
  <w:p w:rsidR="005C73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4503" w:rsidRPr="008D4503">
    <w:pPr>
      <w:pStyle w:val="Footer"/>
      <w:rPr>
        <w:rFonts w:ascii="Arial" w:hAnsi="Arial" w:cs="Arial"/>
        <w:sz w:val="18"/>
        <w:szCs w:val="18"/>
      </w:rPr>
    </w:pPr>
    <w:r w:rsidRPr="008D4503">
      <w:rPr>
        <w:rFonts w:ascii="Arial" w:hAnsi="Arial" w:cs="Arial"/>
        <w:sz w:val="18"/>
        <w:szCs w:val="18"/>
      </w:rPr>
      <w:t>Revitalizace objektu a zahrady za účelem zřízení dětských skupin Úřadu vlády České republiky</w:t>
    </w:r>
  </w:p>
  <w:p w:rsidR="008D4503" w:rsidRPr="008D4503">
    <w:pPr>
      <w:pStyle w:val="Footer"/>
      <w:rPr>
        <w:rFonts w:ascii="Arial" w:hAnsi="Arial" w:cs="Arial"/>
        <w:sz w:val="18"/>
        <w:szCs w:val="18"/>
      </w:rPr>
    </w:pPr>
    <w:r w:rsidRPr="008D4503">
      <w:rPr>
        <w:rFonts w:ascii="Arial" w:hAnsi="Arial" w:cs="Arial"/>
        <w:sz w:val="18"/>
        <w:szCs w:val="18"/>
      </w:rPr>
      <w:t>reg.č.</w:t>
    </w:r>
    <w:r w:rsidRPr="008D4503"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 </w:t>
    </w:r>
    <w:r w:rsidRPr="008D4503">
      <w:rPr>
        <w:rFonts w:ascii="Arial" w:hAnsi="Arial" w:cs="Arial"/>
        <w:sz w:val="18"/>
        <w:szCs w:val="18"/>
      </w:rPr>
      <w:t>CZ.31.6.0/0.0/0.0/24_150/0011032</w:t>
    </w:r>
  </w:p>
  <w:p w:rsidR="00795EC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5456" w:rsidRPr="00486B11" w:rsidP="00486B11">
    <w:pPr>
      <w:pStyle w:val="Header"/>
      <w:tabs>
        <w:tab w:val="left" w:pos="3000"/>
        <w:tab w:val="clear" w:pos="4536"/>
        <w:tab w:val="clear" w:pos="9072"/>
      </w:tabs>
      <w:jc w:val="right"/>
      <w:rPr>
        <w:rFonts w:ascii="Arial" w:hAnsi="Arial" w:cs="Arial"/>
        <w:vanish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DD321B"/>
    <w:multiLevelType w:val="hybridMultilevel"/>
    <w:tmpl w:val="F43C309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F17943"/>
    <w:multiLevelType w:val="hybridMultilevel"/>
    <w:tmpl w:val="CC58CC3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293970"/>
    <w:multiLevelType w:val="hybridMultilevel"/>
    <w:tmpl w:val="90104A1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C2344"/>
    <w:multiLevelType w:val="hybridMultilevel"/>
    <w:tmpl w:val="36E07650"/>
    <w:lvl w:ilvl="0">
      <w:start w:val="0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956AEA"/>
    <w:multiLevelType w:val="hybridMultilevel"/>
    <w:tmpl w:val="AB8C931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66192"/>
    <w:multiLevelType w:val="hybridMultilevel"/>
    <w:tmpl w:val="1098DCE2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5D824D7"/>
    <w:multiLevelType w:val="hybridMultilevel"/>
    <w:tmpl w:val="A49444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2F7E29"/>
    <w:multiLevelType w:val="hybridMultilevel"/>
    <w:tmpl w:val="82FC5E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81D90"/>
    <w:multiLevelType w:val="multilevel"/>
    <w:tmpl w:val="5A60A4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111a"/>
      <w:lvlText w:val="6.3.%3."/>
      <w:lvlJc w:val="left"/>
      <w:pPr>
        <w:ind w:left="1224" w:hanging="504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08D6E7B"/>
    <w:multiLevelType w:val="hybridMultilevel"/>
    <w:tmpl w:val="6A7A6B22"/>
    <w:lvl w:ilvl="0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1C825E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874348E"/>
    <w:multiLevelType w:val="hybridMultilevel"/>
    <w:tmpl w:val="7FC421DC"/>
    <w:lvl w:ilvl="0">
      <w:start w:val="1"/>
      <w:numFmt w:val="lowerLetter"/>
      <w:lvlText w:val="%1)"/>
      <w:lvlJc w:val="left"/>
      <w:pPr>
        <w:ind w:left="1928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12">
    <w:nsid w:val="29846424"/>
    <w:multiLevelType w:val="hybridMultilevel"/>
    <w:tmpl w:val="16EE072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483F1D"/>
    <w:multiLevelType w:val="hybridMultilevel"/>
    <w:tmpl w:val="1098DCE2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D817B1F"/>
    <w:multiLevelType w:val="hybridMultilevel"/>
    <w:tmpl w:val="5D8E834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011446"/>
    <w:multiLevelType w:val="hybridMultilevel"/>
    <w:tmpl w:val="1098DCE2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7CB1BBB"/>
    <w:multiLevelType w:val="hybridMultilevel"/>
    <w:tmpl w:val="C4F45FD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364F65"/>
    <w:multiLevelType w:val="hybridMultilevel"/>
    <w:tmpl w:val="1CE61EB4"/>
    <w:lvl w:ilvl="0">
      <w:start w:val="1"/>
      <w:numFmt w:val="bullet"/>
      <w:lvlText w:val="-"/>
      <w:lvlJc w:val="left"/>
      <w:pPr>
        <w:ind w:left="1434" w:hanging="360"/>
      </w:pPr>
      <w:rPr>
        <w:rFonts w:ascii="Arial" w:hAnsi="Arial" w:hint="default"/>
      </w:rPr>
    </w:lvl>
    <w:lvl w:ilvl="1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>
    <w:nsid w:val="3BD93DAC"/>
    <w:multiLevelType w:val="hybridMultilevel"/>
    <w:tmpl w:val="98649DA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F671528"/>
    <w:multiLevelType w:val="hybridMultilevel"/>
    <w:tmpl w:val="C8C002C8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EF275B"/>
    <w:multiLevelType w:val="hybridMultilevel"/>
    <w:tmpl w:val="1B34F89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026401"/>
    <w:multiLevelType w:val="hybridMultilevel"/>
    <w:tmpl w:val="A49444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074E01"/>
    <w:multiLevelType w:val="hybridMultilevel"/>
    <w:tmpl w:val="B896CAF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5A44CA"/>
    <w:multiLevelType w:val="hybridMultilevel"/>
    <w:tmpl w:val="98649DA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45932A0"/>
    <w:multiLevelType w:val="hybridMultilevel"/>
    <w:tmpl w:val="BB02CF5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996169"/>
    <w:multiLevelType w:val="hybridMultilevel"/>
    <w:tmpl w:val="3A285BA2"/>
    <w:lvl w:ilvl="0">
      <w:start w:val="0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>
    <w:nsid w:val="5A437B12"/>
    <w:multiLevelType w:val="hybridMultilevel"/>
    <w:tmpl w:val="31C830D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F04A5F"/>
    <w:multiLevelType w:val="hybridMultilevel"/>
    <w:tmpl w:val="9D8A3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9B3420"/>
    <w:multiLevelType w:val="hybridMultilevel"/>
    <w:tmpl w:val="EFD4442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9B90E61"/>
    <w:multiLevelType w:val="hybridMultilevel"/>
    <w:tmpl w:val="C4F45FD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5"/>
  </w:num>
  <w:num w:numId="3">
    <w:abstractNumId w:val="8"/>
  </w:num>
  <w:num w:numId="4">
    <w:abstractNumId w:val="17"/>
  </w:num>
  <w:num w:numId="5">
    <w:abstractNumId w:val="26"/>
  </w:num>
  <w:num w:numId="6">
    <w:abstractNumId w:val="24"/>
  </w:num>
  <w:num w:numId="7">
    <w:abstractNumId w:val="4"/>
  </w:num>
  <w:num w:numId="8">
    <w:abstractNumId w:val="0"/>
  </w:num>
  <w:num w:numId="9">
    <w:abstractNumId w:val="29"/>
  </w:num>
  <w:num w:numId="10">
    <w:abstractNumId w:val="20"/>
  </w:num>
  <w:num w:numId="11">
    <w:abstractNumId w:val="9"/>
  </w:num>
  <w:num w:numId="12">
    <w:abstractNumId w:val="22"/>
  </w:num>
  <w:num w:numId="13">
    <w:abstractNumId w:val="2"/>
  </w:num>
  <w:num w:numId="14">
    <w:abstractNumId w:val="15"/>
  </w:num>
  <w:num w:numId="15">
    <w:abstractNumId w:val="1"/>
  </w:num>
  <w:num w:numId="16">
    <w:abstractNumId w:val="21"/>
  </w:num>
  <w:num w:numId="17">
    <w:abstractNumId w:val="3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7"/>
  </w:num>
  <w:num w:numId="21">
    <w:abstractNumId w:val="16"/>
  </w:num>
  <w:num w:numId="22">
    <w:abstractNumId w:val="6"/>
  </w:num>
  <w:num w:numId="23">
    <w:abstractNumId w:val="13"/>
  </w:num>
  <w:num w:numId="24">
    <w:abstractNumId w:val="11"/>
  </w:num>
  <w:num w:numId="25">
    <w:abstractNumId w:val="5"/>
  </w:num>
  <w:num w:numId="26">
    <w:abstractNumId w:val="0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5"/>
  </w:num>
  <w:num w:numId="30">
    <w:abstractNumId w:val="12"/>
  </w:num>
  <w:num w:numId="31">
    <w:abstractNumId w:val="9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19"/>
  </w:num>
  <w:num w:numId="37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D23"/>
    <w:rsid w:val="00003878"/>
    <w:rsid w:val="00003A89"/>
    <w:rsid w:val="0000463B"/>
    <w:rsid w:val="00012659"/>
    <w:rsid w:val="00021AAE"/>
    <w:rsid w:val="00023109"/>
    <w:rsid w:val="000261A2"/>
    <w:rsid w:val="00030AFF"/>
    <w:rsid w:val="000322B6"/>
    <w:rsid w:val="000332B0"/>
    <w:rsid w:val="0003359C"/>
    <w:rsid w:val="00042DEA"/>
    <w:rsid w:val="00042E62"/>
    <w:rsid w:val="000439F8"/>
    <w:rsid w:val="00044678"/>
    <w:rsid w:val="00044895"/>
    <w:rsid w:val="0005551A"/>
    <w:rsid w:val="000557DD"/>
    <w:rsid w:val="0006046F"/>
    <w:rsid w:val="000608E9"/>
    <w:rsid w:val="00063E97"/>
    <w:rsid w:val="000700BE"/>
    <w:rsid w:val="00073960"/>
    <w:rsid w:val="00076316"/>
    <w:rsid w:val="0008293D"/>
    <w:rsid w:val="0008695A"/>
    <w:rsid w:val="00086E17"/>
    <w:rsid w:val="00094FF2"/>
    <w:rsid w:val="000968F4"/>
    <w:rsid w:val="000A5A19"/>
    <w:rsid w:val="000A6960"/>
    <w:rsid w:val="000B4275"/>
    <w:rsid w:val="000B6A3D"/>
    <w:rsid w:val="000B6BC4"/>
    <w:rsid w:val="000B7816"/>
    <w:rsid w:val="000C024F"/>
    <w:rsid w:val="000C0504"/>
    <w:rsid w:val="000C254C"/>
    <w:rsid w:val="000C493F"/>
    <w:rsid w:val="000D1589"/>
    <w:rsid w:val="000D1EA5"/>
    <w:rsid w:val="000D2917"/>
    <w:rsid w:val="000D2CB5"/>
    <w:rsid w:val="000E027F"/>
    <w:rsid w:val="000E1F74"/>
    <w:rsid w:val="000E43B6"/>
    <w:rsid w:val="000E4639"/>
    <w:rsid w:val="000E465D"/>
    <w:rsid w:val="000E4C61"/>
    <w:rsid w:val="000E6F08"/>
    <w:rsid w:val="000F0394"/>
    <w:rsid w:val="000F469A"/>
    <w:rsid w:val="00100B01"/>
    <w:rsid w:val="0010291C"/>
    <w:rsid w:val="00105490"/>
    <w:rsid w:val="00106482"/>
    <w:rsid w:val="00107AE3"/>
    <w:rsid w:val="00112AC3"/>
    <w:rsid w:val="00113250"/>
    <w:rsid w:val="0011617D"/>
    <w:rsid w:val="0012671A"/>
    <w:rsid w:val="00126FA0"/>
    <w:rsid w:val="00132773"/>
    <w:rsid w:val="0013480A"/>
    <w:rsid w:val="00134F36"/>
    <w:rsid w:val="0013506A"/>
    <w:rsid w:val="001352A9"/>
    <w:rsid w:val="00136260"/>
    <w:rsid w:val="001365E2"/>
    <w:rsid w:val="00142C9F"/>
    <w:rsid w:val="00144F5E"/>
    <w:rsid w:val="001464ED"/>
    <w:rsid w:val="00147316"/>
    <w:rsid w:val="0015021B"/>
    <w:rsid w:val="00152584"/>
    <w:rsid w:val="00161873"/>
    <w:rsid w:val="00162EE1"/>
    <w:rsid w:val="00164122"/>
    <w:rsid w:val="00167BCA"/>
    <w:rsid w:val="00177397"/>
    <w:rsid w:val="00182DC7"/>
    <w:rsid w:val="0018667C"/>
    <w:rsid w:val="0018754B"/>
    <w:rsid w:val="001924FD"/>
    <w:rsid w:val="001A024D"/>
    <w:rsid w:val="001A764B"/>
    <w:rsid w:val="001A7883"/>
    <w:rsid w:val="001B4661"/>
    <w:rsid w:val="001B61A2"/>
    <w:rsid w:val="001B6DED"/>
    <w:rsid w:val="001C44BE"/>
    <w:rsid w:val="001C5660"/>
    <w:rsid w:val="001C5ABE"/>
    <w:rsid w:val="001D02B8"/>
    <w:rsid w:val="001D5483"/>
    <w:rsid w:val="001D581E"/>
    <w:rsid w:val="001D67EE"/>
    <w:rsid w:val="001D7FC9"/>
    <w:rsid w:val="001E04BD"/>
    <w:rsid w:val="001E17B5"/>
    <w:rsid w:val="001E29B9"/>
    <w:rsid w:val="001E3AA8"/>
    <w:rsid w:val="001E3EB6"/>
    <w:rsid w:val="001F5272"/>
    <w:rsid w:val="001F6F19"/>
    <w:rsid w:val="00202983"/>
    <w:rsid w:val="00202DB1"/>
    <w:rsid w:val="002040AE"/>
    <w:rsid w:val="0021173F"/>
    <w:rsid w:val="00211E8E"/>
    <w:rsid w:val="00215751"/>
    <w:rsid w:val="002208DA"/>
    <w:rsid w:val="0022256E"/>
    <w:rsid w:val="0022561D"/>
    <w:rsid w:val="00225AD8"/>
    <w:rsid w:val="00227CB7"/>
    <w:rsid w:val="002311D2"/>
    <w:rsid w:val="00233532"/>
    <w:rsid w:val="00236203"/>
    <w:rsid w:val="00236905"/>
    <w:rsid w:val="00244A55"/>
    <w:rsid w:val="00246979"/>
    <w:rsid w:val="0025282D"/>
    <w:rsid w:val="0025288C"/>
    <w:rsid w:val="002537C2"/>
    <w:rsid w:val="00256EB9"/>
    <w:rsid w:val="0026039A"/>
    <w:rsid w:val="00262F1C"/>
    <w:rsid w:val="00263627"/>
    <w:rsid w:val="00266801"/>
    <w:rsid w:val="00266A8C"/>
    <w:rsid w:val="00266E12"/>
    <w:rsid w:val="00267285"/>
    <w:rsid w:val="00273ED8"/>
    <w:rsid w:val="00274F6B"/>
    <w:rsid w:val="00280B11"/>
    <w:rsid w:val="0028105D"/>
    <w:rsid w:val="002817BF"/>
    <w:rsid w:val="00282590"/>
    <w:rsid w:val="00283C63"/>
    <w:rsid w:val="002852FA"/>
    <w:rsid w:val="00286927"/>
    <w:rsid w:val="0028694E"/>
    <w:rsid w:val="002870EA"/>
    <w:rsid w:val="0029215D"/>
    <w:rsid w:val="0029218B"/>
    <w:rsid w:val="00296B6A"/>
    <w:rsid w:val="00297A39"/>
    <w:rsid w:val="002A1E10"/>
    <w:rsid w:val="002A23A6"/>
    <w:rsid w:val="002A5349"/>
    <w:rsid w:val="002B5E6F"/>
    <w:rsid w:val="002B72A0"/>
    <w:rsid w:val="002B7A38"/>
    <w:rsid w:val="002C2ABC"/>
    <w:rsid w:val="002C713D"/>
    <w:rsid w:val="002D0578"/>
    <w:rsid w:val="002D4453"/>
    <w:rsid w:val="002D4A78"/>
    <w:rsid w:val="002D5356"/>
    <w:rsid w:val="002E4AE4"/>
    <w:rsid w:val="002E59F5"/>
    <w:rsid w:val="002E5DB7"/>
    <w:rsid w:val="002E5E4D"/>
    <w:rsid w:val="002F361E"/>
    <w:rsid w:val="003005E3"/>
    <w:rsid w:val="003026F3"/>
    <w:rsid w:val="00303D05"/>
    <w:rsid w:val="003060A4"/>
    <w:rsid w:val="0030787D"/>
    <w:rsid w:val="00311CDA"/>
    <w:rsid w:val="0031319A"/>
    <w:rsid w:val="00313CE7"/>
    <w:rsid w:val="00320B1E"/>
    <w:rsid w:val="00324884"/>
    <w:rsid w:val="003257F7"/>
    <w:rsid w:val="00327BB2"/>
    <w:rsid w:val="00332841"/>
    <w:rsid w:val="00337EAB"/>
    <w:rsid w:val="003401EE"/>
    <w:rsid w:val="00342112"/>
    <w:rsid w:val="00343BC8"/>
    <w:rsid w:val="0034498C"/>
    <w:rsid w:val="00344FDB"/>
    <w:rsid w:val="00346FAA"/>
    <w:rsid w:val="00350437"/>
    <w:rsid w:val="00352E82"/>
    <w:rsid w:val="00353B4B"/>
    <w:rsid w:val="003620A1"/>
    <w:rsid w:val="0036604C"/>
    <w:rsid w:val="00366CE4"/>
    <w:rsid w:val="00371F4D"/>
    <w:rsid w:val="00372413"/>
    <w:rsid w:val="00372F08"/>
    <w:rsid w:val="0037392E"/>
    <w:rsid w:val="0037718F"/>
    <w:rsid w:val="00377760"/>
    <w:rsid w:val="00381CE0"/>
    <w:rsid w:val="00384319"/>
    <w:rsid w:val="00385FD5"/>
    <w:rsid w:val="00386532"/>
    <w:rsid w:val="003878C6"/>
    <w:rsid w:val="00390D99"/>
    <w:rsid w:val="00392402"/>
    <w:rsid w:val="003A579B"/>
    <w:rsid w:val="003A6CFE"/>
    <w:rsid w:val="003A78A3"/>
    <w:rsid w:val="003A7949"/>
    <w:rsid w:val="003B5794"/>
    <w:rsid w:val="003B78D3"/>
    <w:rsid w:val="003C07BF"/>
    <w:rsid w:val="003C0BF3"/>
    <w:rsid w:val="003C1670"/>
    <w:rsid w:val="003C1B8B"/>
    <w:rsid w:val="003D0F95"/>
    <w:rsid w:val="003D4417"/>
    <w:rsid w:val="003D4F3F"/>
    <w:rsid w:val="003D5403"/>
    <w:rsid w:val="003D5B07"/>
    <w:rsid w:val="003D5EC3"/>
    <w:rsid w:val="003E26F8"/>
    <w:rsid w:val="003E3D08"/>
    <w:rsid w:val="003F0892"/>
    <w:rsid w:val="003F3544"/>
    <w:rsid w:val="003F7C0D"/>
    <w:rsid w:val="0040041D"/>
    <w:rsid w:val="0040544B"/>
    <w:rsid w:val="004115F1"/>
    <w:rsid w:val="00411FB8"/>
    <w:rsid w:val="004153C7"/>
    <w:rsid w:val="00415FFC"/>
    <w:rsid w:val="004217EE"/>
    <w:rsid w:val="0042465B"/>
    <w:rsid w:val="00424CEF"/>
    <w:rsid w:val="00427336"/>
    <w:rsid w:val="004273EE"/>
    <w:rsid w:val="00427798"/>
    <w:rsid w:val="004310A7"/>
    <w:rsid w:val="00431F94"/>
    <w:rsid w:val="0043702E"/>
    <w:rsid w:val="004377D6"/>
    <w:rsid w:val="004434D2"/>
    <w:rsid w:val="00446CA4"/>
    <w:rsid w:val="00451C62"/>
    <w:rsid w:val="00453B6C"/>
    <w:rsid w:val="00456348"/>
    <w:rsid w:val="004576F2"/>
    <w:rsid w:val="00460F2F"/>
    <w:rsid w:val="004657CC"/>
    <w:rsid w:val="00470151"/>
    <w:rsid w:val="00471CC0"/>
    <w:rsid w:val="004802CD"/>
    <w:rsid w:val="004817C1"/>
    <w:rsid w:val="004825F6"/>
    <w:rsid w:val="0048471F"/>
    <w:rsid w:val="0048472A"/>
    <w:rsid w:val="00484C93"/>
    <w:rsid w:val="00485737"/>
    <w:rsid w:val="00486B11"/>
    <w:rsid w:val="00490D35"/>
    <w:rsid w:val="00490D85"/>
    <w:rsid w:val="0049281B"/>
    <w:rsid w:val="00492977"/>
    <w:rsid w:val="00497B9E"/>
    <w:rsid w:val="004A0F56"/>
    <w:rsid w:val="004A10E5"/>
    <w:rsid w:val="004A1FEB"/>
    <w:rsid w:val="004A63A5"/>
    <w:rsid w:val="004A664A"/>
    <w:rsid w:val="004A682D"/>
    <w:rsid w:val="004B0407"/>
    <w:rsid w:val="004B2D6A"/>
    <w:rsid w:val="004B41F0"/>
    <w:rsid w:val="004B5957"/>
    <w:rsid w:val="004B6863"/>
    <w:rsid w:val="004B6BC3"/>
    <w:rsid w:val="004C09AE"/>
    <w:rsid w:val="004C1196"/>
    <w:rsid w:val="004C53E9"/>
    <w:rsid w:val="004D059F"/>
    <w:rsid w:val="004D433E"/>
    <w:rsid w:val="004D4A82"/>
    <w:rsid w:val="004D7304"/>
    <w:rsid w:val="00501F93"/>
    <w:rsid w:val="0050397D"/>
    <w:rsid w:val="005039A6"/>
    <w:rsid w:val="00507903"/>
    <w:rsid w:val="005112E7"/>
    <w:rsid w:val="00515AA0"/>
    <w:rsid w:val="00516B46"/>
    <w:rsid w:val="00517CB2"/>
    <w:rsid w:val="00522475"/>
    <w:rsid w:val="0052562F"/>
    <w:rsid w:val="00527D20"/>
    <w:rsid w:val="00542855"/>
    <w:rsid w:val="005431DB"/>
    <w:rsid w:val="00543DA7"/>
    <w:rsid w:val="00553B07"/>
    <w:rsid w:val="00553C9A"/>
    <w:rsid w:val="00554303"/>
    <w:rsid w:val="005552B6"/>
    <w:rsid w:val="005557F9"/>
    <w:rsid w:val="005571E1"/>
    <w:rsid w:val="005610AA"/>
    <w:rsid w:val="00563410"/>
    <w:rsid w:val="00565278"/>
    <w:rsid w:val="005710DC"/>
    <w:rsid w:val="00575703"/>
    <w:rsid w:val="00575B09"/>
    <w:rsid w:val="00585A06"/>
    <w:rsid w:val="00586B70"/>
    <w:rsid w:val="005938FD"/>
    <w:rsid w:val="005949D9"/>
    <w:rsid w:val="00596F65"/>
    <w:rsid w:val="00597C19"/>
    <w:rsid w:val="005A0B22"/>
    <w:rsid w:val="005A6C77"/>
    <w:rsid w:val="005A6DA6"/>
    <w:rsid w:val="005B0521"/>
    <w:rsid w:val="005B2E29"/>
    <w:rsid w:val="005B2F97"/>
    <w:rsid w:val="005B3679"/>
    <w:rsid w:val="005B51C3"/>
    <w:rsid w:val="005B6FBA"/>
    <w:rsid w:val="005C0508"/>
    <w:rsid w:val="005C1E41"/>
    <w:rsid w:val="005C3F62"/>
    <w:rsid w:val="005C4D51"/>
    <w:rsid w:val="005C7309"/>
    <w:rsid w:val="005D3F3F"/>
    <w:rsid w:val="005D5092"/>
    <w:rsid w:val="005D5F9A"/>
    <w:rsid w:val="005D6AF4"/>
    <w:rsid w:val="005D7FA2"/>
    <w:rsid w:val="005E4D7C"/>
    <w:rsid w:val="005E68B4"/>
    <w:rsid w:val="005E700A"/>
    <w:rsid w:val="005F3315"/>
    <w:rsid w:val="005F4E84"/>
    <w:rsid w:val="005F6D15"/>
    <w:rsid w:val="005F6D6B"/>
    <w:rsid w:val="00600B95"/>
    <w:rsid w:val="0060163C"/>
    <w:rsid w:val="00602B2A"/>
    <w:rsid w:val="00603CFC"/>
    <w:rsid w:val="00603D76"/>
    <w:rsid w:val="00603FEB"/>
    <w:rsid w:val="006130D9"/>
    <w:rsid w:val="00614D0B"/>
    <w:rsid w:val="0061617C"/>
    <w:rsid w:val="00617C66"/>
    <w:rsid w:val="0062284D"/>
    <w:rsid w:val="006228FE"/>
    <w:rsid w:val="00622D05"/>
    <w:rsid w:val="00626E37"/>
    <w:rsid w:val="0062710E"/>
    <w:rsid w:val="00634386"/>
    <w:rsid w:val="006346AE"/>
    <w:rsid w:val="00634FBB"/>
    <w:rsid w:val="00637AC6"/>
    <w:rsid w:val="00643CD1"/>
    <w:rsid w:val="006442E9"/>
    <w:rsid w:val="00652E26"/>
    <w:rsid w:val="00655D58"/>
    <w:rsid w:val="00657A3E"/>
    <w:rsid w:val="00660A19"/>
    <w:rsid w:val="006661EC"/>
    <w:rsid w:val="00670E45"/>
    <w:rsid w:val="006712B9"/>
    <w:rsid w:val="0067237D"/>
    <w:rsid w:val="006775EE"/>
    <w:rsid w:val="0067765B"/>
    <w:rsid w:val="006850F4"/>
    <w:rsid w:val="0068607E"/>
    <w:rsid w:val="00692C6A"/>
    <w:rsid w:val="00693772"/>
    <w:rsid w:val="006938D0"/>
    <w:rsid w:val="00693A8F"/>
    <w:rsid w:val="00696294"/>
    <w:rsid w:val="006A00B5"/>
    <w:rsid w:val="006A3007"/>
    <w:rsid w:val="006A5FB9"/>
    <w:rsid w:val="006B0BFC"/>
    <w:rsid w:val="006B2991"/>
    <w:rsid w:val="006B40F8"/>
    <w:rsid w:val="006B7EAB"/>
    <w:rsid w:val="006C1A3B"/>
    <w:rsid w:val="006C445C"/>
    <w:rsid w:val="006C732A"/>
    <w:rsid w:val="006C7A2A"/>
    <w:rsid w:val="006C7D23"/>
    <w:rsid w:val="006D17F2"/>
    <w:rsid w:val="006D1954"/>
    <w:rsid w:val="006D2349"/>
    <w:rsid w:val="006E160E"/>
    <w:rsid w:val="006E2515"/>
    <w:rsid w:val="006E3AB9"/>
    <w:rsid w:val="006E3E15"/>
    <w:rsid w:val="006E43E5"/>
    <w:rsid w:val="006E64BB"/>
    <w:rsid w:val="006F096E"/>
    <w:rsid w:val="006F1A36"/>
    <w:rsid w:val="006F442D"/>
    <w:rsid w:val="006F4518"/>
    <w:rsid w:val="006F5456"/>
    <w:rsid w:val="006F76B9"/>
    <w:rsid w:val="0070169B"/>
    <w:rsid w:val="007038FB"/>
    <w:rsid w:val="00705361"/>
    <w:rsid w:val="00707D1A"/>
    <w:rsid w:val="007140A6"/>
    <w:rsid w:val="007141F8"/>
    <w:rsid w:val="00717055"/>
    <w:rsid w:val="007240E3"/>
    <w:rsid w:val="00724162"/>
    <w:rsid w:val="007258AD"/>
    <w:rsid w:val="00726C38"/>
    <w:rsid w:val="00731858"/>
    <w:rsid w:val="00737C4A"/>
    <w:rsid w:val="00737F99"/>
    <w:rsid w:val="00740D68"/>
    <w:rsid w:val="00743674"/>
    <w:rsid w:val="00744B8D"/>
    <w:rsid w:val="00744D30"/>
    <w:rsid w:val="00746AA7"/>
    <w:rsid w:val="0075122D"/>
    <w:rsid w:val="0075222C"/>
    <w:rsid w:val="00755A20"/>
    <w:rsid w:val="00755D11"/>
    <w:rsid w:val="00760D3D"/>
    <w:rsid w:val="007653EB"/>
    <w:rsid w:val="00770326"/>
    <w:rsid w:val="007738C5"/>
    <w:rsid w:val="00775BA2"/>
    <w:rsid w:val="00777ECB"/>
    <w:rsid w:val="00782E4B"/>
    <w:rsid w:val="00786F2E"/>
    <w:rsid w:val="00787287"/>
    <w:rsid w:val="00787667"/>
    <w:rsid w:val="00791536"/>
    <w:rsid w:val="007959EA"/>
    <w:rsid w:val="00795EC5"/>
    <w:rsid w:val="00797FD4"/>
    <w:rsid w:val="007A19FD"/>
    <w:rsid w:val="007A1A8F"/>
    <w:rsid w:val="007A4291"/>
    <w:rsid w:val="007B093D"/>
    <w:rsid w:val="007B33A9"/>
    <w:rsid w:val="007C722D"/>
    <w:rsid w:val="007D1BC3"/>
    <w:rsid w:val="007E5ED1"/>
    <w:rsid w:val="007E6498"/>
    <w:rsid w:val="007F1C74"/>
    <w:rsid w:val="007F2974"/>
    <w:rsid w:val="008016CE"/>
    <w:rsid w:val="008021B0"/>
    <w:rsid w:val="00807095"/>
    <w:rsid w:val="00807DC3"/>
    <w:rsid w:val="0081120D"/>
    <w:rsid w:val="00813F45"/>
    <w:rsid w:val="008160E5"/>
    <w:rsid w:val="0081789E"/>
    <w:rsid w:val="00817CE7"/>
    <w:rsid w:val="0082030F"/>
    <w:rsid w:val="00821202"/>
    <w:rsid w:val="00822D08"/>
    <w:rsid w:val="0082328B"/>
    <w:rsid w:val="00825B1C"/>
    <w:rsid w:val="00826126"/>
    <w:rsid w:val="008279EB"/>
    <w:rsid w:val="008305FA"/>
    <w:rsid w:val="00830A02"/>
    <w:rsid w:val="00832287"/>
    <w:rsid w:val="0083366F"/>
    <w:rsid w:val="00834544"/>
    <w:rsid w:val="00835EA9"/>
    <w:rsid w:val="0083732D"/>
    <w:rsid w:val="0084212C"/>
    <w:rsid w:val="0084583F"/>
    <w:rsid w:val="00845AF7"/>
    <w:rsid w:val="00850D24"/>
    <w:rsid w:val="00860AE6"/>
    <w:rsid w:val="00861837"/>
    <w:rsid w:val="00863CAD"/>
    <w:rsid w:val="00873473"/>
    <w:rsid w:val="00875CEF"/>
    <w:rsid w:val="00884CAE"/>
    <w:rsid w:val="008855DC"/>
    <w:rsid w:val="00891687"/>
    <w:rsid w:val="00891DBC"/>
    <w:rsid w:val="00893A32"/>
    <w:rsid w:val="00895ACD"/>
    <w:rsid w:val="00896030"/>
    <w:rsid w:val="00897B2E"/>
    <w:rsid w:val="008A55F2"/>
    <w:rsid w:val="008A7451"/>
    <w:rsid w:val="008B0125"/>
    <w:rsid w:val="008B0480"/>
    <w:rsid w:val="008B0739"/>
    <w:rsid w:val="008B0DC0"/>
    <w:rsid w:val="008B38B4"/>
    <w:rsid w:val="008B6273"/>
    <w:rsid w:val="008B7442"/>
    <w:rsid w:val="008C254E"/>
    <w:rsid w:val="008C515A"/>
    <w:rsid w:val="008D0ED7"/>
    <w:rsid w:val="008D4503"/>
    <w:rsid w:val="008D465F"/>
    <w:rsid w:val="008E0881"/>
    <w:rsid w:val="008E3688"/>
    <w:rsid w:val="008E7699"/>
    <w:rsid w:val="008E7C60"/>
    <w:rsid w:val="008F0654"/>
    <w:rsid w:val="008F5DA0"/>
    <w:rsid w:val="009037F9"/>
    <w:rsid w:val="00904169"/>
    <w:rsid w:val="009069FA"/>
    <w:rsid w:val="00906E25"/>
    <w:rsid w:val="00906F90"/>
    <w:rsid w:val="00910DF0"/>
    <w:rsid w:val="00912F9F"/>
    <w:rsid w:val="00914C48"/>
    <w:rsid w:val="00916656"/>
    <w:rsid w:val="0092396F"/>
    <w:rsid w:val="009263B7"/>
    <w:rsid w:val="00926D49"/>
    <w:rsid w:val="00933826"/>
    <w:rsid w:val="00937553"/>
    <w:rsid w:val="00942B26"/>
    <w:rsid w:val="00943156"/>
    <w:rsid w:val="00950C3B"/>
    <w:rsid w:val="00954CDD"/>
    <w:rsid w:val="0095615D"/>
    <w:rsid w:val="00957E07"/>
    <w:rsid w:val="00964B11"/>
    <w:rsid w:val="00970C5A"/>
    <w:rsid w:val="00976361"/>
    <w:rsid w:val="00977F58"/>
    <w:rsid w:val="00981CC5"/>
    <w:rsid w:val="00982423"/>
    <w:rsid w:val="00983BB7"/>
    <w:rsid w:val="00986302"/>
    <w:rsid w:val="009874C8"/>
    <w:rsid w:val="009875C3"/>
    <w:rsid w:val="00990D00"/>
    <w:rsid w:val="00991EC5"/>
    <w:rsid w:val="00992CE0"/>
    <w:rsid w:val="00993A82"/>
    <w:rsid w:val="00996769"/>
    <w:rsid w:val="00997A7B"/>
    <w:rsid w:val="00997C9E"/>
    <w:rsid w:val="009A0D3F"/>
    <w:rsid w:val="009A103D"/>
    <w:rsid w:val="009A5EE2"/>
    <w:rsid w:val="009A614B"/>
    <w:rsid w:val="009B1BF9"/>
    <w:rsid w:val="009B409B"/>
    <w:rsid w:val="009B41B1"/>
    <w:rsid w:val="009B524B"/>
    <w:rsid w:val="009B7A4F"/>
    <w:rsid w:val="009C187F"/>
    <w:rsid w:val="009C5F72"/>
    <w:rsid w:val="009E5E45"/>
    <w:rsid w:val="009F3507"/>
    <w:rsid w:val="00A000B8"/>
    <w:rsid w:val="00A02B42"/>
    <w:rsid w:val="00A06B5B"/>
    <w:rsid w:val="00A1040C"/>
    <w:rsid w:val="00A11092"/>
    <w:rsid w:val="00A11AF9"/>
    <w:rsid w:val="00A11BD0"/>
    <w:rsid w:val="00A14112"/>
    <w:rsid w:val="00A1452B"/>
    <w:rsid w:val="00A1495B"/>
    <w:rsid w:val="00A15234"/>
    <w:rsid w:val="00A15257"/>
    <w:rsid w:val="00A1677D"/>
    <w:rsid w:val="00A17241"/>
    <w:rsid w:val="00A22957"/>
    <w:rsid w:val="00A265EE"/>
    <w:rsid w:val="00A26A4C"/>
    <w:rsid w:val="00A27B8C"/>
    <w:rsid w:val="00A31AA0"/>
    <w:rsid w:val="00A34A74"/>
    <w:rsid w:val="00A35882"/>
    <w:rsid w:val="00A3590A"/>
    <w:rsid w:val="00A364C5"/>
    <w:rsid w:val="00A36EB2"/>
    <w:rsid w:val="00A414B7"/>
    <w:rsid w:val="00A41CB5"/>
    <w:rsid w:val="00A41FAB"/>
    <w:rsid w:val="00A4370B"/>
    <w:rsid w:val="00A438FD"/>
    <w:rsid w:val="00A50ADE"/>
    <w:rsid w:val="00A529D9"/>
    <w:rsid w:val="00A5452D"/>
    <w:rsid w:val="00A5470D"/>
    <w:rsid w:val="00A56B63"/>
    <w:rsid w:val="00A60334"/>
    <w:rsid w:val="00A6043D"/>
    <w:rsid w:val="00A6454A"/>
    <w:rsid w:val="00A65D3A"/>
    <w:rsid w:val="00A66232"/>
    <w:rsid w:val="00A678E3"/>
    <w:rsid w:val="00A709B9"/>
    <w:rsid w:val="00A74C5F"/>
    <w:rsid w:val="00A7726C"/>
    <w:rsid w:val="00A77E04"/>
    <w:rsid w:val="00A93920"/>
    <w:rsid w:val="00A94081"/>
    <w:rsid w:val="00A94A08"/>
    <w:rsid w:val="00A94BAD"/>
    <w:rsid w:val="00A954FD"/>
    <w:rsid w:val="00A96051"/>
    <w:rsid w:val="00A97F41"/>
    <w:rsid w:val="00AA1133"/>
    <w:rsid w:val="00AA22B4"/>
    <w:rsid w:val="00AA3DB9"/>
    <w:rsid w:val="00AB104D"/>
    <w:rsid w:val="00AB220F"/>
    <w:rsid w:val="00AB2FBE"/>
    <w:rsid w:val="00AB5A83"/>
    <w:rsid w:val="00AB73C3"/>
    <w:rsid w:val="00AC0819"/>
    <w:rsid w:val="00AC09DD"/>
    <w:rsid w:val="00AC0A02"/>
    <w:rsid w:val="00AC0F0F"/>
    <w:rsid w:val="00AC49A1"/>
    <w:rsid w:val="00AC5467"/>
    <w:rsid w:val="00AC565D"/>
    <w:rsid w:val="00AC6CF5"/>
    <w:rsid w:val="00AC76CF"/>
    <w:rsid w:val="00AC7831"/>
    <w:rsid w:val="00AD46F5"/>
    <w:rsid w:val="00AE1F75"/>
    <w:rsid w:val="00AE3EE8"/>
    <w:rsid w:val="00AE4C8D"/>
    <w:rsid w:val="00AE4C9F"/>
    <w:rsid w:val="00AE4F60"/>
    <w:rsid w:val="00AF1CAB"/>
    <w:rsid w:val="00AF7DD4"/>
    <w:rsid w:val="00B00187"/>
    <w:rsid w:val="00B013BE"/>
    <w:rsid w:val="00B04C8B"/>
    <w:rsid w:val="00B04FBC"/>
    <w:rsid w:val="00B05A27"/>
    <w:rsid w:val="00B06B2F"/>
    <w:rsid w:val="00B07D4C"/>
    <w:rsid w:val="00B11A4A"/>
    <w:rsid w:val="00B12B47"/>
    <w:rsid w:val="00B14416"/>
    <w:rsid w:val="00B23E2F"/>
    <w:rsid w:val="00B268A7"/>
    <w:rsid w:val="00B26BAB"/>
    <w:rsid w:val="00B31E20"/>
    <w:rsid w:val="00B32A61"/>
    <w:rsid w:val="00B33CC4"/>
    <w:rsid w:val="00B343DB"/>
    <w:rsid w:val="00B35F81"/>
    <w:rsid w:val="00B436F5"/>
    <w:rsid w:val="00B46E95"/>
    <w:rsid w:val="00B53377"/>
    <w:rsid w:val="00B57C2D"/>
    <w:rsid w:val="00B611F1"/>
    <w:rsid w:val="00B652AB"/>
    <w:rsid w:val="00B73036"/>
    <w:rsid w:val="00B83C00"/>
    <w:rsid w:val="00B84FDC"/>
    <w:rsid w:val="00B85CDB"/>
    <w:rsid w:val="00B85FA7"/>
    <w:rsid w:val="00B87895"/>
    <w:rsid w:val="00B87EED"/>
    <w:rsid w:val="00B93D4B"/>
    <w:rsid w:val="00B9484A"/>
    <w:rsid w:val="00B94C68"/>
    <w:rsid w:val="00B95CF0"/>
    <w:rsid w:val="00B9682C"/>
    <w:rsid w:val="00BA203A"/>
    <w:rsid w:val="00BA2E49"/>
    <w:rsid w:val="00BA67FB"/>
    <w:rsid w:val="00BB0D98"/>
    <w:rsid w:val="00BB1C8F"/>
    <w:rsid w:val="00BB1DA9"/>
    <w:rsid w:val="00BB4B91"/>
    <w:rsid w:val="00BB7664"/>
    <w:rsid w:val="00BC03F6"/>
    <w:rsid w:val="00BC18BE"/>
    <w:rsid w:val="00BC1B95"/>
    <w:rsid w:val="00BC1E77"/>
    <w:rsid w:val="00BC3ACC"/>
    <w:rsid w:val="00BC75C7"/>
    <w:rsid w:val="00BD4473"/>
    <w:rsid w:val="00BE2BD3"/>
    <w:rsid w:val="00BF16BE"/>
    <w:rsid w:val="00BF1866"/>
    <w:rsid w:val="00BF1C3D"/>
    <w:rsid w:val="00BF5C44"/>
    <w:rsid w:val="00BF71F4"/>
    <w:rsid w:val="00C022C9"/>
    <w:rsid w:val="00C1050E"/>
    <w:rsid w:val="00C12BBF"/>
    <w:rsid w:val="00C149A3"/>
    <w:rsid w:val="00C1747B"/>
    <w:rsid w:val="00C2085C"/>
    <w:rsid w:val="00C208C8"/>
    <w:rsid w:val="00C2277D"/>
    <w:rsid w:val="00C2437A"/>
    <w:rsid w:val="00C31B12"/>
    <w:rsid w:val="00C3218C"/>
    <w:rsid w:val="00C332F5"/>
    <w:rsid w:val="00C34278"/>
    <w:rsid w:val="00C3436B"/>
    <w:rsid w:val="00C3445A"/>
    <w:rsid w:val="00C36F76"/>
    <w:rsid w:val="00C43E8C"/>
    <w:rsid w:val="00C44121"/>
    <w:rsid w:val="00C44D08"/>
    <w:rsid w:val="00C517C8"/>
    <w:rsid w:val="00C52C8D"/>
    <w:rsid w:val="00C56794"/>
    <w:rsid w:val="00C62CFA"/>
    <w:rsid w:val="00C641DA"/>
    <w:rsid w:val="00C665A2"/>
    <w:rsid w:val="00C7197D"/>
    <w:rsid w:val="00C74374"/>
    <w:rsid w:val="00C74818"/>
    <w:rsid w:val="00C76A7E"/>
    <w:rsid w:val="00C7767F"/>
    <w:rsid w:val="00C80B22"/>
    <w:rsid w:val="00C841C8"/>
    <w:rsid w:val="00C84778"/>
    <w:rsid w:val="00C864AE"/>
    <w:rsid w:val="00C87346"/>
    <w:rsid w:val="00C90A43"/>
    <w:rsid w:val="00C92D37"/>
    <w:rsid w:val="00C94ACD"/>
    <w:rsid w:val="00C96DED"/>
    <w:rsid w:val="00C977AC"/>
    <w:rsid w:val="00CA0F9B"/>
    <w:rsid w:val="00CA1E11"/>
    <w:rsid w:val="00CA33A1"/>
    <w:rsid w:val="00CA41FA"/>
    <w:rsid w:val="00CB2FF5"/>
    <w:rsid w:val="00CB3239"/>
    <w:rsid w:val="00CB7411"/>
    <w:rsid w:val="00CB7529"/>
    <w:rsid w:val="00CB78D8"/>
    <w:rsid w:val="00CC398C"/>
    <w:rsid w:val="00CC5C44"/>
    <w:rsid w:val="00CC7B40"/>
    <w:rsid w:val="00CC7B9D"/>
    <w:rsid w:val="00CD638C"/>
    <w:rsid w:val="00CE2C99"/>
    <w:rsid w:val="00CE3C88"/>
    <w:rsid w:val="00CE794E"/>
    <w:rsid w:val="00CF1158"/>
    <w:rsid w:val="00D03121"/>
    <w:rsid w:val="00D03E5A"/>
    <w:rsid w:val="00D0454F"/>
    <w:rsid w:val="00D052A8"/>
    <w:rsid w:val="00D12878"/>
    <w:rsid w:val="00D15186"/>
    <w:rsid w:val="00D206AE"/>
    <w:rsid w:val="00D2153F"/>
    <w:rsid w:val="00D21C3C"/>
    <w:rsid w:val="00D26901"/>
    <w:rsid w:val="00D3101E"/>
    <w:rsid w:val="00D310FA"/>
    <w:rsid w:val="00D32E3D"/>
    <w:rsid w:val="00D351BE"/>
    <w:rsid w:val="00D36983"/>
    <w:rsid w:val="00D375E4"/>
    <w:rsid w:val="00D40944"/>
    <w:rsid w:val="00D53ECE"/>
    <w:rsid w:val="00D5520D"/>
    <w:rsid w:val="00D55D11"/>
    <w:rsid w:val="00D652F1"/>
    <w:rsid w:val="00D716C6"/>
    <w:rsid w:val="00D731B9"/>
    <w:rsid w:val="00D75615"/>
    <w:rsid w:val="00D76543"/>
    <w:rsid w:val="00D774AB"/>
    <w:rsid w:val="00D824CB"/>
    <w:rsid w:val="00D84359"/>
    <w:rsid w:val="00D84792"/>
    <w:rsid w:val="00D94194"/>
    <w:rsid w:val="00DA4184"/>
    <w:rsid w:val="00DA6A50"/>
    <w:rsid w:val="00DA7E79"/>
    <w:rsid w:val="00DB0550"/>
    <w:rsid w:val="00DB58DC"/>
    <w:rsid w:val="00DB7389"/>
    <w:rsid w:val="00DC3FDE"/>
    <w:rsid w:val="00DC6591"/>
    <w:rsid w:val="00DD3198"/>
    <w:rsid w:val="00DD361B"/>
    <w:rsid w:val="00DD64B1"/>
    <w:rsid w:val="00DD6721"/>
    <w:rsid w:val="00DD7A3E"/>
    <w:rsid w:val="00DE586B"/>
    <w:rsid w:val="00DE6ED5"/>
    <w:rsid w:val="00DE7261"/>
    <w:rsid w:val="00DE7E2D"/>
    <w:rsid w:val="00DE7E4F"/>
    <w:rsid w:val="00DF088E"/>
    <w:rsid w:val="00DF30BD"/>
    <w:rsid w:val="00DF3E61"/>
    <w:rsid w:val="00DF5713"/>
    <w:rsid w:val="00DF5BFF"/>
    <w:rsid w:val="00DF60AD"/>
    <w:rsid w:val="00E079C4"/>
    <w:rsid w:val="00E101E7"/>
    <w:rsid w:val="00E10487"/>
    <w:rsid w:val="00E12E02"/>
    <w:rsid w:val="00E22459"/>
    <w:rsid w:val="00E33FFF"/>
    <w:rsid w:val="00E362D7"/>
    <w:rsid w:val="00E37A3B"/>
    <w:rsid w:val="00E46077"/>
    <w:rsid w:val="00E50764"/>
    <w:rsid w:val="00E51A56"/>
    <w:rsid w:val="00E53E6F"/>
    <w:rsid w:val="00E56948"/>
    <w:rsid w:val="00E60AA5"/>
    <w:rsid w:val="00E61719"/>
    <w:rsid w:val="00E61CA7"/>
    <w:rsid w:val="00E6270A"/>
    <w:rsid w:val="00E64207"/>
    <w:rsid w:val="00E650E0"/>
    <w:rsid w:val="00E676B9"/>
    <w:rsid w:val="00E80C03"/>
    <w:rsid w:val="00E814CF"/>
    <w:rsid w:val="00E84374"/>
    <w:rsid w:val="00E911C0"/>
    <w:rsid w:val="00E91E73"/>
    <w:rsid w:val="00E96CDD"/>
    <w:rsid w:val="00EA3EE3"/>
    <w:rsid w:val="00EA415C"/>
    <w:rsid w:val="00EA43B2"/>
    <w:rsid w:val="00EA759E"/>
    <w:rsid w:val="00EA7B01"/>
    <w:rsid w:val="00EB0462"/>
    <w:rsid w:val="00EB165C"/>
    <w:rsid w:val="00EB2330"/>
    <w:rsid w:val="00EB5FB8"/>
    <w:rsid w:val="00EC0475"/>
    <w:rsid w:val="00EC197B"/>
    <w:rsid w:val="00EC2E72"/>
    <w:rsid w:val="00ED0463"/>
    <w:rsid w:val="00ED0DF3"/>
    <w:rsid w:val="00ED47A3"/>
    <w:rsid w:val="00ED55BF"/>
    <w:rsid w:val="00ED78E3"/>
    <w:rsid w:val="00EE0C07"/>
    <w:rsid w:val="00EE3A1C"/>
    <w:rsid w:val="00EE53A8"/>
    <w:rsid w:val="00EF1567"/>
    <w:rsid w:val="00EF6AE8"/>
    <w:rsid w:val="00F03CAF"/>
    <w:rsid w:val="00F07AD5"/>
    <w:rsid w:val="00F11C43"/>
    <w:rsid w:val="00F13CBA"/>
    <w:rsid w:val="00F14D27"/>
    <w:rsid w:val="00F201DF"/>
    <w:rsid w:val="00F20268"/>
    <w:rsid w:val="00F20600"/>
    <w:rsid w:val="00F3236F"/>
    <w:rsid w:val="00F3366E"/>
    <w:rsid w:val="00F35C63"/>
    <w:rsid w:val="00F35E5C"/>
    <w:rsid w:val="00F36D42"/>
    <w:rsid w:val="00F407AD"/>
    <w:rsid w:val="00F41F67"/>
    <w:rsid w:val="00F463BC"/>
    <w:rsid w:val="00F4777B"/>
    <w:rsid w:val="00F50457"/>
    <w:rsid w:val="00F52EEF"/>
    <w:rsid w:val="00F54D85"/>
    <w:rsid w:val="00F57126"/>
    <w:rsid w:val="00F573E3"/>
    <w:rsid w:val="00F578B0"/>
    <w:rsid w:val="00F6007B"/>
    <w:rsid w:val="00F612FC"/>
    <w:rsid w:val="00F62C62"/>
    <w:rsid w:val="00F65846"/>
    <w:rsid w:val="00F721C4"/>
    <w:rsid w:val="00F72D20"/>
    <w:rsid w:val="00F7406A"/>
    <w:rsid w:val="00F76890"/>
    <w:rsid w:val="00F825C1"/>
    <w:rsid w:val="00F84EE6"/>
    <w:rsid w:val="00F8750B"/>
    <w:rsid w:val="00F92E44"/>
    <w:rsid w:val="00F93C66"/>
    <w:rsid w:val="00F9401F"/>
    <w:rsid w:val="00F950F1"/>
    <w:rsid w:val="00FA512B"/>
    <w:rsid w:val="00FA5DD6"/>
    <w:rsid w:val="00FA62DF"/>
    <w:rsid w:val="00FB29F0"/>
    <w:rsid w:val="00FC2590"/>
    <w:rsid w:val="00FC4E29"/>
    <w:rsid w:val="00FC7907"/>
    <w:rsid w:val="00FD1188"/>
    <w:rsid w:val="00FD2E8E"/>
    <w:rsid w:val="00FD378C"/>
    <w:rsid w:val="00FD466B"/>
    <w:rsid w:val="00FD6F23"/>
    <w:rsid w:val="00FD7D67"/>
    <w:rsid w:val="00FE12DB"/>
    <w:rsid w:val="00FE155B"/>
    <w:rsid w:val="00FE23AA"/>
    <w:rsid w:val="00FE407A"/>
    <w:rsid w:val="00FE74F5"/>
    <w:rsid w:val="00FF0F4B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7A0A593-9934-44D5-8A14-88C8ABB7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D23"/>
    <w:rPr>
      <w:rFonts w:ascii="Times New Roman" w:eastAsia="Times New Roman" w:hAnsi="Times New Roman"/>
      <w:sz w:val="22"/>
    </w:rPr>
  </w:style>
  <w:style w:type="paragraph" w:styleId="Heading1">
    <w:name w:val="heading 1"/>
    <w:basedOn w:val="Normal"/>
    <w:next w:val="Normal"/>
    <w:link w:val="Nadpis1Char"/>
    <w:uiPriority w:val="9"/>
    <w:qFormat/>
    <w:rsid w:val="00ED0463"/>
    <w:pPr>
      <w:keepNext/>
      <w:spacing w:before="240" w:after="60"/>
      <w:jc w:val="both"/>
      <w:outlineLvl w:val="0"/>
    </w:pPr>
    <w:rPr>
      <w:rFonts w:ascii="Cambria" w:eastAsia="Calibri" w:hAnsi="Cambria"/>
      <w:b/>
      <w:bCs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Nadpis2Char"/>
    <w:uiPriority w:val="99"/>
    <w:qFormat/>
    <w:rsid w:val="00ED0463"/>
    <w:pPr>
      <w:keepNext/>
      <w:spacing w:before="240" w:after="60"/>
      <w:jc w:val="both"/>
      <w:outlineLvl w:val="1"/>
    </w:pPr>
    <w:rPr>
      <w:rFonts w:ascii="Cambria" w:eastAsia="Calibri" w:hAnsi="Cambria"/>
      <w:b/>
      <w:bCs/>
      <w:i/>
      <w:iCs/>
      <w:sz w:val="28"/>
      <w:szCs w:val="28"/>
      <w:lang w:val="x-none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ED0463"/>
    <w:pPr>
      <w:keepNext/>
      <w:keepLines/>
      <w:spacing w:before="200"/>
      <w:jc w:val="both"/>
      <w:outlineLvl w:val="3"/>
    </w:pPr>
    <w:rPr>
      <w:rFonts w:ascii="Cambria" w:hAnsi="Cambria"/>
      <w:b/>
      <w:bCs/>
      <w:i/>
      <w:iCs/>
      <w:color w:val="4F81BD"/>
      <w:sz w:val="20"/>
      <w:lang w:val="x-none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ED0463"/>
    <w:pPr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stavec">
    <w:name w:val="Odstavec"/>
    <w:basedOn w:val="Normal"/>
    <w:rsid w:val="006C7D23"/>
    <w:pPr>
      <w:spacing w:after="120"/>
      <w:jc w:val="both"/>
    </w:pPr>
    <w:rPr>
      <w:sz w:val="24"/>
    </w:rPr>
  </w:style>
  <w:style w:type="paragraph" w:styleId="ListParagraph">
    <w:name w:val="List Paragraph"/>
    <w:aliases w:val="2,A-Odrážky1,Conclusion de partie,Dot pt,List Paragraph2,List Paragraph_0,Nad,Nad1,Nad2,Odstavec_muj,Odstavec_muj1,Odstavec_muj2,Odstavec_muj3,Odstavec_muj4,Odstavec_muj5,Odstavec_muj6,Odstavec_muj7,Odstavec_muj8,_Odstavec se seznamem"/>
    <w:basedOn w:val="Normal"/>
    <w:link w:val="OdstavecseseznamemChar"/>
    <w:uiPriority w:val="34"/>
    <w:qFormat/>
    <w:rsid w:val="006C7D23"/>
    <w:pPr>
      <w:ind w:left="720"/>
      <w:contextualSpacing/>
    </w:pPr>
  </w:style>
  <w:style w:type="character" w:styleId="Hyperlink">
    <w:name w:val="Hyperlink"/>
    <w:uiPriority w:val="99"/>
    <w:unhideWhenUsed/>
    <w:rsid w:val="00460F2F"/>
    <w:rPr>
      <w:color w:val="0000FF"/>
      <w:u w:val="single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36D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uiPriority w:val="99"/>
    <w:semiHidden/>
    <w:rsid w:val="00F36D4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ZhlavChar"/>
    <w:uiPriority w:val="99"/>
    <w:unhideWhenUsed/>
    <w:rsid w:val="009B41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Header"/>
    <w:uiPriority w:val="99"/>
    <w:rsid w:val="009B41B1"/>
    <w:rPr>
      <w:rFonts w:ascii="Times New Roman" w:eastAsia="Times New Roman" w:hAnsi="Times New Roman"/>
      <w:sz w:val="22"/>
    </w:rPr>
  </w:style>
  <w:style w:type="paragraph" w:styleId="Footer">
    <w:name w:val="footer"/>
    <w:basedOn w:val="Normal"/>
    <w:link w:val="ZpatChar"/>
    <w:uiPriority w:val="99"/>
    <w:unhideWhenUsed/>
    <w:rsid w:val="009B41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Footer"/>
    <w:uiPriority w:val="99"/>
    <w:rsid w:val="009B41B1"/>
    <w:rPr>
      <w:rFonts w:ascii="Times New Roman" w:eastAsia="Times New Roman" w:hAnsi="Times New Roman"/>
      <w:sz w:val="22"/>
    </w:rPr>
  </w:style>
  <w:style w:type="table" w:styleId="TableGrid">
    <w:name w:val="Table Grid"/>
    <w:basedOn w:val="TableNormal"/>
    <w:uiPriority w:val="59"/>
    <w:rsid w:val="009B4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normy">
    <w:name w:val="Text normy"/>
    <w:link w:val="TextnormyChar1"/>
    <w:rsid w:val="009B41B1"/>
    <w:pPr>
      <w:spacing w:after="120"/>
      <w:jc w:val="both"/>
    </w:pPr>
    <w:rPr>
      <w:rFonts w:ascii="Arial" w:eastAsia="Times New Roman" w:hAnsi="Arial"/>
    </w:rPr>
  </w:style>
  <w:style w:type="character" w:customStyle="1" w:styleId="TextnormyChar1">
    <w:name w:val="Text normy Char1"/>
    <w:link w:val="Textnormy"/>
    <w:rsid w:val="009B41B1"/>
    <w:rPr>
      <w:rFonts w:ascii="Arial" w:eastAsia="Times New Roman" w:hAnsi="Arial"/>
    </w:rPr>
  </w:style>
  <w:style w:type="character" w:styleId="CommentReference">
    <w:name w:val="annotation reference"/>
    <w:uiPriority w:val="99"/>
    <w:rsid w:val="00BF5C44"/>
    <w:rPr>
      <w:sz w:val="16"/>
      <w:szCs w:val="16"/>
    </w:rPr>
  </w:style>
  <w:style w:type="paragraph" w:styleId="CommentText">
    <w:name w:val="annotation text"/>
    <w:basedOn w:val="Normal"/>
    <w:link w:val="TextkomenteChar"/>
    <w:rsid w:val="00BF5C44"/>
    <w:rPr>
      <w:sz w:val="20"/>
    </w:rPr>
  </w:style>
  <w:style w:type="character" w:customStyle="1" w:styleId="TextkomenteChar">
    <w:name w:val="Text komentáře Char"/>
    <w:link w:val="CommentText"/>
    <w:rsid w:val="00BF5C44"/>
    <w:rPr>
      <w:rFonts w:ascii="Times New Roman" w:eastAsia="Times New Roman" w:hAnsi="Times New Roman"/>
    </w:rPr>
  </w:style>
  <w:style w:type="paragraph" w:customStyle="1" w:styleId="BZarovnanodstavec">
    <w:name w:val="B Zarovnaný odstavec"/>
    <w:rsid w:val="00C34278"/>
    <w:pPr>
      <w:widowControl w:val="0"/>
      <w:autoSpaceDE w:val="0"/>
      <w:autoSpaceDN w:val="0"/>
      <w:adjustRightInd w:val="0"/>
      <w:spacing w:line="240" w:lineRule="atLeast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Default">
    <w:name w:val="Default"/>
    <w:rsid w:val="00822D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152584"/>
    <w:rPr>
      <w:b/>
      <w:bCs/>
    </w:rPr>
  </w:style>
  <w:style w:type="character" w:customStyle="1" w:styleId="PedmtkomenteChar">
    <w:name w:val="Předmět komentáře Char"/>
    <w:link w:val="CommentSubject"/>
    <w:uiPriority w:val="99"/>
    <w:semiHidden/>
    <w:rsid w:val="00152584"/>
    <w:rPr>
      <w:rFonts w:ascii="Times New Roman" w:eastAsia="Times New Roman" w:hAnsi="Times New Roman"/>
      <w:b/>
      <w:bCs/>
    </w:rPr>
  </w:style>
  <w:style w:type="paragraph" w:styleId="FootnoteText">
    <w:name w:val="footnote text"/>
    <w:basedOn w:val="Normal"/>
    <w:link w:val="TextpoznpodarouChar"/>
    <w:uiPriority w:val="99"/>
    <w:semiHidden/>
    <w:unhideWhenUsed/>
    <w:rsid w:val="00D206AE"/>
    <w:rPr>
      <w:sz w:val="20"/>
    </w:rPr>
  </w:style>
  <w:style w:type="character" w:customStyle="1" w:styleId="TextpoznpodarouChar">
    <w:name w:val="Text pozn. pod čarou Char"/>
    <w:link w:val="FootnoteText"/>
    <w:uiPriority w:val="99"/>
    <w:semiHidden/>
    <w:rsid w:val="00D206AE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semiHidden/>
    <w:unhideWhenUsed/>
    <w:rsid w:val="00D206AE"/>
    <w:rPr>
      <w:vertAlign w:val="superscript"/>
    </w:rPr>
  </w:style>
  <w:style w:type="paragraph" w:styleId="BodyText2">
    <w:name w:val="Body Text 2"/>
    <w:basedOn w:val="Normal"/>
    <w:link w:val="Zkladntext2Char"/>
    <w:unhideWhenUsed/>
    <w:rsid w:val="001B6DED"/>
    <w:rPr>
      <w:rFonts w:ascii="Arial" w:hAnsi="Arial"/>
    </w:rPr>
  </w:style>
  <w:style w:type="character" w:customStyle="1" w:styleId="Zkladntext2Char">
    <w:name w:val="Základní text 2 Char"/>
    <w:link w:val="BodyText2"/>
    <w:rsid w:val="001B6DED"/>
    <w:rPr>
      <w:rFonts w:ascii="Arial" w:eastAsia="Times New Roman" w:hAnsi="Arial"/>
      <w:sz w:val="22"/>
    </w:rPr>
  </w:style>
  <w:style w:type="character" w:customStyle="1" w:styleId="OdstavecseseznamemChar">
    <w:name w:val="Odstavec se seznamem Char"/>
    <w:aliases w:val="A-Odrážky1 Char,Conclusion de partie Char,Dot pt Char,List Paragraph Char,Nad Char,Nad1 Char,Nad2 Char,Odstavec_muj Char,Odstavec_muj1 Char,Odstavec_muj2 Char,Odstavec_muj3 Char,Odstavec_muj4 Char,_Odstavec se seznamem Char"/>
    <w:link w:val="ListParagraph"/>
    <w:uiPriority w:val="34"/>
    <w:qFormat/>
    <w:rsid w:val="00350437"/>
    <w:rPr>
      <w:rFonts w:ascii="Times New Roman" w:eastAsia="Times New Roman" w:hAnsi="Times New Roman"/>
      <w:sz w:val="22"/>
    </w:rPr>
  </w:style>
  <w:style w:type="paragraph" w:customStyle="1" w:styleId="111a">
    <w:name w:val="1.1.1.a"/>
    <w:basedOn w:val="Normal"/>
    <w:link w:val="111aChar"/>
    <w:qFormat/>
    <w:rsid w:val="00F62C62"/>
    <w:pPr>
      <w:keepNext/>
      <w:numPr>
        <w:ilvl w:val="2"/>
        <w:numId w:val="3"/>
      </w:numPr>
      <w:tabs>
        <w:tab w:val="left" w:pos="709"/>
      </w:tabs>
      <w:spacing w:before="360" w:after="120"/>
      <w:jc w:val="both"/>
      <w:outlineLvl w:val="3"/>
    </w:pPr>
    <w:rPr>
      <w:rFonts w:ascii="Arial" w:hAnsi="Arial" w:cs="Arial"/>
      <w:b/>
      <w:bCs/>
      <w:i/>
      <w:szCs w:val="22"/>
      <w:lang w:val="x-none" w:eastAsia="x-none"/>
    </w:rPr>
  </w:style>
  <w:style w:type="character" w:customStyle="1" w:styleId="111aChar">
    <w:name w:val="1.1.1.a Char"/>
    <w:link w:val="111a"/>
    <w:rsid w:val="00F62C62"/>
    <w:rPr>
      <w:rFonts w:ascii="Arial" w:eastAsia="Times New Roman" w:hAnsi="Arial" w:cs="Arial"/>
      <w:b/>
      <w:bCs/>
      <w:i/>
      <w:sz w:val="22"/>
      <w:szCs w:val="22"/>
      <w:lang w:val="x-none" w:eastAsia="x-none"/>
    </w:rPr>
  </w:style>
  <w:style w:type="paragraph" w:styleId="Revision">
    <w:name w:val="Revision"/>
    <w:hidden/>
    <w:uiPriority w:val="99"/>
    <w:semiHidden/>
    <w:rsid w:val="0029215D"/>
    <w:rPr>
      <w:rFonts w:ascii="Times New Roman" w:eastAsia="Times New Roman" w:hAnsi="Times New Roman"/>
      <w:sz w:val="22"/>
    </w:rPr>
  </w:style>
  <w:style w:type="character" w:customStyle="1" w:styleId="Nadpis1Char">
    <w:name w:val="Nadpis 1 Char"/>
    <w:basedOn w:val="DefaultParagraphFont"/>
    <w:link w:val="Heading1"/>
    <w:uiPriority w:val="9"/>
    <w:rsid w:val="00ED0463"/>
    <w:rPr>
      <w:rFonts w:ascii="Cambria" w:hAnsi="Cambria"/>
      <w:b/>
      <w:bCs/>
      <w:kern w:val="32"/>
      <w:sz w:val="32"/>
      <w:szCs w:val="32"/>
      <w:lang w:val="x-none"/>
    </w:rPr>
  </w:style>
  <w:style w:type="character" w:customStyle="1" w:styleId="Nadpis2Char">
    <w:name w:val="Nadpis 2 Char"/>
    <w:basedOn w:val="DefaultParagraphFont"/>
    <w:link w:val="Heading2"/>
    <w:uiPriority w:val="99"/>
    <w:rsid w:val="00ED0463"/>
    <w:rPr>
      <w:rFonts w:ascii="Cambria" w:hAnsi="Cambria"/>
      <w:b/>
      <w:bCs/>
      <w:i/>
      <w:iCs/>
      <w:sz w:val="28"/>
      <w:szCs w:val="28"/>
      <w:lang w:val="x-none"/>
    </w:rPr>
  </w:style>
  <w:style w:type="character" w:customStyle="1" w:styleId="Nadpis4Char">
    <w:name w:val="Nadpis 4 Char"/>
    <w:basedOn w:val="DefaultParagraphFont"/>
    <w:link w:val="Heading4"/>
    <w:uiPriority w:val="9"/>
    <w:semiHidden/>
    <w:rsid w:val="00ED0463"/>
    <w:rPr>
      <w:rFonts w:ascii="Cambria" w:eastAsia="Times New Roman" w:hAnsi="Cambria"/>
      <w:b/>
      <w:bCs/>
      <w:i/>
      <w:iCs/>
      <w:color w:val="4F81BD"/>
      <w:lang w:val="x-none"/>
    </w:rPr>
  </w:style>
  <w:style w:type="character" w:customStyle="1" w:styleId="Nadpis5Char">
    <w:name w:val="Nadpis 5 Char"/>
    <w:basedOn w:val="DefaultParagraphFont"/>
    <w:link w:val="Heading5"/>
    <w:uiPriority w:val="9"/>
    <w:semiHidden/>
    <w:rsid w:val="00ED0463"/>
    <w:rPr>
      <w:rFonts w:eastAsia="Times New Roman"/>
      <w:b/>
      <w:bCs/>
      <w:i/>
      <w:iCs/>
      <w:sz w:val="26"/>
      <w:szCs w:val="26"/>
      <w:lang w:val="x-none" w:eastAsia="x-none"/>
    </w:rPr>
  </w:style>
  <w:style w:type="paragraph" w:styleId="BodyText">
    <w:name w:val="Body Text"/>
    <w:basedOn w:val="Normal"/>
    <w:link w:val="ZkladntextChar"/>
    <w:uiPriority w:val="99"/>
    <w:rsid w:val="00ED0463"/>
    <w:pPr>
      <w:spacing w:after="120"/>
      <w:jc w:val="both"/>
    </w:pPr>
    <w:rPr>
      <w:rFonts w:ascii="Calibri" w:eastAsia="Calibri" w:hAnsi="Calibri"/>
      <w:sz w:val="20"/>
      <w:lang w:val="x-none" w:eastAsia="en-US"/>
    </w:rPr>
  </w:style>
  <w:style w:type="character" w:customStyle="1" w:styleId="ZkladntextChar">
    <w:name w:val="Základní text Char"/>
    <w:basedOn w:val="DefaultParagraphFont"/>
    <w:link w:val="BodyText"/>
    <w:uiPriority w:val="99"/>
    <w:rsid w:val="00ED0463"/>
    <w:rPr>
      <w:lang w:val="x-none" w:eastAsia="en-US"/>
    </w:rPr>
  </w:style>
  <w:style w:type="paragraph" w:customStyle="1" w:styleId="Normodsaz">
    <w:name w:val="Norm.odsaz."/>
    <w:basedOn w:val="Normal"/>
    <w:uiPriority w:val="99"/>
    <w:rsid w:val="00ED0463"/>
    <w:pPr>
      <w:autoSpaceDE w:val="0"/>
      <w:autoSpaceDN w:val="0"/>
      <w:spacing w:before="120" w:after="120"/>
      <w:jc w:val="both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yperlink" Target="mailto:edesk@vlada.gov.cz" TargetMode="External" /><Relationship Id="rId8" Type="http://schemas.openxmlformats.org/officeDocument/2006/relationships/footer" Target="footer1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23F68-6ED7-4FDD-A6C2-FC62D54B6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3079</Words>
  <Characters>18169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</dc:creator>
  <cp:lastModifiedBy>AL</cp:lastModifiedBy>
  <cp:revision>4</cp:revision>
  <cp:lastPrinted>2020-06-11T13:47:00Z</cp:lastPrinted>
  <dcterms:created xsi:type="dcterms:W3CDTF">2025-02-13T07:09:00Z</dcterms:created>
  <dcterms:modified xsi:type="dcterms:W3CDTF">2025-02-13T07:38:00Z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16.5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7450-2025-UVCR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226-2025-UVCR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13.2.2025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&lt;TABLE&gt;&lt;TR&gt;&lt;TD&gt;Č.j.:&lt;/TD&gt;&lt;TD&gt;7450-2025-UVCR&lt;/TD&gt;&lt;/TR&gt;&lt;TR&gt;&lt;TD&gt;&lt;/TD&gt;&lt;TD&gt;&lt;/TD&gt;&lt;/TR&gt;&lt;/TABLE&gt;</vt:lpwstr>
  </property>
  <property fmtid="{D5CDD505-2E9C-101B-9397-08002B2CF9AE}" pid="15" name="DisplayName_PoziceMa_Pisemnost">
    <vt:lpwstr>Alena Lupjanová</vt:lpwstr>
  </property>
  <property fmtid="{D5CDD505-2E9C-101B-9397-08002B2CF9AE}" pid="16" name="DisplayName_SlozkaStupenUtajeniCollection_Slozka_Pisemnost">
    <vt:lpwstr/>
  </property>
  <property fmtid="{D5CDD505-2E9C-101B-9397-08002B2CF9AE}" pid="17" name="DisplayName_SpisovyUzel_PoziceZodpo_Pisemnost">
    <vt:lpwstr>Odbor právní</vt:lpwstr>
  </property>
  <property fmtid="{D5CDD505-2E9C-101B-9397-08002B2CF9AE}" pid="18" name="DisplayName_Spis_Pisemnost">
    <vt:lpwstr>Registr smluv 01-12/2025</vt:lpwstr>
  </property>
  <property fmtid="{D5CDD505-2E9C-101B-9397-08002B2CF9AE}" pid="19" name="DisplayName_UserPoriz_Pisemnost">
    <vt:lpwstr>Mgr. Alena Lupjanová</vt:lpwstr>
  </property>
  <property fmtid="{D5CDD505-2E9C-101B-9397-08002B2CF9AE}" pid="20" name="DuvodZmeny_SlozkaStupenUtajeniCollection_Slozka_Pisemnost">
    <vt:lpwstr/>
  </property>
  <property fmtid="{D5CDD505-2E9C-101B-9397-08002B2CF9AE}" pid="21" name="EC_Pisemnost">
    <vt:lpwstr>UVCR25D0007439</vt:lpwstr>
  </property>
  <property fmtid="{D5CDD505-2E9C-101B-9397-08002B2CF9AE}" pid="22" name="Key_BarCode_Pisemnost">
    <vt:lpwstr>*UVCR25D0007439*</vt:lpwstr>
  </property>
  <property fmtid="{D5CDD505-2E9C-101B-9397-08002B2CF9AE}" pid="23" name="Key_BarCode_PostaOdes">
    <vt:lpwstr>11101001011</vt:lpwstr>
  </property>
  <property fmtid="{D5CDD505-2E9C-101B-9397-08002B2CF9AE}" pid="24" name="KRukam">
    <vt:lpwstr>{KRukam}</vt:lpwstr>
  </property>
  <property fmtid="{D5CDD505-2E9C-101B-9397-08002B2CF9AE}" pid="25" name="NameAddress_Contact_SpisovyUzel_PoziceZodpo_Pisemnost">
    <vt:lpwstr>Úřad vlády České republiky</vt:lpwstr>
  </property>
  <property fmtid="{D5CDD505-2E9C-101B-9397-08002B2CF9AE}" pid="26" name="NamePostalAddress_Contact_PostaOdes">
    <vt:lpwstr>{NameAddress_Contact_PostaOdes}
{PostalAddress_Contact_PostaOdes}</vt:lpwstr>
  </property>
  <property fmtid="{D5CDD505-2E9C-101B-9397-08002B2CF9AE}" pid="27" name="Odkaz">
    <vt:lpwstr>ODKAZ</vt:lpwstr>
  </property>
  <property fmtid="{D5CDD505-2E9C-101B-9397-08002B2CF9AE}" pid="28" name="Password_PisemnostTypZpristupneniInformaciZOSZ_Pisemnost">
    <vt:lpwstr>ZOSZ_Password</vt:lpwstr>
  </property>
  <property fmtid="{D5CDD505-2E9C-101B-9397-08002B2CF9AE}" pid="29" name="PocetListuDokumentu_Pisemnost">
    <vt:lpwstr>0</vt:lpwstr>
  </property>
  <property fmtid="{D5CDD505-2E9C-101B-9397-08002B2CF9AE}" pid="30" name="PocetListu_Pisemnost">
    <vt:lpwstr>0/9</vt:lpwstr>
  </property>
  <property fmtid="{D5CDD505-2E9C-101B-9397-08002B2CF9AE}" pid="31" name="PocetPriloh_Pisemnost">
    <vt:lpwstr>9</vt:lpwstr>
  </property>
  <property fmtid="{D5CDD505-2E9C-101B-9397-08002B2CF9AE}" pid="32" name="Podpis">
    <vt:lpwstr/>
  </property>
  <property fmtid="{D5CDD505-2E9C-101B-9397-08002B2CF9AE}" pid="33" name="PoleVlastnost">
    <vt:lpwstr/>
  </property>
  <property fmtid="{D5CDD505-2E9C-101B-9397-08002B2CF9AE}" pid="34" name="PostalAddress_Contact_SpisovyUzel_PoziceZodpo_Pisemnost">
    <vt:lpwstr>nábřeží Edvarda Beneše 4/128
11801 Praha 1 - Malá Strana</vt:lpwstr>
  </property>
  <property fmtid="{D5CDD505-2E9C-101B-9397-08002B2CF9AE}" pid="35" name="QREC_Pisemnost">
    <vt:lpwstr>UVCR25D0007439</vt:lpwstr>
  </property>
  <property fmtid="{D5CDD505-2E9C-101B-9397-08002B2CF9AE}" pid="36" name="RC">
    <vt:lpwstr/>
  </property>
  <property fmtid="{D5CDD505-2E9C-101B-9397-08002B2CF9AE}" pid="37" name="SkartacniZnakLhuta_PisemnostZnak">
    <vt:lpwstr>V/10</vt:lpwstr>
  </property>
  <property fmtid="{D5CDD505-2E9C-101B-9397-08002B2CF9AE}" pid="38" name="SmlouvaCislo">
    <vt:lpwstr>ČÍSLO SMLOUVY</vt:lpwstr>
  </property>
  <property fmtid="{D5CDD505-2E9C-101B-9397-08002B2CF9AE}" pid="39" name="SZ_Spis_Pisemnost">
    <vt:lpwstr>SPIS-2025-78</vt:lpwstr>
  </property>
  <property fmtid="{D5CDD505-2E9C-101B-9397-08002B2CF9AE}" pid="40" name="TEST">
    <vt:lpwstr>testovací pole</vt:lpwstr>
  </property>
  <property fmtid="{D5CDD505-2E9C-101B-9397-08002B2CF9AE}" pid="41" name="TypPrilohy_Pisemnost">
    <vt:lpwstr>9 Dokument</vt:lpwstr>
  </property>
  <property fmtid="{D5CDD505-2E9C-101B-9397-08002B2CF9AE}" pid="42" name="UserName_PisemnostTypZpristupneniInformaciZOSZ_Pisemnost">
    <vt:lpwstr>ZOSZ_UserName</vt:lpwstr>
  </property>
  <property fmtid="{D5CDD505-2E9C-101B-9397-08002B2CF9AE}" pid="43" name="Vec_Pisemnost">
    <vt:lpwstr>OSN - Příkazní smlouva - poskytnutí služeb technického dozoru stavebníka nad prováděním stavby v rámci stavební zakázky Úpravy Slavíčkovy vily pro zřízení dětských skupin</vt:lpwstr>
  </property>
  <property fmtid="{D5CDD505-2E9C-101B-9397-08002B2CF9AE}" pid="44" name="Zkratka_SpisovyUzel_PoziceZodpo_Pisemnost">
    <vt:lpwstr>OPR</vt:lpwstr>
  </property>
</Properties>
</file>