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F61" w:rsidRDefault="00D01F61">
      <w:pPr>
        <w:spacing w:line="1" w:lineRule="exact"/>
      </w:pPr>
    </w:p>
    <w:p w:rsidR="00D01F61" w:rsidRDefault="006776CF">
      <w:pPr>
        <w:framePr w:wrap="none" w:vAnchor="page" w:hAnchor="page" w:x="5325" w:y="137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1185" cy="58547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1185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F61" w:rsidRDefault="006776CF">
      <w:pPr>
        <w:pStyle w:val="Nadpis10"/>
        <w:framePr w:w="8741" w:h="365" w:hRule="exact" w:wrap="none" w:vAnchor="page" w:hAnchor="page" w:x="1432" w:y="2800"/>
        <w:shd w:val="clear" w:color="auto" w:fill="auto"/>
      </w:pPr>
      <w:bookmarkStart w:id="0" w:name="bookmark0"/>
      <w:bookmarkStart w:id="1" w:name="bookmark1"/>
      <w:r>
        <w:t>Smlouva o prodeji dříví formou dražby</w:t>
      </w:r>
      <w:bookmarkEnd w:id="0"/>
      <w:bookmarkEnd w:id="1"/>
    </w:p>
    <w:p w:rsidR="00D01F61" w:rsidRDefault="006776CF">
      <w:pPr>
        <w:pStyle w:val="Nadpis30"/>
        <w:framePr w:w="2328" w:h="1123" w:hRule="exact" w:wrap="none" w:vAnchor="page" w:hAnchor="page" w:x="1432" w:y="3376"/>
        <w:shd w:val="clear" w:color="auto" w:fill="auto"/>
      </w:pPr>
      <w:bookmarkStart w:id="2" w:name="bookmark2"/>
      <w:bookmarkStart w:id="3" w:name="bookmark3"/>
      <w:r>
        <w:t>Prodávající:</w:t>
      </w:r>
      <w:bookmarkEnd w:id="2"/>
      <w:bookmarkEnd w:id="3"/>
    </w:p>
    <w:p w:rsidR="00D01F61" w:rsidRDefault="006776CF">
      <w:pPr>
        <w:pStyle w:val="Zkladntext1"/>
        <w:framePr w:w="2328" w:h="1123" w:hRule="exact" w:wrap="none" w:vAnchor="page" w:hAnchor="page" w:x="1432" w:y="3376"/>
        <w:shd w:val="clear" w:color="auto" w:fill="auto"/>
        <w:spacing w:after="40" w:line="240" w:lineRule="auto"/>
        <w:ind w:firstLine="700"/>
      </w:pPr>
      <w:r>
        <w:t>Obchodní název:</w:t>
      </w:r>
    </w:p>
    <w:p w:rsidR="00D01F61" w:rsidRDefault="006776CF">
      <w:pPr>
        <w:pStyle w:val="Zkladntext1"/>
        <w:framePr w:w="2328" w:h="1123" w:hRule="exact" w:wrap="none" w:vAnchor="page" w:hAnchor="page" w:x="1432" w:y="3376"/>
        <w:shd w:val="clear" w:color="auto" w:fill="auto"/>
        <w:spacing w:after="40" w:line="240" w:lineRule="auto"/>
        <w:jc w:val="right"/>
      </w:pPr>
      <w:r>
        <w:t>Adresa:</w:t>
      </w:r>
    </w:p>
    <w:p w:rsidR="00D01F61" w:rsidRDefault="006776CF">
      <w:pPr>
        <w:pStyle w:val="Zkladntext1"/>
        <w:framePr w:w="2328" w:h="1123" w:hRule="exact" w:wrap="none" w:vAnchor="page" w:hAnchor="page" w:x="1432" w:y="3376"/>
        <w:shd w:val="clear" w:color="auto" w:fill="auto"/>
        <w:spacing w:line="240" w:lineRule="auto"/>
        <w:jc w:val="right"/>
      </w:pPr>
      <w:r>
        <w:t>IČO:</w:t>
      </w:r>
    </w:p>
    <w:p w:rsidR="00D01F61" w:rsidRDefault="006776CF">
      <w:pPr>
        <w:pStyle w:val="Nadpis20"/>
        <w:framePr w:w="2486" w:h="989" w:hRule="exact" w:wrap="none" w:vAnchor="page" w:hAnchor="page" w:x="4168" w:y="3496"/>
        <w:shd w:val="clear" w:color="auto" w:fill="auto"/>
        <w:spacing w:line="211" w:lineRule="auto"/>
        <w:ind w:firstLine="0"/>
        <w:jc w:val="right"/>
      </w:pPr>
      <w:bookmarkStart w:id="4" w:name="bookmark4"/>
      <w:bookmarkStart w:id="5" w:name="bookmark5"/>
      <w:r>
        <w:t>Lesy města &amp;</w:t>
      </w:r>
      <w:bookmarkEnd w:id="4"/>
      <w:bookmarkEnd w:id="5"/>
    </w:p>
    <w:p w:rsidR="00D01F61" w:rsidRDefault="006776CF">
      <w:pPr>
        <w:pStyle w:val="Zkladntext20"/>
        <w:framePr w:w="2486" w:h="989" w:hRule="exact" w:wrap="none" w:vAnchor="page" w:hAnchor="page" w:x="4168" w:y="3496"/>
        <w:shd w:val="clear" w:color="auto" w:fill="auto"/>
        <w:spacing w:line="211" w:lineRule="auto"/>
        <w:jc w:val="center"/>
      </w:pPr>
      <w:r>
        <w:t>Dvůr Kréiové nad Labem s. r. o.</w:t>
      </w:r>
    </w:p>
    <w:p w:rsidR="00D01F61" w:rsidRDefault="006776CF">
      <w:pPr>
        <w:pStyle w:val="Zkladntext30"/>
        <w:framePr w:w="2486" w:h="989" w:hRule="exact" w:wrap="none" w:vAnchor="page" w:hAnchor="page" w:x="4168" w:y="3496"/>
        <w:shd w:val="clear" w:color="auto" w:fill="auto"/>
      </w:pPr>
      <w:r>
        <w:t>Raisova 2824, 544 01 Dvůr Králové n. L</w:t>
      </w:r>
    </w:p>
    <w:p w:rsidR="00D01F61" w:rsidRDefault="006776CF">
      <w:pPr>
        <w:pStyle w:val="Zkladntext20"/>
        <w:framePr w:w="2486" w:h="989" w:hRule="exact" w:wrap="none" w:vAnchor="page" w:hAnchor="page" w:x="4168" w:y="3496"/>
        <w:shd w:val="clear" w:color="auto" w:fill="auto"/>
        <w:spacing w:line="233" w:lineRule="auto"/>
        <w:jc w:val="center"/>
        <w:rPr>
          <w:sz w:val="15"/>
          <w:szCs w:val="15"/>
        </w:rPr>
      </w:pPr>
      <w:r>
        <w:rPr>
          <w:sz w:val="15"/>
          <w:szCs w:val="15"/>
        </w:rPr>
        <w:t>Tel: 499 622 474</w:t>
      </w:r>
    </w:p>
    <w:p w:rsidR="00D01F61" w:rsidRDefault="006776CF">
      <w:pPr>
        <w:pStyle w:val="Zkladntext20"/>
        <w:framePr w:w="2486" w:h="989" w:hRule="exact" w:wrap="none" w:vAnchor="page" w:hAnchor="page" w:x="4168" w:y="3496"/>
        <w:shd w:val="clear" w:color="auto" w:fill="auto"/>
      </w:pPr>
      <w:r>
        <w:t>IČ: 275 53 884 • DIČ: CZ27553884</w:t>
      </w:r>
    </w:p>
    <w:p w:rsidR="00D01F61" w:rsidRDefault="006776CF">
      <w:pPr>
        <w:pStyle w:val="Zkladntext1"/>
        <w:framePr w:wrap="none" w:vAnchor="page" w:hAnchor="page" w:x="6909" w:y="4216"/>
        <w:shd w:val="clear" w:color="auto" w:fill="auto"/>
        <w:spacing w:line="240" w:lineRule="auto"/>
      </w:pPr>
      <w:r>
        <w:t>DIČ:</w:t>
      </w:r>
    </w:p>
    <w:p w:rsidR="00D01F61" w:rsidRDefault="006776CF">
      <w:pPr>
        <w:pStyle w:val="Nadpis30"/>
        <w:framePr w:w="8683" w:h="1133" w:hRule="exact" w:wrap="none" w:vAnchor="page" w:hAnchor="page" w:x="1490" w:y="4519"/>
        <w:shd w:val="clear" w:color="auto" w:fill="auto"/>
      </w:pPr>
      <w:bookmarkStart w:id="6" w:name="bookmark6"/>
      <w:bookmarkStart w:id="7" w:name="bookmark7"/>
      <w:r>
        <w:t>Dražebník:</w:t>
      </w:r>
      <w:bookmarkEnd w:id="6"/>
      <w:bookmarkEnd w:id="7"/>
    </w:p>
    <w:p w:rsidR="00D01F61" w:rsidRDefault="006776CF">
      <w:pPr>
        <w:pStyle w:val="Zkladntext1"/>
        <w:framePr w:w="8683" w:h="1133" w:hRule="exact" w:wrap="none" w:vAnchor="page" w:hAnchor="page" w:x="1490" w:y="4519"/>
        <w:shd w:val="clear" w:color="auto" w:fill="auto"/>
        <w:spacing w:after="40" w:line="240" w:lineRule="auto"/>
        <w:ind w:firstLine="640"/>
      </w:pPr>
      <w:r>
        <w:t xml:space="preserve">Obchodní název: </w:t>
      </w:r>
      <w:r>
        <w:t>DEBLICE - lesy s.r.o.</w:t>
      </w:r>
    </w:p>
    <w:p w:rsidR="00D01F61" w:rsidRDefault="006776CF">
      <w:pPr>
        <w:pStyle w:val="Zkladntext1"/>
        <w:framePr w:w="8683" w:h="1133" w:hRule="exact" w:wrap="none" w:vAnchor="page" w:hAnchor="page" w:x="1490" w:y="4519"/>
        <w:shd w:val="clear" w:color="auto" w:fill="auto"/>
        <w:spacing w:after="40" w:line="240" w:lineRule="auto"/>
        <w:ind w:left="1560"/>
      </w:pPr>
      <w:r>
        <w:t>Adresa: Deblice 174, 289 01 Dymokury</w:t>
      </w:r>
    </w:p>
    <w:p w:rsidR="00D01F61" w:rsidRDefault="006776CF">
      <w:pPr>
        <w:pStyle w:val="Zkladntext1"/>
        <w:framePr w:w="8683" w:h="1133" w:hRule="exact" w:wrap="none" w:vAnchor="page" w:hAnchor="page" w:x="1490" w:y="4519"/>
        <w:shd w:val="clear" w:color="auto" w:fill="auto"/>
        <w:tabs>
          <w:tab w:val="left" w:pos="2885"/>
        </w:tabs>
        <w:spacing w:line="240" w:lineRule="auto"/>
        <w:jc w:val="center"/>
      </w:pPr>
      <w:r>
        <w:t>IČO: 27103803</w:t>
      </w:r>
      <w:r>
        <w:tab/>
        <w:t>DIČ: CZ27103803</w:t>
      </w:r>
    </w:p>
    <w:p w:rsidR="00D01F61" w:rsidRDefault="006776CF">
      <w:pPr>
        <w:pStyle w:val="Nadpis30"/>
        <w:framePr w:wrap="none" w:vAnchor="page" w:hAnchor="page" w:x="1490" w:y="5863"/>
        <w:shd w:val="clear" w:color="auto" w:fill="auto"/>
        <w:spacing w:after="0"/>
      </w:pPr>
      <w:bookmarkStart w:id="8" w:name="bookmark8"/>
      <w:bookmarkStart w:id="9" w:name="bookmark9"/>
      <w:r>
        <w:t>Předmět dražby:</w:t>
      </w:r>
      <w:bookmarkEnd w:id="8"/>
      <w:bookmarkEnd w:id="9"/>
    </w:p>
    <w:p w:rsidR="00D01F61" w:rsidRDefault="006776CF">
      <w:pPr>
        <w:pStyle w:val="Zkladntext1"/>
        <w:framePr w:wrap="none" w:vAnchor="page" w:hAnchor="page" w:x="1437" w:y="6904"/>
        <w:shd w:val="clear" w:color="auto" w:fill="auto"/>
        <w:spacing w:line="240" w:lineRule="auto"/>
        <w:ind w:left="10" w:right="10"/>
      </w:pPr>
      <w:r>
        <w:rPr>
          <w:b/>
          <w:bCs/>
        </w:rPr>
        <w:t>Další upřesnění:</w:t>
      </w:r>
    </w:p>
    <w:p w:rsidR="00D01F61" w:rsidRDefault="006776CF">
      <w:pPr>
        <w:pStyle w:val="Zkladntext1"/>
        <w:framePr w:w="8683" w:h="8270" w:hRule="exact" w:wrap="none" w:vAnchor="page" w:hAnchor="page" w:x="1490" w:y="6160"/>
        <w:shd w:val="clear" w:color="auto" w:fill="auto"/>
        <w:spacing w:after="180" w:line="276" w:lineRule="auto"/>
        <w:ind w:left="2020" w:right="10"/>
      </w:pPr>
      <w:r>
        <w:t>Dříví, evidované pod evidenčním číslem, v množství a kvalitě specifikované</w:t>
      </w:r>
      <w:r>
        <w:br/>
        <w:t>v dražebním katalogu.</w:t>
      </w:r>
    </w:p>
    <w:p w:rsidR="00D01F61" w:rsidRDefault="006776CF">
      <w:pPr>
        <w:pStyle w:val="Zkladntext1"/>
        <w:framePr w:w="8683" w:h="8270" w:hRule="exact" w:wrap="none" w:vAnchor="page" w:hAnchor="page" w:x="1490" w:y="6160"/>
        <w:shd w:val="clear" w:color="auto" w:fill="auto"/>
        <w:ind w:left="2020" w:right="10"/>
      </w:pPr>
      <w:r>
        <w:t xml:space="preserve">Jedná se o vzestupnou dražbu </w:t>
      </w:r>
      <w:r>
        <w:t>jednotlivých kusů (výřezů) dříví.</w:t>
      </w:r>
    </w:p>
    <w:p w:rsidR="00D01F61" w:rsidRDefault="006776CF">
      <w:pPr>
        <w:pStyle w:val="Zkladntext1"/>
        <w:framePr w:w="8683" w:h="8270" w:hRule="exact" w:wrap="none" w:vAnchor="page" w:hAnchor="page" w:x="1490" w:y="6160"/>
        <w:shd w:val="clear" w:color="auto" w:fill="auto"/>
        <w:spacing w:after="40"/>
        <w:ind w:left="2020" w:right="10"/>
      </w:pPr>
      <w:r>
        <w:t>Průběh dražby se řídí dražební vyhláškou.</w:t>
      </w:r>
    </w:p>
    <w:p w:rsidR="00D01F61" w:rsidRDefault="006776CF">
      <w:pPr>
        <w:pStyle w:val="Zkladntext1"/>
        <w:framePr w:w="8683" w:h="8270" w:hRule="exact" w:wrap="none" w:vAnchor="page" w:hAnchor="page" w:x="1490" w:y="6160"/>
        <w:shd w:val="clear" w:color="auto" w:fill="auto"/>
        <w:ind w:left="2020" w:right="10"/>
      </w:pPr>
      <w:r>
        <w:t>Za dříví na dražební ploše zodpovídá dražebník po celou dobu dražby (od</w:t>
      </w:r>
      <w:r>
        <w:br/>
        <w:t>doby návozu dříví až po expedici).</w:t>
      </w:r>
    </w:p>
    <w:p w:rsidR="00D01F61" w:rsidRDefault="006776CF">
      <w:pPr>
        <w:pStyle w:val="Zkladntext1"/>
        <w:framePr w:w="8683" w:h="8270" w:hRule="exact" w:wrap="none" w:vAnchor="page" w:hAnchor="page" w:x="1490" w:y="6160"/>
        <w:shd w:val="clear" w:color="auto" w:fill="auto"/>
        <w:ind w:left="2020" w:right="10"/>
      </w:pPr>
      <w:r>
        <w:t>Dopravu dříví do místa konání dražby a vykládku dříví v místě konání</w:t>
      </w:r>
      <w:r>
        <w:br/>
      </w:r>
      <w:r>
        <w:t>dražby zajišťuje a hradí prodávající, pokud není domluveno jinak. Každá</w:t>
      </w:r>
      <w:r>
        <w:br/>
        <w:t>dodávka musí být dopředu nahlášena vedoucímu dané dražby, který dodávce</w:t>
      </w:r>
      <w:r>
        <w:br/>
        <w:t>přidělí číslo zántčru. Dodávka bez platného záměru nebude přijata. Pod tímto</w:t>
      </w:r>
      <w:r>
        <w:br/>
        <w:t xml:space="preserve">číslem bude také dříví evidováno v </w:t>
      </w:r>
      <w:r>
        <w:t>dražebním katalogu. Spolu se dřívím je</w:t>
      </w:r>
      <w:r>
        <w:br/>
        <w:t>nutné poslat dodací list s číslem záměru, kde jsou vyplněny všechny</w:t>
      </w:r>
      <w:r>
        <w:br/>
        <w:t>informace, zejména jasně identifikován Prodávající, počet kusů a přírodní</w:t>
      </w:r>
      <w:r>
        <w:br/>
        <w:t>lesní oblast (dále jen PLO), ze které dříví pochází. Pokud nebude PLO jasně</w:t>
      </w:r>
      <w:r>
        <w:br/>
        <w:t>označena na dodacím listu, nebude uvedena v Dražebním katalogu.</w:t>
      </w:r>
    </w:p>
    <w:p w:rsidR="00D01F61" w:rsidRDefault="006776CF">
      <w:pPr>
        <w:pStyle w:val="Zkladntext1"/>
        <w:framePr w:w="8683" w:h="8270" w:hRule="exact" w:wrap="none" w:vAnchor="page" w:hAnchor="page" w:x="1490" w:y="6160"/>
        <w:shd w:val="clear" w:color="auto" w:fill="auto"/>
        <w:ind w:left="2020" w:right="10"/>
      </w:pPr>
      <w:r>
        <w:t>Dříví umístěné do dražby musí splňovat požadavky na jakost viz zóna A v</w:t>
      </w:r>
      <w:r>
        <w:br/>
        <w:t>tabulce 1 níže. V případě nedodržení těchto požadavků hrozí ponížení</w:t>
      </w:r>
      <w:r>
        <w:br/>
        <w:t>množství přijatého do dalších dražeb (zóna B a C),</w:t>
      </w:r>
      <w:r>
        <w:t xml:space="preserve"> neumístění daných</w:t>
      </w:r>
      <w:r>
        <w:br/>
        <w:t>sortimentů do dražby (zóna C) a bude navýšena Dražební provize (zóna C).</w:t>
      </w:r>
      <w:r>
        <w:br/>
        <w:t>Na každém kusu by měla být lesnickou křídou vyznačena jmenovitá délka a</w:t>
      </w:r>
      <w:r>
        <w:br/>
        <w:t>středový průměr, kusy by neměly být popsané na čelech lesnickým sprejem</w:t>
      </w:r>
      <w:r>
        <w:br/>
        <w:t>Do dražby musí být p</w:t>
      </w:r>
      <w:r>
        <w:t>řijato pouze takové množství dříví, které bylo předem</w:t>
      </w:r>
      <w:r>
        <w:br/>
        <w:t xml:space="preserve">avizováno e-mailem na adresu </w:t>
      </w:r>
      <w:hyperlink r:id="rId8" w:history="1">
        <w:r>
          <w:rPr>
            <w:u w:val="single"/>
            <w:lang w:val="en-US" w:eastAsia="en-US" w:bidi="en-US"/>
          </w:rPr>
          <w:t>martin.cizek@deblicelesy.cz</w:t>
        </w:r>
      </w:hyperlink>
      <w:r>
        <w:rPr>
          <w:lang w:val="en-US" w:eastAsia="en-US" w:bidi="en-US"/>
        </w:rPr>
        <w:t xml:space="preserve"> </w:t>
      </w:r>
      <w:r>
        <w:t>a dražebníkem</w:t>
      </w:r>
      <w:r>
        <w:br/>
        <w:t>potvrzeno. Dříví nad rámec avizovaného a potvrzeného objemu nemusí být</w:t>
      </w:r>
      <w:r>
        <w:br/>
        <w:t xml:space="preserve">do dražby </w:t>
      </w:r>
      <w:r>
        <w:t>přijato.</w:t>
      </w:r>
    </w:p>
    <w:p w:rsidR="00D01F61" w:rsidRDefault="006776CF">
      <w:pPr>
        <w:pStyle w:val="Zkladntext1"/>
        <w:framePr w:w="8683" w:h="8270" w:hRule="exact" w:wrap="none" w:vAnchor="page" w:hAnchor="page" w:x="1490" w:y="6160"/>
        <w:shd w:val="clear" w:color="auto" w:fill="auto"/>
        <w:ind w:left="2020" w:right="10"/>
      </w:pPr>
      <w:r>
        <w:t>V případě přání Prodávajícího je možné evidovat jednotlivé kusy, případně</w:t>
      </w:r>
      <w:r>
        <w:br/>
        <w:t>celé dodávky dle středisek, případně jiných organizačních jednotek</w:t>
      </w:r>
      <w:r>
        <w:br/>
        <w:t>Prodávajícího. Toto platí pouze v případě, že budou tyto kusy (případně</w:t>
      </w:r>
      <w:r>
        <w:br/>
        <w:t>dodávky) od sebe v okamžiku dodání</w:t>
      </w:r>
      <w:r>
        <w:t xml:space="preserve"> do dražebního prostoru jasným</w:t>
      </w:r>
      <w:r>
        <w:br/>
        <w:t>způsobem odděleny, jednoznačně označeny a na tuto skutečnost musí být</w:t>
      </w:r>
      <w:r>
        <w:br/>
        <w:t>dražebník s dostatečným předstihem upozorněn ještě před dodáním dříví do</w:t>
      </w:r>
      <w:r>
        <w:br/>
        <w:t>dražebního prostoru.</w:t>
      </w:r>
    </w:p>
    <w:p w:rsidR="00D01F61" w:rsidRDefault="006776CF">
      <w:pPr>
        <w:pStyle w:val="Zhlavnebozpat0"/>
        <w:framePr w:wrap="none" w:vAnchor="page" w:hAnchor="page" w:x="5747" w:y="16072"/>
        <w:shd w:val="clear" w:color="auto" w:fill="auto"/>
      </w:pPr>
      <w:r>
        <w:t>1/3</w:t>
      </w:r>
    </w:p>
    <w:p w:rsidR="00D01F61" w:rsidRDefault="00D01F61">
      <w:pPr>
        <w:spacing w:line="1" w:lineRule="exact"/>
        <w:sectPr w:rsidR="00D01F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01F61" w:rsidRDefault="00D01F61">
      <w:pPr>
        <w:spacing w:line="1" w:lineRule="exact"/>
      </w:pPr>
    </w:p>
    <w:p w:rsidR="00D01F61" w:rsidRDefault="006776CF">
      <w:pPr>
        <w:pStyle w:val="Zkladntext40"/>
        <w:framePr w:wrap="none" w:vAnchor="page" w:hAnchor="page" w:x="1423" w:y="1538"/>
        <w:shd w:val="clear" w:color="auto" w:fill="auto"/>
      </w:pPr>
      <w:r>
        <w:t>Tabulka 1: Klič k určeni provize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"/>
        <w:gridCol w:w="941"/>
        <w:gridCol w:w="926"/>
        <w:gridCol w:w="970"/>
      </w:tblGrid>
      <w:tr w:rsidR="00D01F6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6776CF">
            <w:pPr>
              <w:pStyle w:val="Jin0"/>
              <w:framePr w:w="3782" w:h="5894" w:wrap="none" w:vAnchor="page" w:hAnchor="page" w:x="1442" w:y="191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Dřevina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F61" w:rsidRDefault="006776CF">
            <w:pPr>
              <w:pStyle w:val="Jin0"/>
              <w:framePr w:w="3782" w:h="5894" w:wrap="none" w:vAnchor="page" w:hAnchor="page" w:x="1442" w:y="1917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Jakost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6776CF">
            <w:pPr>
              <w:pStyle w:val="Jin0"/>
              <w:framePr w:w="3782" w:h="5894" w:wrap="none" w:vAnchor="page" w:hAnchor="page" w:x="1442" w:y="191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1.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F61" w:rsidRDefault="006776CF">
            <w:pPr>
              <w:pStyle w:val="Jin0"/>
              <w:framePr w:w="3782" w:h="5894" w:wrap="none" w:vAnchor="page" w:hAnchor="page" w:x="1442" w:y="191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II.</w:t>
            </w:r>
          </w:p>
        </w:tc>
      </w:tr>
      <w:tr w:rsidR="00D01F6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82" w:h="5894" w:wrap="none" w:vAnchor="page" w:hAnchor="page" w:x="1442" w:y="1917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F61" w:rsidRDefault="006776CF">
            <w:pPr>
              <w:pStyle w:val="Jin0"/>
              <w:framePr w:w="3782" w:h="5894" w:wrap="none" w:vAnchor="page" w:hAnchor="page" w:x="1442" w:y="1917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TI.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  <w:lang w:val="en-US" w:eastAsia="en-US" w:bidi="en-US"/>
              </w:rPr>
              <w:t>st.</w:t>
            </w: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82" w:h="5894" w:wrap="none" w:vAnchor="page" w:hAnchor="page" w:x="1442" w:y="1917"/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82" w:h="5894" w:wrap="none" w:vAnchor="page" w:hAnchor="page" w:x="1442" w:y="1917"/>
            </w:pPr>
          </w:p>
        </w:tc>
      </w:tr>
      <w:tr w:rsidR="00D01F6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6776CF">
            <w:pPr>
              <w:pStyle w:val="Jin0"/>
              <w:framePr w:w="3782" w:h="5894" w:wrap="none" w:vAnchor="page" w:hAnchor="page" w:x="1442" w:y="191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DB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F61" w:rsidRDefault="006776CF">
            <w:pPr>
              <w:pStyle w:val="Jin0"/>
              <w:framePr w:w="3782" w:h="5894" w:wrap="none" w:vAnchor="page" w:hAnchor="page" w:x="1442" w:y="1917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3a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F61" w:rsidRDefault="006776CF">
            <w:pPr>
              <w:pStyle w:val="Jin0"/>
              <w:framePr w:w="3782" w:h="5894" w:wrap="none" w:vAnchor="page" w:hAnchor="page" w:x="1442" w:y="191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1F61" w:rsidRDefault="006776CF">
            <w:pPr>
              <w:pStyle w:val="Jin0"/>
              <w:framePr w:w="3782" w:h="5894" w:wrap="none" w:vAnchor="page" w:hAnchor="page" w:x="1442" w:y="191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</w:tr>
      <w:tr w:rsidR="00D01F6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82" w:h="5894" w:wrap="none" w:vAnchor="page" w:hAnchor="page" w:x="1442" w:y="1917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F61" w:rsidRDefault="006776CF">
            <w:pPr>
              <w:pStyle w:val="Jin0"/>
              <w:framePr w:w="3782" w:h="5894" w:wrap="none" w:vAnchor="page" w:hAnchor="page" w:x="1442" w:y="1917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3b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F61" w:rsidRDefault="006776CF">
            <w:pPr>
              <w:pStyle w:val="Jin0"/>
              <w:framePr w:w="3782" w:h="5894" w:wrap="none" w:vAnchor="page" w:hAnchor="page" w:x="1442" w:y="191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1F61" w:rsidRDefault="006776CF">
            <w:pPr>
              <w:pStyle w:val="Jin0"/>
              <w:framePr w:w="3782" w:h="5894" w:wrap="none" w:vAnchor="page" w:hAnchor="page" w:x="1442" w:y="191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</w:tr>
      <w:tr w:rsidR="00D01F6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82" w:h="5894" w:wrap="none" w:vAnchor="page" w:hAnchor="page" w:x="1442" w:y="1917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F61" w:rsidRDefault="006776CF">
            <w:pPr>
              <w:pStyle w:val="Jin0"/>
              <w:framePr w:w="3782" w:h="5894" w:wrap="none" w:vAnchor="page" w:hAnchor="page" w:x="1442" w:y="1917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F61" w:rsidRDefault="006776CF">
            <w:pPr>
              <w:pStyle w:val="Jin0"/>
              <w:framePr w:w="3782" w:h="5894" w:wrap="none" w:vAnchor="page" w:hAnchor="page" w:x="1442" w:y="191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F61" w:rsidRDefault="006776CF">
            <w:pPr>
              <w:pStyle w:val="Jin0"/>
              <w:framePr w:w="3782" w:h="5894" w:wrap="none" w:vAnchor="page" w:hAnchor="page" w:x="1442" w:y="191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zóna A</w:t>
            </w:r>
          </w:p>
        </w:tc>
      </w:tr>
      <w:tr w:rsidR="00D01F61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82" w:h="5894" w:wrap="none" w:vAnchor="page" w:hAnchor="page" w:x="1442" w:y="1917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F61" w:rsidRDefault="006776CF">
            <w:pPr>
              <w:pStyle w:val="Jin0"/>
              <w:framePr w:w="3782" w:h="5894" w:wrap="none" w:vAnchor="page" w:hAnchor="page" w:x="1442" w:y="1917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6776CF">
            <w:pPr>
              <w:pStyle w:val="Jin0"/>
              <w:framePr w:w="3782" w:h="5894" w:wrap="none" w:vAnchor="page" w:hAnchor="page" w:x="1442" w:y="191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zóna A</w:t>
            </w: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82" w:h="5894" w:wrap="none" w:vAnchor="page" w:hAnchor="page" w:x="1442" w:y="1917"/>
            </w:pPr>
          </w:p>
        </w:tc>
      </w:tr>
      <w:tr w:rsidR="00D01F6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82" w:h="5894" w:wrap="none" w:vAnchor="page" w:hAnchor="page" w:x="1442" w:y="1917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F61" w:rsidRDefault="006776CF">
            <w:pPr>
              <w:pStyle w:val="Jin0"/>
              <w:framePr w:w="3782" w:h="5894" w:wrap="none" w:vAnchor="page" w:hAnchor="page" w:x="1442" w:y="1917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82" w:h="5894" w:wrap="none" w:vAnchor="page" w:hAnchor="page" w:x="1442" w:y="1917"/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82" w:h="5894" w:wrap="none" w:vAnchor="page" w:hAnchor="page" w:x="1442" w:y="1917"/>
            </w:pPr>
          </w:p>
        </w:tc>
      </w:tr>
      <w:tr w:rsidR="00D01F6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82" w:h="5894" w:wrap="none" w:vAnchor="page" w:hAnchor="page" w:x="1442" w:y="1917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F61" w:rsidRDefault="006776CF">
            <w:pPr>
              <w:pStyle w:val="Jin0"/>
              <w:framePr w:w="3782" w:h="5894" w:wrap="none" w:vAnchor="page" w:hAnchor="page" w:x="1442" w:y="1917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82" w:h="5894" w:wrap="none" w:vAnchor="page" w:hAnchor="page" w:x="1442" w:y="1917"/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82" w:h="5894" w:wrap="none" w:vAnchor="page" w:hAnchor="page" w:x="1442" w:y="1917"/>
            </w:pPr>
          </w:p>
        </w:tc>
      </w:tr>
      <w:tr w:rsidR="00D01F6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82" w:h="5894" w:wrap="none" w:vAnchor="page" w:hAnchor="page" w:x="1442" w:y="1917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F61" w:rsidRDefault="006776CF">
            <w:pPr>
              <w:pStyle w:val="Jin0"/>
              <w:framePr w:w="3782" w:h="5894" w:wrap="none" w:vAnchor="page" w:hAnchor="page" w:x="1442" w:y="1917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82" w:h="5894" w:wrap="none" w:vAnchor="page" w:hAnchor="page" w:x="1442" w:y="1917"/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82" w:h="5894" w:wrap="none" w:vAnchor="page" w:hAnchor="page" w:x="1442" w:y="1917"/>
            </w:pPr>
          </w:p>
        </w:tc>
      </w:tr>
      <w:tr w:rsidR="00D01F61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82" w:h="5894" w:wrap="none" w:vAnchor="page" w:hAnchor="page" w:x="1442" w:y="1917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F61" w:rsidRDefault="006776CF">
            <w:pPr>
              <w:pStyle w:val="Jin0"/>
              <w:framePr w:w="3782" w:h="5894" w:wrap="none" w:vAnchor="page" w:hAnchor="page" w:x="1442" w:y="1917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9+</w:t>
            </w: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82" w:h="5894" w:wrap="none" w:vAnchor="page" w:hAnchor="page" w:x="1442" w:y="1917"/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82" w:h="5894" w:wrap="none" w:vAnchor="page" w:hAnchor="page" w:x="1442" w:y="1917"/>
            </w:pPr>
          </w:p>
        </w:tc>
      </w:tr>
      <w:tr w:rsidR="00D01F6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6776CF">
            <w:pPr>
              <w:pStyle w:val="Jin0"/>
              <w:framePr w:w="3782" w:h="5894" w:wrap="none" w:vAnchor="page" w:hAnchor="page" w:x="1442" w:y="191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Ostatní dřeviny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F61" w:rsidRDefault="006776CF">
            <w:pPr>
              <w:pStyle w:val="Jin0"/>
              <w:framePr w:w="3782" w:h="5894" w:wrap="none" w:vAnchor="page" w:hAnchor="page" w:x="1442" w:y="1917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3a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F61" w:rsidRDefault="006776CF">
            <w:pPr>
              <w:pStyle w:val="Jin0"/>
              <w:framePr w:w="3782" w:h="5894" w:wrap="none" w:vAnchor="page" w:hAnchor="page" w:x="1442" w:y="191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1F61" w:rsidRDefault="006776CF">
            <w:pPr>
              <w:pStyle w:val="Jin0"/>
              <w:framePr w:w="3782" w:h="5894" w:wrap="none" w:vAnchor="page" w:hAnchor="page" w:x="1442" w:y="191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</w:tr>
      <w:tr w:rsidR="00D01F6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82" w:h="5894" w:wrap="none" w:vAnchor="page" w:hAnchor="page" w:x="1442" w:y="1917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F61" w:rsidRDefault="006776CF">
            <w:pPr>
              <w:pStyle w:val="Jin0"/>
              <w:framePr w:w="3782" w:h="5894" w:wrap="none" w:vAnchor="page" w:hAnchor="page" w:x="1442" w:y="1917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3b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F61" w:rsidRDefault="006776CF">
            <w:pPr>
              <w:pStyle w:val="Jin0"/>
              <w:framePr w:w="3782" w:h="5894" w:wrap="none" w:vAnchor="page" w:hAnchor="page" w:x="1442" w:y="191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1F61" w:rsidRDefault="006776CF">
            <w:pPr>
              <w:pStyle w:val="Jin0"/>
              <w:framePr w:w="3782" w:h="5894" w:wrap="none" w:vAnchor="page" w:hAnchor="page" w:x="1442" w:y="191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</w:tr>
      <w:tr w:rsidR="00D01F6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82" w:h="5894" w:wrap="none" w:vAnchor="page" w:hAnchor="page" w:x="1442" w:y="1917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F61" w:rsidRDefault="006776CF">
            <w:pPr>
              <w:pStyle w:val="Jin0"/>
              <w:framePr w:w="3782" w:h="5894" w:wrap="none" w:vAnchor="page" w:hAnchor="page" w:x="1442" w:y="1917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F61" w:rsidRDefault="006776CF">
            <w:pPr>
              <w:pStyle w:val="Jin0"/>
              <w:framePr w:w="3782" w:h="5894" w:wrap="none" w:vAnchor="page" w:hAnchor="page" w:x="1442" w:y="191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X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F61" w:rsidRDefault="006776CF">
            <w:pPr>
              <w:pStyle w:val="Jin0"/>
              <w:framePr w:w="3782" w:h="5894" w:wrap="none" w:vAnchor="page" w:hAnchor="page" w:x="1442" w:y="191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zóna A</w:t>
            </w:r>
          </w:p>
        </w:tc>
      </w:tr>
      <w:tr w:rsidR="00D01F61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82" w:h="5894" w:wrap="none" w:vAnchor="page" w:hAnchor="page" w:x="1442" w:y="1917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F61" w:rsidRDefault="006776CF">
            <w:pPr>
              <w:pStyle w:val="Jin0"/>
              <w:framePr w:w="3782" w:h="5894" w:wrap="none" w:vAnchor="page" w:hAnchor="page" w:x="1442" w:y="1917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6776CF">
            <w:pPr>
              <w:pStyle w:val="Jin0"/>
              <w:framePr w:w="3782" w:h="5894" w:wrap="none" w:vAnchor="page" w:hAnchor="page" w:x="1442" w:y="191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zóna A</w:t>
            </w: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82" w:h="5894" w:wrap="none" w:vAnchor="page" w:hAnchor="page" w:x="1442" w:y="1917"/>
            </w:pPr>
          </w:p>
        </w:tc>
      </w:tr>
      <w:tr w:rsidR="00D01F6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82" w:h="5894" w:wrap="none" w:vAnchor="page" w:hAnchor="page" w:x="1442" w:y="1917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F61" w:rsidRDefault="006776CF">
            <w:pPr>
              <w:pStyle w:val="Jin0"/>
              <w:framePr w:w="3782" w:h="5894" w:wrap="none" w:vAnchor="page" w:hAnchor="page" w:x="1442" w:y="1917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82" w:h="5894" w:wrap="none" w:vAnchor="page" w:hAnchor="page" w:x="1442" w:y="1917"/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82" w:h="5894" w:wrap="none" w:vAnchor="page" w:hAnchor="page" w:x="1442" w:y="1917"/>
            </w:pPr>
          </w:p>
        </w:tc>
      </w:tr>
      <w:tr w:rsidR="00D01F6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82" w:h="5894" w:wrap="none" w:vAnchor="page" w:hAnchor="page" w:x="1442" w:y="1917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F61" w:rsidRDefault="006776CF">
            <w:pPr>
              <w:pStyle w:val="Jin0"/>
              <w:framePr w:w="3782" w:h="5894" w:wrap="none" w:vAnchor="page" w:hAnchor="page" w:x="1442" w:y="1917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82" w:h="5894" w:wrap="none" w:vAnchor="page" w:hAnchor="page" w:x="1442" w:y="1917"/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82" w:h="5894" w:wrap="none" w:vAnchor="page" w:hAnchor="page" w:x="1442" w:y="1917"/>
            </w:pPr>
          </w:p>
        </w:tc>
      </w:tr>
      <w:tr w:rsidR="00D01F6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82" w:h="5894" w:wrap="none" w:vAnchor="page" w:hAnchor="page" w:x="1442" w:y="1917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F61" w:rsidRDefault="006776CF">
            <w:pPr>
              <w:pStyle w:val="Jin0"/>
              <w:framePr w:w="3782" w:h="5894" w:wrap="none" w:vAnchor="page" w:hAnchor="page" w:x="1442" w:y="1917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82" w:h="5894" w:wrap="none" w:vAnchor="page" w:hAnchor="page" w:x="1442" w:y="1917"/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82" w:h="5894" w:wrap="none" w:vAnchor="page" w:hAnchor="page" w:x="1442" w:y="1917"/>
            </w:pPr>
          </w:p>
        </w:tc>
      </w:tr>
      <w:tr w:rsidR="00D01F61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82" w:h="5894" w:wrap="none" w:vAnchor="page" w:hAnchor="page" w:x="1442" w:y="1917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1F61" w:rsidRDefault="006776CF">
            <w:pPr>
              <w:pStyle w:val="Jin0"/>
              <w:framePr w:w="3782" w:h="5894" w:wrap="none" w:vAnchor="page" w:hAnchor="page" w:x="1442" w:y="1917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9+</w:t>
            </w: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82" w:h="5894" w:wrap="none" w:vAnchor="page" w:hAnchor="page" w:x="1442" w:y="1917"/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82" w:h="5894" w:wrap="none" w:vAnchor="page" w:hAnchor="page" w:x="1442" w:y="1917"/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926"/>
        <w:gridCol w:w="931"/>
        <w:gridCol w:w="955"/>
      </w:tblGrid>
      <w:tr w:rsidR="00D01F61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6776CF">
            <w:pPr>
              <w:pStyle w:val="Jin0"/>
              <w:framePr w:w="3778" w:h="5894" w:wrap="none" w:vAnchor="page" w:hAnchor="page" w:x="5162" w:y="191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  <w:lang w:val="en-US" w:eastAsia="en-US" w:bidi="en-US"/>
              </w:rPr>
              <w:t xml:space="preserve">III.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6776CF">
            <w:pPr>
              <w:pStyle w:val="Jin0"/>
              <w:framePr w:w="3778" w:h="5894" w:wrap="none" w:vAnchor="page" w:hAnchor="page" w:x="5162" w:y="191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  <w:lang w:val="en-US" w:eastAsia="en-US" w:bidi="en-US"/>
              </w:rPr>
              <w:t xml:space="preserve">III.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B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6776CF">
            <w:pPr>
              <w:pStyle w:val="Jin0"/>
              <w:framePr w:w="3778" w:h="5894" w:wrap="none" w:vAnchor="page" w:hAnchor="page" w:x="5162" w:y="191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  <w:lang w:val="en-US" w:eastAsia="en-US" w:bidi="en-US"/>
              </w:rPr>
              <w:t xml:space="preserve">III.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F61" w:rsidRDefault="006776CF">
            <w:pPr>
              <w:pStyle w:val="Jin0"/>
              <w:framePr w:w="3778" w:h="5894" w:wrap="none" w:vAnchor="page" w:hAnchor="page" w:x="5162" w:y="191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  <w:lang w:val="en-US" w:eastAsia="en-US" w:bidi="en-US"/>
              </w:rPr>
              <w:t xml:space="preserve">III.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</w:t>
            </w:r>
          </w:p>
        </w:tc>
      </w:tr>
      <w:tr w:rsidR="00D01F6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F61" w:rsidRDefault="006776CF">
            <w:pPr>
              <w:pStyle w:val="Jin0"/>
              <w:framePr w:w="3778" w:h="5894" w:wrap="none" w:vAnchor="page" w:hAnchor="page" w:x="5162" w:y="191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zóna C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6776CF">
            <w:pPr>
              <w:pStyle w:val="Jin0"/>
              <w:framePr w:w="3778" w:h="5894" w:wrap="none" w:vAnchor="page" w:hAnchor="page" w:x="5162" w:y="191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zóna C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6776CF">
            <w:pPr>
              <w:pStyle w:val="Jin0"/>
              <w:framePr w:w="3778" w:h="5894" w:wrap="none" w:vAnchor="page" w:hAnchor="page" w:x="5162" w:y="191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zóna C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F61" w:rsidRDefault="006776CF">
            <w:pPr>
              <w:pStyle w:val="Jin0"/>
              <w:framePr w:w="3778" w:h="5894" w:wrap="none" w:vAnchor="page" w:hAnchor="page" w:x="5162" w:y="191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zóna C</w:t>
            </w:r>
          </w:p>
        </w:tc>
      </w:tr>
      <w:tr w:rsidR="00D01F6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F61" w:rsidRDefault="006776CF">
            <w:pPr>
              <w:pStyle w:val="Jin0"/>
              <w:framePr w:w="3778" w:h="5894" w:wrap="none" w:vAnchor="page" w:hAnchor="page" w:x="5162" w:y="191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zóna B</w:t>
            </w: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78" w:h="5894" w:wrap="none" w:vAnchor="page" w:hAnchor="page" w:x="5162" w:y="1917"/>
            </w:pPr>
          </w:p>
        </w:tc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78" w:h="5894" w:wrap="none" w:vAnchor="page" w:hAnchor="page" w:x="5162" w:y="1917"/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78" w:h="5894" w:wrap="none" w:vAnchor="page" w:hAnchor="page" w:x="5162" w:y="1917"/>
            </w:pPr>
          </w:p>
        </w:tc>
      </w:tr>
      <w:tr w:rsidR="00D01F61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6776CF">
            <w:pPr>
              <w:pStyle w:val="Jin0"/>
              <w:framePr w:w="3778" w:h="5894" w:wrap="none" w:vAnchor="page" w:hAnchor="page" w:x="5162" w:y="191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zóna 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6776CF">
            <w:pPr>
              <w:pStyle w:val="Jin0"/>
              <w:framePr w:w="3778" w:h="5894" w:wrap="none" w:vAnchor="page" w:hAnchor="page" w:x="5162" w:y="191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zóna B</w:t>
            </w:r>
          </w:p>
        </w:tc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78" w:h="5894" w:wrap="none" w:vAnchor="page" w:hAnchor="page" w:x="5162" w:y="1917"/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78" w:h="5894" w:wrap="none" w:vAnchor="page" w:hAnchor="page" w:x="5162" w:y="1917"/>
            </w:pPr>
          </w:p>
        </w:tc>
      </w:tr>
      <w:tr w:rsidR="00D01F6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78" w:h="5894" w:wrap="none" w:vAnchor="page" w:hAnchor="page" w:x="5162" w:y="1917"/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6776CF">
            <w:pPr>
              <w:pStyle w:val="Jin0"/>
              <w:framePr w:w="3778" w:h="5894" w:wrap="none" w:vAnchor="page" w:hAnchor="page" w:x="5162" w:y="191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zóna A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6776CF">
            <w:pPr>
              <w:pStyle w:val="Jin0"/>
              <w:framePr w:w="3778" w:h="5894" w:wrap="none" w:vAnchor="page" w:hAnchor="page" w:x="5162" w:y="191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zóna B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F61" w:rsidRDefault="00D01F61">
            <w:pPr>
              <w:framePr w:w="3778" w:h="5894" w:wrap="none" w:vAnchor="page" w:hAnchor="page" w:x="5162" w:y="1917"/>
              <w:rPr>
                <w:sz w:val="10"/>
                <w:szCs w:val="10"/>
              </w:rPr>
            </w:pPr>
          </w:p>
        </w:tc>
      </w:tr>
      <w:tr w:rsidR="00D01F6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78" w:h="5894" w:wrap="none" w:vAnchor="page" w:hAnchor="page" w:x="5162" w:y="1917"/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78" w:h="5894" w:wrap="none" w:vAnchor="page" w:hAnchor="page" w:x="5162" w:y="1917"/>
            </w:pPr>
          </w:p>
        </w:tc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78" w:h="5894" w:wrap="none" w:vAnchor="page" w:hAnchor="page" w:x="5162" w:y="1917"/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F61" w:rsidRDefault="006776CF">
            <w:pPr>
              <w:pStyle w:val="Jin0"/>
              <w:framePr w:w="3778" w:h="5894" w:wrap="none" w:vAnchor="page" w:hAnchor="page" w:x="5162" w:y="191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zóna B</w:t>
            </w:r>
          </w:p>
        </w:tc>
      </w:tr>
      <w:tr w:rsidR="00D01F6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78" w:h="5894" w:wrap="none" w:vAnchor="page" w:hAnchor="page" w:x="5162" w:y="1917"/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78" w:h="5894" w:wrap="none" w:vAnchor="page" w:hAnchor="page" w:x="5162" w:y="1917"/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6776CF">
            <w:pPr>
              <w:pStyle w:val="Jin0"/>
              <w:framePr w:w="3778" w:h="5894" w:wrap="none" w:vAnchor="page" w:hAnchor="page" w:x="5162" w:y="191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zóna A</w:t>
            </w:r>
          </w:p>
        </w:tc>
        <w:tc>
          <w:tcPr>
            <w:tcW w:w="95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78" w:h="5894" w:wrap="none" w:vAnchor="page" w:hAnchor="page" w:x="5162" w:y="1917"/>
            </w:pPr>
          </w:p>
        </w:tc>
      </w:tr>
      <w:tr w:rsidR="00D01F61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78" w:h="5894" w:wrap="none" w:vAnchor="page" w:hAnchor="page" w:x="5162" w:y="1917"/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78" w:h="5894" w:wrap="none" w:vAnchor="page" w:hAnchor="page" w:x="5162" w:y="1917"/>
            </w:pPr>
          </w:p>
        </w:tc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78" w:h="5894" w:wrap="none" w:vAnchor="page" w:hAnchor="page" w:x="5162" w:y="1917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1F61" w:rsidRDefault="006776CF">
            <w:pPr>
              <w:pStyle w:val="Jin0"/>
              <w:framePr w:w="3778" w:h="5894" w:wrap="none" w:vAnchor="page" w:hAnchor="page" w:x="5162" w:y="191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zóna A</w:t>
            </w:r>
          </w:p>
        </w:tc>
      </w:tr>
      <w:tr w:rsidR="00D01F6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F61" w:rsidRDefault="006776CF">
            <w:pPr>
              <w:pStyle w:val="Jin0"/>
              <w:framePr w:w="3778" w:h="5894" w:wrap="none" w:vAnchor="page" w:hAnchor="page" w:x="5162" w:y="191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zóna C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6776CF">
            <w:pPr>
              <w:pStyle w:val="Jin0"/>
              <w:framePr w:w="3778" w:h="5894" w:wrap="none" w:vAnchor="page" w:hAnchor="page" w:x="5162" w:y="191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zóna C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6776CF">
            <w:pPr>
              <w:pStyle w:val="Jin0"/>
              <w:framePr w:w="3778" w:h="5894" w:wrap="none" w:vAnchor="page" w:hAnchor="page" w:x="5162" w:y="191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zóna C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F61" w:rsidRDefault="006776CF">
            <w:pPr>
              <w:pStyle w:val="Jin0"/>
              <w:framePr w:w="3778" w:h="5894" w:wrap="none" w:vAnchor="page" w:hAnchor="page" w:x="5162" w:y="191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zóna C</w:t>
            </w:r>
          </w:p>
        </w:tc>
      </w:tr>
      <w:tr w:rsidR="00D01F6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F61" w:rsidRDefault="006776CF">
            <w:pPr>
              <w:pStyle w:val="Jin0"/>
              <w:framePr w:w="3778" w:h="5894" w:wrap="none" w:vAnchor="page" w:hAnchor="page" w:x="5162" w:y="191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zóna B</w:t>
            </w: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78" w:h="5894" w:wrap="none" w:vAnchor="page" w:hAnchor="page" w:x="5162" w:y="1917"/>
            </w:pPr>
          </w:p>
        </w:tc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78" w:h="5894" w:wrap="none" w:vAnchor="page" w:hAnchor="page" w:x="5162" w:y="1917"/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78" w:h="5894" w:wrap="none" w:vAnchor="page" w:hAnchor="page" w:x="5162" w:y="1917"/>
            </w:pPr>
          </w:p>
        </w:tc>
      </w:tr>
      <w:tr w:rsidR="00D01F61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6776CF">
            <w:pPr>
              <w:pStyle w:val="Jin0"/>
              <w:framePr w:w="3778" w:h="5894" w:wrap="none" w:vAnchor="page" w:hAnchor="page" w:x="5162" w:y="191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zóna 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6776CF">
            <w:pPr>
              <w:pStyle w:val="Jin0"/>
              <w:framePr w:w="3778" w:h="5894" w:wrap="none" w:vAnchor="page" w:hAnchor="page" w:x="5162" w:y="191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zóna B</w:t>
            </w:r>
          </w:p>
        </w:tc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78" w:h="5894" w:wrap="none" w:vAnchor="page" w:hAnchor="page" w:x="5162" w:y="1917"/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78" w:h="5894" w:wrap="none" w:vAnchor="page" w:hAnchor="page" w:x="5162" w:y="1917"/>
            </w:pPr>
          </w:p>
        </w:tc>
      </w:tr>
      <w:tr w:rsidR="00D01F61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78" w:h="5894" w:wrap="none" w:vAnchor="page" w:hAnchor="page" w:x="5162" w:y="1917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1F61" w:rsidRDefault="006776CF">
            <w:pPr>
              <w:pStyle w:val="Jin0"/>
              <w:framePr w:w="3778" w:h="5894" w:wrap="none" w:vAnchor="page" w:hAnchor="page" w:x="5162" w:y="191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zóna 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1F61" w:rsidRDefault="006776CF">
            <w:pPr>
              <w:pStyle w:val="Jin0"/>
              <w:framePr w:w="3778" w:h="5894" w:wrap="none" w:vAnchor="page" w:hAnchor="page" w:x="5162" w:y="191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zóna B</w:t>
            </w: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F61" w:rsidRDefault="00D01F61">
            <w:pPr>
              <w:framePr w:w="3778" w:h="5894" w:wrap="none" w:vAnchor="page" w:hAnchor="page" w:x="5162" w:y="1917"/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6547"/>
      </w:tblGrid>
      <w:tr w:rsidR="00D01F6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F61" w:rsidRDefault="006776CF">
            <w:pPr>
              <w:pStyle w:val="Jin0"/>
              <w:framePr w:w="7478" w:h="2266" w:wrap="none" w:vAnchor="page" w:hAnchor="page" w:x="1461" w:y="8363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zóna A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1F61" w:rsidRDefault="006776CF">
            <w:pPr>
              <w:pStyle w:val="Jin0"/>
              <w:framePr w:w="7478" w:h="2266" w:wrap="none" w:vAnchor="page" w:hAnchor="page" w:x="1461" w:y="8363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Sortimenty, které splňují požadavky pro umístění do dražby.</w:t>
            </w:r>
          </w:p>
        </w:tc>
      </w:tr>
      <w:tr w:rsidR="00D01F61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F61" w:rsidRDefault="006776CF">
            <w:pPr>
              <w:pStyle w:val="Jin0"/>
              <w:framePr w:w="7478" w:h="2266" w:wrap="none" w:vAnchor="page" w:hAnchor="page" w:x="1461" w:y="8363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zóna B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1F61" w:rsidRDefault="006776CF">
            <w:pPr>
              <w:pStyle w:val="Jin0"/>
              <w:framePr w:w="7478" w:h="2266" w:wrap="none" w:vAnchor="page" w:hAnchor="page" w:x="1461" w:y="8363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Sortimenty, které nesplňují požadavky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pro umístění do dražby. V případě podílu přes 20 % hrozí ponížení množství přijatého do dalších dražeb!!!</w:t>
            </w:r>
          </w:p>
        </w:tc>
      </w:tr>
      <w:tr w:rsidR="00D01F61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1F61" w:rsidRDefault="006776CF">
            <w:pPr>
              <w:pStyle w:val="Jin0"/>
              <w:framePr w:w="7478" w:h="2266" w:wrap="none" w:vAnchor="page" w:hAnchor="page" w:x="1461" w:y="8363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zóna C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1F61" w:rsidRDefault="006776CF">
            <w:pPr>
              <w:pStyle w:val="Jin0"/>
              <w:framePr w:w="7478" w:h="2266" w:wrap="none" w:vAnchor="page" w:hAnchor="page" w:x="1461" w:y="8363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Sortimenty, které nesplňují požadavky pro umístění do dražby - tyto sortimenty nemusí být do dražby přijaty, v případě jejich přijetí se stanovuje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dvojnásobná provize!!!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Hrozí ponížení množství přijatého do dalších dražeb!!!</w:t>
            </w:r>
          </w:p>
        </w:tc>
      </w:tr>
    </w:tbl>
    <w:p w:rsidR="00D01F61" w:rsidRDefault="006776CF">
      <w:pPr>
        <w:pStyle w:val="Nadpis30"/>
        <w:framePr w:w="8683" w:h="4440" w:hRule="exact" w:wrap="none" w:vAnchor="page" w:hAnchor="page" w:x="1423" w:y="11061"/>
        <w:shd w:val="clear" w:color="auto" w:fill="auto"/>
        <w:spacing w:after="0" w:line="254" w:lineRule="auto"/>
      </w:pPr>
      <w:bookmarkStart w:id="10" w:name="bookmark10"/>
      <w:bookmarkStart w:id="11" w:name="bookmark11"/>
      <w:r>
        <w:t xml:space="preserve">Stanovení vyvolávací ceny a </w:t>
      </w:r>
      <w:r>
        <w:t>platební podmínky:</w:t>
      </w:r>
      <w:bookmarkEnd w:id="10"/>
      <w:bookmarkEnd w:id="11"/>
    </w:p>
    <w:p w:rsidR="00D01F61" w:rsidRDefault="006776CF">
      <w:pPr>
        <w:pStyle w:val="Zkladntext1"/>
        <w:framePr w:w="8683" w:h="4440" w:hRule="exact" w:wrap="none" w:vAnchor="page" w:hAnchor="page" w:x="1423" w:y="11061"/>
        <w:shd w:val="clear" w:color="auto" w:fill="auto"/>
        <w:spacing w:line="254" w:lineRule="auto"/>
        <w:ind w:left="2080"/>
      </w:pPr>
      <w:r>
        <w:t>Vyvolávací cenu stanovuje dražebník.</w:t>
      </w:r>
    </w:p>
    <w:p w:rsidR="00D01F61" w:rsidRDefault="006776CF">
      <w:pPr>
        <w:pStyle w:val="Zkladntext1"/>
        <w:framePr w:w="8683" w:h="4440" w:hRule="exact" w:wrap="none" w:vAnchor="page" w:hAnchor="page" w:x="1423" w:y="11061"/>
        <w:shd w:val="clear" w:color="auto" w:fill="auto"/>
        <w:spacing w:line="254" w:lineRule="auto"/>
        <w:ind w:left="2080"/>
      </w:pPr>
      <w:r>
        <w:t>Cena za vydražené dříví vychází z vítězné ceny draženého kusu dříví po odečtení dražební provize.</w:t>
      </w:r>
    </w:p>
    <w:p w:rsidR="00D01F61" w:rsidRDefault="006776CF">
      <w:pPr>
        <w:pStyle w:val="Zkladntext1"/>
        <w:framePr w:w="8683" w:h="4440" w:hRule="exact" w:wrap="none" w:vAnchor="page" w:hAnchor="page" w:x="1423" w:y="11061"/>
        <w:shd w:val="clear" w:color="auto" w:fill="auto"/>
        <w:spacing w:line="254" w:lineRule="auto"/>
        <w:ind w:left="2080"/>
      </w:pPr>
      <w:r>
        <w:t xml:space="preserve">Seznam vydraženého dříví jako podklad pro fakturaci bude prodávajícímu zaslán </w:t>
      </w:r>
      <w:r>
        <w:rPr>
          <w:lang w:val="en-US" w:eastAsia="en-US" w:bidi="en-US"/>
        </w:rPr>
        <w:t xml:space="preserve">max. </w:t>
      </w:r>
      <w:r>
        <w:t xml:space="preserve">následující den od </w:t>
      </w:r>
      <w:r>
        <w:t>konce dražby. Fakturovaná částka bude uhrazena prodávajícímu dražebníkem ve lhůtě splatnosti 14 dní ode dne vydražení dříví.</w:t>
      </w:r>
    </w:p>
    <w:p w:rsidR="00D01F61" w:rsidRDefault="006776CF">
      <w:pPr>
        <w:pStyle w:val="Zkladntext1"/>
        <w:framePr w:w="8683" w:h="4440" w:hRule="exact" w:wrap="none" w:vAnchor="page" w:hAnchor="page" w:x="1423" w:y="11061"/>
        <w:shd w:val="clear" w:color="auto" w:fill="auto"/>
        <w:spacing w:line="254" w:lineRule="auto"/>
        <w:ind w:left="2080"/>
      </w:pPr>
      <w:r>
        <w:t>Pro výřezy u nichž je vyvolávací cena vyšší než nejvyšší podaná nabídka musí Prodávající emailem, nejpozději do 12:00 dalšího dne p</w:t>
      </w:r>
      <w:r>
        <w:t xml:space="preserve">o konání dražby, informovat dražebníka, jestli a případně které kusy mají být prodány i pod vyvolávací cenou a jestli a případně které kusy si Prodávající nepřeje prodávat. Pokud Prodávající neinformuje dražebníka nejpozději do 12:00 dalšího dne po konání </w:t>
      </w:r>
      <w:r>
        <w:t>dražby o tom, které kusy mají být prodány a které ne, má se za to, že si Prodávající přeje prodat všechny kusy umístěné do dané dražby a to i ty, u kterých je vyvolávací cena vyšší než nejvyšší podaná nabídka. Výřezy, u který ch je vyvolávací cena vyšší ne</w:t>
      </w:r>
      <w:r>
        <w:t>ž nejvyšší podaná nabídka, které si Prodávající nepřeje prodávat a výřezy, na které nebyla</w:t>
      </w:r>
    </w:p>
    <w:p w:rsidR="00D01F61" w:rsidRDefault="006776CF">
      <w:pPr>
        <w:pStyle w:val="Zhlavnebozpat0"/>
        <w:framePr w:wrap="none" w:vAnchor="page" w:hAnchor="page" w:x="5714" w:y="16082"/>
        <w:shd w:val="clear" w:color="auto" w:fill="auto"/>
      </w:pPr>
      <w:r>
        <w:t>2/3</w:t>
      </w:r>
    </w:p>
    <w:p w:rsidR="00D01F61" w:rsidRDefault="00D01F61">
      <w:pPr>
        <w:spacing w:line="1" w:lineRule="exact"/>
        <w:sectPr w:rsidR="00D01F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01F61" w:rsidRDefault="00D01F61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8"/>
        <w:gridCol w:w="6749"/>
      </w:tblGrid>
      <w:tr w:rsidR="00D01F61">
        <w:tblPrEx>
          <w:tblCellMar>
            <w:top w:w="0" w:type="dxa"/>
            <w:bottom w:w="0" w:type="dxa"/>
          </w:tblCellMar>
        </w:tblPrEx>
        <w:trPr>
          <w:trHeight w:hRule="exact" w:val="2659"/>
        </w:trPr>
        <w:tc>
          <w:tcPr>
            <w:tcW w:w="1858" w:type="dxa"/>
            <w:shd w:val="clear" w:color="auto" w:fill="FFFFFF"/>
          </w:tcPr>
          <w:p w:rsidR="00D01F61" w:rsidRDefault="00D01F61">
            <w:pPr>
              <w:framePr w:w="8606" w:h="5645" w:wrap="none" w:vAnchor="page" w:hAnchor="page" w:x="1394" w:y="1550"/>
              <w:rPr>
                <w:sz w:val="10"/>
                <w:szCs w:val="10"/>
              </w:rPr>
            </w:pPr>
          </w:p>
        </w:tc>
        <w:tc>
          <w:tcPr>
            <w:tcW w:w="6749" w:type="dxa"/>
            <w:shd w:val="clear" w:color="auto" w:fill="FFFFFF"/>
          </w:tcPr>
          <w:p w:rsidR="00D01F61" w:rsidRDefault="006776CF">
            <w:pPr>
              <w:pStyle w:val="Jin0"/>
              <w:framePr w:w="8606" w:h="5645" w:wrap="none" w:vAnchor="page" w:hAnchor="page" w:x="1394" w:y="1550"/>
              <w:shd w:val="clear" w:color="auto" w:fill="auto"/>
              <w:spacing w:line="254" w:lineRule="auto"/>
              <w:ind w:left="180" w:firstLine="20"/>
            </w:pPr>
            <w:r>
              <w:t xml:space="preserve">podána žádná nabídka, musí být odvezeny z dražebního prostoru nejpozději do 14 dnů od konce dané dražby. V případě, že výřezy, které </w:t>
            </w:r>
            <w:r>
              <w:t>Prodávající nechce prodat pod vyvolávací cenou, jsou zařazeny do zóny C, je automaticky Prodávajícímu za tyto výřezy účtována provize 200 Kč/m3. Pokud nebudou výřezy, u kterých je vyvolávací cena vyšší než nejvyšší podaná nabídka, které si Vlastník nepřeje</w:t>
            </w:r>
            <w:r>
              <w:t xml:space="preserve"> prodat a výřezy , na které nebyla podána žádná nabídka, odvezeny z dražebního prostoru do 14 dnů od konce dané dražby, je Prodávající povinen zaplatit Dražebníkovi náklady na skladování ve výši 40 Kč/m3 za každý den skladování, jestliže obě strany nedohod</w:t>
            </w:r>
            <w:r>
              <w:t>nou na jiném postupu.</w:t>
            </w:r>
          </w:p>
        </w:tc>
      </w:tr>
      <w:tr w:rsidR="00D01F61">
        <w:tblPrEx>
          <w:tblCellMar>
            <w:top w:w="0" w:type="dxa"/>
            <w:bottom w:w="0" w:type="dxa"/>
          </w:tblCellMar>
        </w:tblPrEx>
        <w:trPr>
          <w:trHeight w:hRule="exact" w:val="2986"/>
        </w:trPr>
        <w:tc>
          <w:tcPr>
            <w:tcW w:w="1858" w:type="dxa"/>
            <w:shd w:val="clear" w:color="auto" w:fill="FFFFFF"/>
          </w:tcPr>
          <w:p w:rsidR="00D01F61" w:rsidRDefault="006776CF">
            <w:pPr>
              <w:pStyle w:val="Jin0"/>
              <w:framePr w:w="8606" w:h="5645" w:wrap="none" w:vAnchor="page" w:hAnchor="page" w:x="1394" w:y="1550"/>
              <w:shd w:val="clear" w:color="auto" w:fill="auto"/>
              <w:spacing w:before="180" w:line="240" w:lineRule="auto"/>
            </w:pPr>
            <w:r>
              <w:rPr>
                <w:b/>
                <w:bCs/>
              </w:rPr>
              <w:t>Dražební provize:</w:t>
            </w:r>
          </w:p>
        </w:tc>
        <w:tc>
          <w:tcPr>
            <w:tcW w:w="6749" w:type="dxa"/>
            <w:shd w:val="clear" w:color="auto" w:fill="FFFFFF"/>
            <w:vAlign w:val="bottom"/>
          </w:tcPr>
          <w:p w:rsidR="00D01F61" w:rsidRDefault="006776CF">
            <w:pPr>
              <w:pStyle w:val="Jin0"/>
              <w:framePr w:w="8606" w:h="5645" w:wrap="none" w:vAnchor="page" w:hAnchor="page" w:x="1394" w:y="1550"/>
              <w:shd w:val="clear" w:color="auto" w:fill="auto"/>
              <w:spacing w:line="240" w:lineRule="auto"/>
              <w:ind w:left="180" w:firstLine="20"/>
            </w:pPr>
            <w:r>
              <w:t>Dražební provize se odečítá z vítězné ceny, je sjednána odstupňovaně dle objemu dříví nabízeného prodávajícím v dané dražbě.</w:t>
            </w:r>
          </w:p>
          <w:p w:rsidR="00D01F61" w:rsidRDefault="006776CF">
            <w:pPr>
              <w:pStyle w:val="Jin0"/>
              <w:framePr w:w="8606" w:h="5645" w:wrap="none" w:vAnchor="page" w:hAnchor="page" w:x="1394" w:y="1550"/>
              <w:numPr>
                <w:ilvl w:val="0"/>
                <w:numId w:val="1"/>
              </w:numPr>
              <w:shd w:val="clear" w:color="auto" w:fill="auto"/>
              <w:tabs>
                <w:tab w:val="left" w:pos="377"/>
              </w:tabs>
              <w:spacing w:line="290" w:lineRule="auto"/>
              <w:ind w:left="180" w:firstLine="20"/>
            </w:pPr>
            <w:r>
              <w:t>případě sortimentů jakosti a tloušťkových stupňů zóny A a B (viz tabulka 1):</w:t>
            </w:r>
          </w:p>
          <w:p w:rsidR="00D01F61" w:rsidRDefault="006776CF">
            <w:pPr>
              <w:pStyle w:val="Jin0"/>
              <w:framePr w:w="8606" w:h="5645" w:wrap="none" w:vAnchor="page" w:hAnchor="page" w:x="1394" w:y="1550"/>
              <w:shd w:val="clear" w:color="auto" w:fill="auto"/>
              <w:tabs>
                <w:tab w:val="left" w:pos="2882"/>
              </w:tabs>
              <w:spacing w:line="240" w:lineRule="auto"/>
              <w:ind w:firstLine="180"/>
            </w:pPr>
            <w:r>
              <w:t>do 100 m</w:t>
            </w:r>
            <w:r>
              <w:rPr>
                <w:vertAlign w:val="superscript"/>
              </w:rPr>
              <w:t>3</w:t>
            </w:r>
            <w:r>
              <w:tab/>
              <w:t>4,9</w:t>
            </w:r>
            <w:r>
              <w:t xml:space="preserve"> %,</w:t>
            </w:r>
          </w:p>
          <w:p w:rsidR="00D01F61" w:rsidRDefault="006776CF">
            <w:pPr>
              <w:pStyle w:val="Jin0"/>
              <w:framePr w:w="8606" w:h="5645" w:wrap="none" w:vAnchor="page" w:hAnchor="page" w:x="1394" w:y="1550"/>
              <w:shd w:val="clear" w:color="auto" w:fill="auto"/>
              <w:tabs>
                <w:tab w:val="left" w:pos="2882"/>
              </w:tabs>
              <w:spacing w:line="269" w:lineRule="auto"/>
              <w:ind w:firstLine="180"/>
            </w:pPr>
            <w:r>
              <w:t>nad 100 m</w:t>
            </w:r>
            <w:r>
              <w:rPr>
                <w:vertAlign w:val="superscript"/>
              </w:rPr>
              <w:t>3</w:t>
            </w:r>
            <w:r>
              <w:tab/>
              <w:t>3,9%.</w:t>
            </w:r>
          </w:p>
          <w:p w:rsidR="00D01F61" w:rsidRDefault="006776CF">
            <w:pPr>
              <w:pStyle w:val="Jin0"/>
              <w:framePr w:w="8606" w:h="5645" w:wrap="none" w:vAnchor="page" w:hAnchor="page" w:x="1394" w:y="1550"/>
              <w:shd w:val="clear" w:color="auto" w:fill="auto"/>
              <w:spacing w:line="240" w:lineRule="auto"/>
              <w:ind w:firstLine="180"/>
            </w:pPr>
            <w:r>
              <w:t>Pro první účast prodávajícího na dražbě se stanovuje provize 3,9 %.</w:t>
            </w:r>
          </w:p>
          <w:p w:rsidR="00D01F61" w:rsidRDefault="006776CF">
            <w:pPr>
              <w:pStyle w:val="Jin0"/>
              <w:framePr w:w="8606" w:h="5645" w:wrap="none" w:vAnchor="page" w:hAnchor="page" w:x="1394" w:y="1550"/>
              <w:numPr>
                <w:ilvl w:val="0"/>
                <w:numId w:val="1"/>
              </w:numPr>
              <w:shd w:val="clear" w:color="auto" w:fill="auto"/>
              <w:tabs>
                <w:tab w:val="left" w:pos="386"/>
              </w:tabs>
              <w:spacing w:line="240" w:lineRule="auto"/>
              <w:ind w:firstLine="180"/>
            </w:pPr>
            <w:r>
              <w:t>případě sortimentů jakosti a tloušťkových stupňů zóny C (viz tabulka 1):</w:t>
            </w:r>
          </w:p>
          <w:p w:rsidR="00D01F61" w:rsidRDefault="006776CF">
            <w:pPr>
              <w:pStyle w:val="Jin0"/>
              <w:framePr w:w="8606" w:h="5645" w:wrap="none" w:vAnchor="page" w:hAnchor="page" w:x="1394" w:y="1550"/>
              <w:shd w:val="clear" w:color="auto" w:fill="auto"/>
              <w:tabs>
                <w:tab w:val="left" w:pos="2873"/>
              </w:tabs>
              <w:spacing w:line="269" w:lineRule="auto"/>
              <w:ind w:firstLine="180"/>
            </w:pPr>
            <w:r>
              <w:t>do 100 m</w:t>
            </w:r>
            <w:r>
              <w:rPr>
                <w:vertAlign w:val="superscript"/>
              </w:rPr>
              <w:t>3</w:t>
            </w:r>
            <w:r>
              <w:tab/>
              <w:t>9.8 %,</w:t>
            </w:r>
          </w:p>
          <w:p w:rsidR="00D01F61" w:rsidRDefault="006776CF">
            <w:pPr>
              <w:pStyle w:val="Jin0"/>
              <w:framePr w:w="8606" w:h="5645" w:wrap="none" w:vAnchor="page" w:hAnchor="page" w:x="1394" w:y="1550"/>
              <w:shd w:val="clear" w:color="auto" w:fill="auto"/>
              <w:tabs>
                <w:tab w:val="left" w:pos="2873"/>
              </w:tabs>
              <w:spacing w:line="269" w:lineRule="auto"/>
              <w:ind w:firstLine="180"/>
            </w:pPr>
            <w:r>
              <w:t>nad 100 m</w:t>
            </w:r>
            <w:r>
              <w:rPr>
                <w:vertAlign w:val="superscript"/>
              </w:rPr>
              <w:t>3</w:t>
            </w:r>
            <w:r>
              <w:tab/>
              <w:t>7,8%.</w:t>
            </w:r>
          </w:p>
        </w:tc>
      </w:tr>
    </w:tbl>
    <w:p w:rsidR="00D01F61" w:rsidRDefault="006776CF">
      <w:pPr>
        <w:pStyle w:val="Zkladntext1"/>
        <w:framePr w:wrap="none" w:vAnchor="page" w:hAnchor="page" w:x="1408" w:y="7651"/>
        <w:shd w:val="clear" w:color="auto" w:fill="auto"/>
        <w:spacing w:line="240" w:lineRule="auto"/>
        <w:ind w:left="10" w:right="9"/>
      </w:pPr>
      <w:r>
        <w:rPr>
          <w:b/>
          <w:bCs/>
        </w:rPr>
        <w:t>Ostatní ujednání:</w:t>
      </w:r>
    </w:p>
    <w:p w:rsidR="00D01F61" w:rsidRDefault="006776CF">
      <w:pPr>
        <w:pStyle w:val="Zkladntext1"/>
        <w:framePr w:w="8731" w:h="5563" w:hRule="exact" w:wrap="none" w:vAnchor="page" w:hAnchor="page" w:x="1394" w:y="7871"/>
        <w:shd w:val="clear" w:color="auto" w:fill="auto"/>
        <w:spacing w:line="240" w:lineRule="auto"/>
        <w:ind w:left="3894" w:right="9" w:hanging="1840"/>
      </w:pPr>
      <w:r>
        <w:t xml:space="preserve">Touto smlouvou Prodávající výslovně </w:t>
      </w:r>
      <w:r>
        <w:t>prohlašuje, že dřevní surovina, která</w:t>
      </w:r>
      <w:r>
        <w:br/>
        <w:t>je předmětem této smlouvy:</w:t>
      </w:r>
    </w:p>
    <w:p w:rsidR="00D01F61" w:rsidRDefault="006776CF">
      <w:pPr>
        <w:pStyle w:val="Zkladntext1"/>
        <w:framePr w:w="8731" w:h="5563" w:hRule="exact" w:wrap="none" w:vAnchor="page" w:hAnchor="page" w:x="1394" w:y="7871"/>
        <w:numPr>
          <w:ilvl w:val="0"/>
          <w:numId w:val="2"/>
        </w:numPr>
        <w:shd w:val="clear" w:color="auto" w:fill="auto"/>
        <w:tabs>
          <w:tab w:val="left" w:pos="2523"/>
        </w:tabs>
        <w:spacing w:line="240" w:lineRule="auto"/>
        <w:ind w:left="2060" w:right="9" w:firstLine="200"/>
      </w:pPr>
      <w:r>
        <w:t>nepochází z kontroverzního zdroje, tedy nepochází z nelegální těžby</w:t>
      </w:r>
      <w:r>
        <w:br/>
        <w:t>(dle zákona 226/2013 Sb.), jako např. z těžby v lesních oblastech s těžbou</w:t>
      </w:r>
      <w:r>
        <w:br/>
        <w:t>přísně zakázanou zákonem, nebo kde je plánován z</w:t>
      </w:r>
      <w:r>
        <w:t>ákonný zákaz těžby (viz</w:t>
      </w:r>
      <w:r>
        <w:br/>
        <w:t>standard CFCS 2002:2020 a její novely)</w:t>
      </w:r>
    </w:p>
    <w:p w:rsidR="00D01F61" w:rsidRDefault="006776CF">
      <w:pPr>
        <w:pStyle w:val="Zkladntext1"/>
        <w:framePr w:w="8731" w:h="5563" w:hRule="exact" w:wrap="none" w:vAnchor="page" w:hAnchor="page" w:x="1394" w:y="7871"/>
        <w:numPr>
          <w:ilvl w:val="0"/>
          <w:numId w:val="2"/>
        </w:numPr>
        <w:shd w:val="clear" w:color="auto" w:fill="auto"/>
        <w:tabs>
          <w:tab w:val="left" w:pos="2544"/>
        </w:tabs>
        <w:spacing w:line="240" w:lineRule="auto"/>
        <w:ind w:left="2240" w:right="9"/>
      </w:pPr>
      <w:r>
        <w:t>není zatížena žádnými břemeny, či právy třetích osob a byla vytěžena a</w:t>
      </w:r>
    </w:p>
    <w:p w:rsidR="00D01F61" w:rsidRDefault="006776CF">
      <w:pPr>
        <w:pStyle w:val="Zkladntext1"/>
        <w:framePr w:w="8731" w:h="5563" w:hRule="exact" w:wrap="none" w:vAnchor="page" w:hAnchor="page" w:x="1394" w:y="7871"/>
        <w:shd w:val="clear" w:color="auto" w:fill="auto"/>
        <w:tabs>
          <w:tab w:val="left" w:leader="dot" w:pos="8353"/>
        </w:tabs>
        <w:spacing w:line="240" w:lineRule="auto"/>
        <w:ind w:left="2060" w:right="9"/>
      </w:pPr>
      <w:r>
        <w:t>získána výhradně na území (regionu) ČR. popř. v:</w:t>
      </w:r>
      <w:r>
        <w:tab/>
      </w:r>
    </w:p>
    <w:p w:rsidR="00D01F61" w:rsidRDefault="006776CF">
      <w:pPr>
        <w:pStyle w:val="Zkladntext1"/>
        <w:framePr w:w="8731" w:h="5563" w:hRule="exact" w:wrap="none" w:vAnchor="page" w:hAnchor="page" w:x="1394" w:y="7871"/>
        <w:shd w:val="clear" w:color="auto" w:fill="auto"/>
        <w:spacing w:line="240" w:lineRule="auto"/>
        <w:ind w:left="2060" w:right="9"/>
      </w:pPr>
      <w:r>
        <w:t>v souladu s platnými právními předpisy</w:t>
      </w:r>
    </w:p>
    <w:p w:rsidR="00D01F61" w:rsidRDefault="006776CF">
      <w:pPr>
        <w:pStyle w:val="Zkladntext1"/>
        <w:framePr w:w="8731" w:h="5563" w:hRule="exact" w:wrap="none" w:vAnchor="page" w:hAnchor="page" w:x="1394" w:y="7871"/>
        <w:numPr>
          <w:ilvl w:val="0"/>
          <w:numId w:val="2"/>
        </w:numPr>
        <w:shd w:val="clear" w:color="auto" w:fill="auto"/>
        <w:tabs>
          <w:tab w:val="left" w:pos="2544"/>
        </w:tabs>
        <w:spacing w:line="240" w:lineRule="auto"/>
        <w:ind w:left="2240" w:right="9"/>
      </w:pPr>
      <w:r>
        <w:t>Prodávající dále prohlašuje, že:</w:t>
      </w:r>
    </w:p>
    <w:p w:rsidR="00D01F61" w:rsidRDefault="006776CF">
      <w:pPr>
        <w:pStyle w:val="Zkladntext1"/>
        <w:framePr w:w="8731" w:h="5563" w:hRule="exact" w:wrap="none" w:vAnchor="page" w:hAnchor="page" w:x="1394" w:y="7871"/>
        <w:shd w:val="clear" w:color="auto" w:fill="auto"/>
        <w:spacing w:line="240" w:lineRule="auto"/>
        <w:ind w:left="2060" w:right="9" w:firstLine="40"/>
      </w:pPr>
      <w:r>
        <w:t>pokud bude dodávka vyhodnocena jako nespecifikovaného (neznámého,</w:t>
      </w:r>
      <w:r>
        <w:br/>
        <w:t>resp. významného) rizika, tak zabezpečí potřebné informace k identifikaci</w:t>
      </w:r>
      <w:r>
        <w:br/>
        <w:t>místa původu dřevní suroviny a celého dodavatelského řetězce, který se</w:t>
      </w:r>
      <w:r>
        <w:br/>
        <w:t>vztahuje k dodávce a umožní kupujícímu vykona</w:t>
      </w:r>
      <w:r>
        <w:t>t kontrolu činnosti</w:t>
      </w:r>
      <w:r>
        <w:br/>
        <w:t>prodávajícího druhou nebo třetí stranou jako i činnosti předchozích</w:t>
      </w:r>
      <w:r>
        <w:br/>
        <w:t>dodavatelů v řetězci.</w:t>
      </w:r>
    </w:p>
    <w:p w:rsidR="00D01F61" w:rsidRDefault="006776CF">
      <w:pPr>
        <w:pStyle w:val="Zkladntext1"/>
        <w:framePr w:w="8731" w:h="5563" w:hRule="exact" w:wrap="none" w:vAnchor="page" w:hAnchor="page" w:x="1394" w:y="7871"/>
        <w:shd w:val="clear" w:color="auto" w:fill="auto"/>
        <w:spacing w:line="240" w:lineRule="auto"/>
        <w:ind w:left="2060" w:right="9" w:firstLine="40"/>
      </w:pPr>
      <w:r>
        <w:t>bude informovat kupujícího o jakýchkoliv změnách v oblasti zdroje dřeva</w:t>
      </w:r>
      <w:r>
        <w:br/>
        <w:t>(za účelem včasného doplnění informací o původu dříví)</w:t>
      </w:r>
    </w:p>
    <w:p w:rsidR="00D01F61" w:rsidRDefault="006776CF">
      <w:pPr>
        <w:pStyle w:val="Zkladntext1"/>
        <w:framePr w:w="8731" w:h="5563" w:hRule="exact" w:wrap="none" w:vAnchor="page" w:hAnchor="page" w:x="1394" w:y="7871"/>
        <w:numPr>
          <w:ilvl w:val="0"/>
          <w:numId w:val="2"/>
        </w:numPr>
        <w:shd w:val="clear" w:color="auto" w:fill="auto"/>
        <w:tabs>
          <w:tab w:val="left" w:pos="2369"/>
        </w:tabs>
        <w:spacing w:line="240" w:lineRule="auto"/>
        <w:ind w:left="2060" w:right="9" w:firstLine="40"/>
      </w:pPr>
      <w:r>
        <w:t>Prodávající bude uv</w:t>
      </w:r>
      <w:r>
        <w:t>ádět na dodacích listech (prodejní dokumentaci) místo</w:t>
      </w:r>
      <w:r>
        <w:br/>
        <w:t>původu dříví (LHC)</w:t>
      </w:r>
    </w:p>
    <w:p w:rsidR="00D01F61" w:rsidRDefault="006776CF">
      <w:pPr>
        <w:pStyle w:val="Zkladntext1"/>
        <w:framePr w:w="8731" w:h="5563" w:hRule="exact" w:wrap="none" w:vAnchor="page" w:hAnchor="page" w:x="1394" w:y="7871"/>
        <w:numPr>
          <w:ilvl w:val="0"/>
          <w:numId w:val="2"/>
        </w:numPr>
        <w:shd w:val="clear" w:color="auto" w:fill="auto"/>
        <w:tabs>
          <w:tab w:val="left" w:pos="2369"/>
        </w:tabs>
        <w:spacing w:line="240" w:lineRule="auto"/>
        <w:ind w:left="2060" w:right="9" w:firstLine="40"/>
      </w:pPr>
      <w:r>
        <w:t>Po nabytí účinnosti EUDR (nařízení Evropského parlamentu a Rady (EU)</w:t>
      </w:r>
      <w:r>
        <w:br/>
        <w:t>2023/1115 ze dne 31. května 2023, dále jen „Nařízení EU proti odlesňování“</w:t>
      </w:r>
      <w:r>
        <w:br/>
        <w:t>s předpokládanou platností od 1.1.2025)</w:t>
      </w:r>
      <w:r>
        <w:t xml:space="preserve"> má Prodávající povinnost dodat vše</w:t>
      </w:r>
      <w:r>
        <w:br/>
        <w:t>potřebné k uvádění domácí produkce dříví na trh vlastníkem lesa.</w:t>
      </w:r>
    </w:p>
    <w:p w:rsidR="00D01F61" w:rsidRDefault="00D01F61">
      <w:pPr>
        <w:pStyle w:val="Zkladntext20"/>
        <w:framePr w:w="1541" w:h="792" w:hRule="exact" w:wrap="none" w:vAnchor="page" w:hAnchor="page" w:x="8517" w:y="13535"/>
        <w:shd w:val="clear" w:color="auto" w:fill="auto"/>
        <w:spacing w:line="264" w:lineRule="auto"/>
        <w:ind w:right="5"/>
        <w:rPr>
          <w:sz w:val="15"/>
          <w:szCs w:val="15"/>
        </w:rPr>
      </w:pPr>
    </w:p>
    <w:p w:rsidR="00D01F61" w:rsidRDefault="00D01F61">
      <w:pPr>
        <w:pStyle w:val="Zkladntext1"/>
        <w:framePr w:wrap="none" w:vAnchor="page" w:hAnchor="page" w:x="3688" w:y="13838"/>
        <w:shd w:val="clear" w:color="auto" w:fill="auto"/>
        <w:spacing w:line="240" w:lineRule="auto"/>
      </w:pPr>
      <w:bookmarkStart w:id="12" w:name="_GoBack"/>
      <w:bookmarkEnd w:id="12"/>
    </w:p>
    <w:p w:rsidR="00D01F61" w:rsidRDefault="006776CF">
      <w:pPr>
        <w:pStyle w:val="Zkladntext1"/>
        <w:framePr w:wrap="none" w:vAnchor="page" w:hAnchor="page" w:x="1437" w:y="14356"/>
        <w:shd w:val="clear" w:color="auto" w:fill="auto"/>
        <w:spacing w:line="240" w:lineRule="auto"/>
      </w:pPr>
      <w:r>
        <w:t>Prodávající:</w:t>
      </w:r>
    </w:p>
    <w:p w:rsidR="00D01F61" w:rsidRDefault="00D01F61">
      <w:pPr>
        <w:framePr w:wrap="none" w:vAnchor="page" w:hAnchor="page" w:x="1797" w:y="14985"/>
        <w:rPr>
          <w:sz w:val="2"/>
          <w:szCs w:val="2"/>
        </w:rPr>
      </w:pPr>
    </w:p>
    <w:p w:rsidR="00D01F61" w:rsidRDefault="006776CF">
      <w:pPr>
        <w:pStyle w:val="Zkladntext1"/>
        <w:framePr w:w="2866" w:h="278" w:hRule="exact" w:wrap="none" w:vAnchor="page" w:hAnchor="page" w:x="6247" w:y="14342"/>
        <w:shd w:val="clear" w:color="auto" w:fill="auto"/>
        <w:spacing w:line="240" w:lineRule="auto"/>
        <w:jc w:val="center"/>
      </w:pPr>
      <w:r>
        <w:t>Dražebník: DEBLICE - lesy s.r.o.</w:t>
      </w:r>
    </w:p>
    <w:p w:rsidR="00D01F61" w:rsidRDefault="006776CF">
      <w:pPr>
        <w:pStyle w:val="Zkladntext1"/>
        <w:framePr w:w="2866" w:h="298" w:hRule="exact" w:wrap="none" w:vAnchor="page" w:hAnchor="page" w:x="6247" w:y="14807"/>
        <w:shd w:val="clear" w:color="auto" w:fill="auto"/>
        <w:spacing w:line="240" w:lineRule="auto"/>
        <w:jc w:val="center"/>
      </w:pPr>
      <w:r>
        <w:t>Ing. Martin Čížek</w:t>
      </w:r>
    </w:p>
    <w:p w:rsidR="00D01F61" w:rsidRDefault="006776CF">
      <w:pPr>
        <w:pStyle w:val="Zhlavnebozpat0"/>
        <w:framePr w:wrap="none" w:vAnchor="page" w:hAnchor="page" w:x="5714" w:y="16060"/>
        <w:shd w:val="clear" w:color="auto" w:fill="auto"/>
      </w:pPr>
      <w:r>
        <w:t>3/3</w:t>
      </w:r>
    </w:p>
    <w:p w:rsidR="00D01F61" w:rsidRDefault="00D01F61">
      <w:pPr>
        <w:spacing w:line="1" w:lineRule="exact"/>
      </w:pPr>
    </w:p>
    <w:sectPr w:rsidR="00D01F6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6CF" w:rsidRDefault="006776CF">
      <w:r>
        <w:separator/>
      </w:r>
    </w:p>
  </w:endnote>
  <w:endnote w:type="continuationSeparator" w:id="0">
    <w:p w:rsidR="006776CF" w:rsidRDefault="0067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6CF" w:rsidRDefault="006776CF"/>
  </w:footnote>
  <w:footnote w:type="continuationSeparator" w:id="0">
    <w:p w:rsidR="006776CF" w:rsidRDefault="006776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E6F69"/>
    <w:multiLevelType w:val="multilevel"/>
    <w:tmpl w:val="D444F6E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E555E9"/>
    <w:multiLevelType w:val="multilevel"/>
    <w:tmpl w:val="1B4CAD9A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61"/>
    <w:rsid w:val="006776CF"/>
    <w:rsid w:val="00D01F61"/>
    <w:rsid w:val="00E5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D73BD-02D6-4354-902E-9FBF2B79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0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06" w:lineRule="auto"/>
      <w:ind w:firstLine="300"/>
      <w:outlineLvl w:val="1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12"/>
      <w:szCs w:val="1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76" w:lineRule="auto"/>
      <w:ind w:left="2560" w:firstLine="2920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cizek@debliceles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1032</Words>
  <Characters>6092</Characters>
  <Application>Microsoft Office Word</Application>
  <DocSecurity>0</DocSecurity>
  <Lines>50</Lines>
  <Paragraphs>14</Paragraphs>
  <ScaleCrop>false</ScaleCrop>
  <Company/>
  <LinksUpToDate>false</LinksUpToDate>
  <CharactersWithSpaces>7110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2025-02-12T09:28:00Z</dcterms:created>
  <dcterms:modified xsi:type="dcterms:W3CDTF">2025-02-12T09:28:00Z</dcterms:modified>
</cp:coreProperties>
</file>