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7221300628</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0"/>
        <w:rPr>
          <w:sz w:val="39"/>
        </w:rPr>
      </w:pPr>
    </w:p>
    <w:p>
      <w:pPr>
        <w:pStyle w:val="BodyText"/>
        <w:spacing w:before="1"/>
        <w:ind w:left="102"/>
      </w:pPr>
      <w:r>
        <w:rPr/>
        <w:t>Smluvní</w:t>
      </w:r>
      <w:r>
        <w:rPr>
          <w:spacing w:val="-12"/>
        </w:rPr>
        <w:t> </w:t>
      </w:r>
      <w:r>
        <w:rPr>
          <w:spacing w:val="-2"/>
        </w:rPr>
        <w:t>strany</w:t>
      </w:r>
    </w:p>
    <w:p>
      <w:pPr>
        <w:pStyle w:val="BodyText"/>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
      </w:pPr>
    </w:p>
    <w:p>
      <w:pPr>
        <w:pStyle w:val="BodyText"/>
        <w:ind w:left="102"/>
      </w:pPr>
      <w:r>
        <w:rPr>
          <w:w w:val="99"/>
        </w:rPr>
        <w:t>a</w:t>
      </w:r>
    </w:p>
    <w:p>
      <w:pPr>
        <w:pStyle w:val="BodyText"/>
        <w:spacing w:before="12"/>
        <w:rPr>
          <w:sz w:val="19"/>
        </w:rPr>
      </w:pPr>
    </w:p>
    <w:p>
      <w:pPr>
        <w:pStyle w:val="Heading2"/>
        <w:ind w:left="102"/>
        <w:jc w:val="left"/>
      </w:pPr>
      <w:r>
        <w:rPr/>
        <w:t>obec</w:t>
      </w:r>
      <w:r>
        <w:rPr>
          <w:spacing w:val="-4"/>
        </w:rPr>
        <w:t> </w:t>
      </w:r>
      <w:r>
        <w:rPr>
          <w:spacing w:val="-2"/>
        </w:rPr>
        <w:t>Chocerady</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5"/>
        </w:rPr>
        <w:t> </w:t>
      </w:r>
      <w:r>
        <w:rPr/>
        <w:t>Chocerady,</w:t>
      </w:r>
      <w:r>
        <w:rPr>
          <w:spacing w:val="-3"/>
        </w:rPr>
        <w:t> </w:t>
      </w:r>
      <w:r>
        <w:rPr/>
        <w:t>č.p.</w:t>
      </w:r>
      <w:r>
        <w:rPr>
          <w:spacing w:val="-5"/>
        </w:rPr>
        <w:t> </w:t>
      </w:r>
      <w:r>
        <w:rPr/>
        <w:t>267,</w:t>
      </w:r>
      <w:r>
        <w:rPr>
          <w:spacing w:val="-5"/>
        </w:rPr>
        <w:t> </w:t>
      </w:r>
      <w:r>
        <w:rPr/>
        <w:t>257</w:t>
      </w:r>
      <w:r>
        <w:rPr>
          <w:spacing w:val="-2"/>
        </w:rPr>
        <w:t> </w:t>
      </w:r>
      <w:r>
        <w:rPr/>
        <w:t>24</w:t>
      </w:r>
      <w:r>
        <w:rPr>
          <w:spacing w:val="-5"/>
        </w:rPr>
        <w:t> </w:t>
      </w:r>
      <w:r>
        <w:rPr>
          <w:spacing w:val="-2"/>
        </w:rPr>
        <w:t>Chocerady</w:t>
      </w:r>
    </w:p>
    <w:p>
      <w:pPr>
        <w:pStyle w:val="BodyText"/>
        <w:tabs>
          <w:tab w:pos="2982" w:val="left" w:leader="none"/>
        </w:tabs>
        <w:ind w:left="102"/>
      </w:pPr>
      <w:r>
        <w:rPr>
          <w:spacing w:val="-4"/>
        </w:rPr>
        <w:t>IČO:</w:t>
      </w:r>
      <w:r>
        <w:rPr/>
        <w:tab/>
      </w:r>
      <w:r>
        <w:rPr>
          <w:spacing w:val="-2"/>
        </w:rPr>
        <w:t>00231860</w:t>
      </w:r>
    </w:p>
    <w:p>
      <w:pPr>
        <w:pStyle w:val="BodyText"/>
        <w:tabs>
          <w:tab w:pos="2982" w:val="left" w:leader="none"/>
        </w:tabs>
        <w:spacing w:before="1"/>
        <w:ind w:left="102"/>
      </w:pPr>
      <w:r>
        <w:rPr>
          <w:spacing w:val="-2"/>
        </w:rPr>
        <w:t>zastoupená:</w:t>
      </w:r>
      <w:r>
        <w:rPr/>
        <w:tab/>
        <w:t>Martinem</w:t>
      </w:r>
      <w:r>
        <w:rPr>
          <w:spacing w:val="-2"/>
        </w:rPr>
        <w:t> </w:t>
      </w:r>
      <w:r>
        <w:rPr/>
        <w:t>K</w:t>
      </w:r>
      <w:r>
        <w:rPr>
          <w:spacing w:val="-3"/>
        </w:rPr>
        <w:t> </w:t>
      </w:r>
      <w:r>
        <w:rPr/>
        <w:t>ů</w:t>
      </w:r>
      <w:r>
        <w:rPr>
          <w:spacing w:val="-2"/>
        </w:rPr>
        <w:t> </w:t>
      </w:r>
      <w:r>
        <w:rPr/>
        <w:t>r</w:t>
      </w:r>
      <w:r>
        <w:rPr>
          <w:spacing w:val="-3"/>
        </w:rPr>
        <w:t> </w:t>
      </w:r>
      <w:r>
        <w:rPr/>
        <w:t>k</w:t>
      </w:r>
      <w:r>
        <w:rPr>
          <w:spacing w:val="-4"/>
        </w:rPr>
        <w:t> </w:t>
      </w:r>
      <w:r>
        <w:rPr/>
        <w:t>o</w:t>
      </w:r>
      <w:r>
        <w:rPr>
          <w:spacing w:val="-1"/>
        </w:rPr>
        <w:t> </w:t>
      </w:r>
      <w:r>
        <w:rPr/>
        <w:t>u,</w:t>
      </w:r>
      <w:r>
        <w:rPr>
          <w:spacing w:val="-3"/>
        </w:rPr>
        <w:t> </w:t>
      </w:r>
      <w:r>
        <w:rPr>
          <w:spacing w:val="-2"/>
        </w:rPr>
        <w:t>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5613121/0710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spacing w:before="1"/>
        <w:ind w:right="1060"/>
      </w:pPr>
      <w:r>
        <w:rPr/>
        <w:t>Předmět</w:t>
      </w:r>
      <w:r>
        <w:rPr>
          <w:spacing w:val="-12"/>
        </w:rPr>
        <w:t> </w:t>
      </w:r>
      <w:r>
        <w:rPr>
          <w:spacing w:val="-2"/>
        </w:rPr>
        <w:t>smlouvy</w:t>
      </w:r>
    </w:p>
    <w:p>
      <w:pPr>
        <w:pStyle w:val="BodyText"/>
        <w:spacing w:before="11"/>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7"/>
        <w:jc w:val="both"/>
      </w:pPr>
      <w:r>
        <w:rPr/>
        <w:t>„Smlouva“) se uzavírá na základě Rozhodnutí ministra životního prostředí č. 7221300628 o poskytnutí finančních prostředků ze Státního fondu životního prostředí ČR ze dne 22. 11. 2023 a jeho změnou č. 1 ze</w:t>
      </w:r>
      <w:r>
        <w:rPr>
          <w:spacing w:val="28"/>
        </w:rPr>
        <w:t> </w:t>
      </w:r>
      <w:r>
        <w:rPr/>
        <w:t>dne</w:t>
      </w:r>
      <w:r>
        <w:rPr>
          <w:spacing w:val="28"/>
        </w:rPr>
        <w:t> </w:t>
      </w:r>
      <w:r>
        <w:rPr/>
        <w:t>19.</w:t>
      </w:r>
      <w:r>
        <w:rPr>
          <w:spacing w:val="29"/>
        </w:rPr>
        <w:t> </w:t>
      </w:r>
      <w:r>
        <w:rPr/>
        <w:t>11.</w:t>
      </w:r>
      <w:r>
        <w:rPr>
          <w:spacing w:val="29"/>
        </w:rPr>
        <w:t> </w:t>
      </w:r>
      <w:r>
        <w:rPr/>
        <w:t>2024</w:t>
      </w:r>
      <w:r>
        <w:rPr>
          <w:spacing w:val="30"/>
        </w:rPr>
        <w:t> </w:t>
      </w:r>
      <w:r>
        <w:rPr/>
        <w:t>v</w:t>
      </w:r>
      <w:r>
        <w:rPr>
          <w:spacing w:val="-3"/>
        </w:rPr>
        <w:t> </w:t>
      </w:r>
      <w:r>
        <w:rPr/>
        <w:t>rámci</w:t>
      </w:r>
      <w:r>
        <w:rPr>
          <w:spacing w:val="29"/>
        </w:rPr>
        <w:t> </w:t>
      </w:r>
      <w:r>
        <w:rPr/>
        <w:t>Programu</w:t>
      </w:r>
      <w:r>
        <w:rPr>
          <w:spacing w:val="29"/>
        </w:rPr>
        <w:t> </w:t>
      </w:r>
      <w:r>
        <w:rPr/>
        <w:t>financovaného</w:t>
      </w:r>
      <w:r>
        <w:rPr>
          <w:spacing w:val="30"/>
        </w:rPr>
        <w:t> </w:t>
      </w:r>
      <w:r>
        <w:rPr/>
        <w:t>z</w:t>
      </w:r>
      <w:r>
        <w:rPr>
          <w:spacing w:val="-1"/>
        </w:rPr>
        <w:t> </w:t>
      </w:r>
      <w:r>
        <w:rPr/>
        <w:t>prostředků</w:t>
      </w:r>
      <w:r>
        <w:rPr>
          <w:spacing w:val="29"/>
        </w:rPr>
        <w:t> </w:t>
      </w:r>
      <w:r>
        <w:rPr/>
        <w:t>Modernizačního</w:t>
      </w:r>
      <w:r>
        <w:rPr>
          <w:spacing w:val="30"/>
        </w:rPr>
        <w:t> </w:t>
      </w:r>
      <w:r>
        <w:rPr/>
        <w:t>fondu</w:t>
      </w:r>
      <w:r>
        <w:rPr>
          <w:spacing w:val="29"/>
        </w:rPr>
        <w:t> </w:t>
      </w:r>
      <w:r>
        <w:rPr/>
        <w:t>(dále</w:t>
      </w:r>
      <w:r>
        <w:rPr>
          <w:spacing w:val="28"/>
        </w:rPr>
        <w:t> </w:t>
      </w:r>
      <w:r>
        <w:rPr>
          <w:spacing w:val="-5"/>
        </w:rPr>
        <w:t>jen</w:t>
      </w:r>
    </w:p>
    <w:p>
      <w:pPr>
        <w:pStyle w:val="BodyText"/>
        <w:spacing w:before="1"/>
        <w:ind w:left="385"/>
      </w:pPr>
      <w:r>
        <w:rPr>
          <w:spacing w:val="-2"/>
        </w:rPr>
        <w:t>„Rozhodnutí“).</w:t>
      </w:r>
    </w:p>
    <w:p>
      <w:pPr>
        <w:pStyle w:val="ListParagraph"/>
        <w:numPr>
          <w:ilvl w:val="0"/>
          <w:numId w:val="1"/>
        </w:numPr>
        <w:tabs>
          <w:tab w:pos="386" w:val="left" w:leader="none"/>
        </w:tabs>
        <w:spacing w:line="240" w:lineRule="auto" w:before="118"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2"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407"/>
        <w:jc w:val="both"/>
      </w:pPr>
      <w:r>
        <w:rPr/>
        <w:t>„Komunální</w:t>
      </w:r>
      <w:r>
        <w:rPr>
          <w:spacing w:val="-7"/>
        </w:rPr>
        <w:t> </w:t>
      </w:r>
      <w:r>
        <w:rPr/>
        <w:t>FVE</w:t>
      </w:r>
      <w:r>
        <w:rPr>
          <w:spacing w:val="-6"/>
        </w:rPr>
        <w:t> </w:t>
      </w:r>
      <w:r>
        <w:rPr/>
        <w:t>-</w:t>
      </w:r>
      <w:r>
        <w:rPr>
          <w:spacing w:val="-6"/>
        </w:rPr>
        <w:t> </w:t>
      </w:r>
      <w:r>
        <w:rPr>
          <w:spacing w:val="-2"/>
        </w:rPr>
        <w:t>Chocerady“</w:t>
      </w:r>
    </w:p>
    <w:p>
      <w:pPr>
        <w:pStyle w:val="BodyText"/>
        <w:spacing w:before="120"/>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348</w:t>
      </w:r>
      <w:r>
        <w:rPr>
          <w:b/>
          <w:spacing w:val="-1"/>
          <w:sz w:val="20"/>
        </w:rPr>
        <w:t> </w:t>
      </w:r>
      <w:r>
        <w:rPr>
          <w:b/>
          <w:sz w:val="20"/>
        </w:rPr>
        <w:t>433,18 Kč </w:t>
      </w:r>
      <w:r>
        <w:rPr>
          <w:sz w:val="20"/>
        </w:rPr>
        <w:t>(slovy: jeden milion tři sta čtyřicet osm tisíc čtyři sta třicet tři korun českých a osmnáct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1 905 208,06 Kč.</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spacing w:before="11"/>
        <w:rPr>
          <w:sz w:val="19"/>
        </w:rPr>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18"/>
          <w:sz w:val="20"/>
        </w:rPr>
        <w:t> </w:t>
      </w:r>
      <w:r>
        <w:rPr>
          <w:sz w:val="20"/>
        </w:rPr>
        <w:t>o</w:t>
      </w:r>
      <w:r>
        <w:rPr>
          <w:spacing w:val="-1"/>
          <w:sz w:val="20"/>
        </w:rPr>
        <w:t> </w:t>
      </w:r>
      <w:r>
        <w:rPr>
          <w:sz w:val="20"/>
        </w:rPr>
        <w:t>započtení</w:t>
      </w:r>
      <w:r>
        <w:rPr>
          <w:spacing w:val="17"/>
          <w:sz w:val="20"/>
        </w:rPr>
        <w:t> </w:t>
      </w:r>
      <w:r>
        <w:rPr>
          <w:sz w:val="20"/>
        </w:rPr>
        <w:t>vzájemných</w:t>
      </w:r>
      <w:r>
        <w:rPr>
          <w:spacing w:val="17"/>
          <w:sz w:val="20"/>
        </w:rPr>
        <w:t> </w:t>
      </w:r>
      <w:r>
        <w:rPr>
          <w:sz w:val="20"/>
        </w:rPr>
        <w:t>plnění</w:t>
      </w:r>
      <w:r>
        <w:rPr>
          <w:spacing w:val="19"/>
          <w:sz w:val="20"/>
        </w:rPr>
        <w:t> </w:t>
      </w:r>
      <w:r>
        <w:rPr>
          <w:sz w:val="20"/>
        </w:rPr>
        <w:t>stejného</w:t>
      </w:r>
      <w:r>
        <w:rPr>
          <w:spacing w:val="18"/>
          <w:sz w:val="20"/>
        </w:rPr>
        <w:t> </w:t>
      </w:r>
      <w:r>
        <w:rPr>
          <w:sz w:val="20"/>
        </w:rPr>
        <w:t>druhu</w:t>
      </w:r>
      <w:r>
        <w:rPr>
          <w:spacing w:val="20"/>
          <w:sz w:val="20"/>
        </w:rPr>
        <w:t> </w:t>
      </w:r>
      <w:r>
        <w:rPr>
          <w:sz w:val="20"/>
        </w:rPr>
        <w:t>(pohledávek</w:t>
      </w:r>
      <w:r>
        <w:rPr>
          <w:spacing w:val="19"/>
          <w:sz w:val="20"/>
        </w:rPr>
        <w:t> </w:t>
      </w:r>
      <w:r>
        <w:rPr>
          <w:sz w:val="20"/>
        </w:rPr>
        <w:t>a</w:t>
      </w:r>
      <w:r>
        <w:rPr>
          <w:spacing w:val="24"/>
          <w:sz w:val="20"/>
        </w:rPr>
        <w:t> </w:t>
      </w:r>
      <w:r>
        <w:rPr>
          <w:sz w:val="20"/>
        </w:rPr>
        <w:t>závazků)</w:t>
      </w:r>
      <w:r>
        <w:rPr>
          <w:spacing w:val="17"/>
          <w:sz w:val="20"/>
        </w:rPr>
        <w:t> </w:t>
      </w:r>
      <w:r>
        <w:rPr>
          <w:sz w:val="20"/>
        </w:rPr>
        <w:t>vzniklých</w:t>
      </w:r>
      <w:r>
        <w:rPr>
          <w:spacing w:val="19"/>
          <w:sz w:val="20"/>
        </w:rPr>
        <w:t> </w:t>
      </w:r>
      <w:r>
        <w:rPr>
          <w:sz w:val="20"/>
        </w:rPr>
        <w:t>na</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0"/>
        <w:jc w:val="both"/>
      </w:pPr>
      <w:r>
        <w:rPr/>
        <w:t>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w:t>
      </w:r>
      <w:r>
        <w:rPr>
          <w:spacing w:val="-1"/>
        </w:rPr>
        <w:t> </w:t>
      </w:r>
      <w:r>
        <w:rPr/>
        <w:t>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6"/>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37" w:lineRule="auto" w:before="122" w:after="0"/>
        <w:ind w:left="742" w:right="111" w:hanging="358"/>
        <w:jc w:val="left"/>
        <w:rPr>
          <w:sz w:val="20"/>
        </w:rPr>
      </w:pPr>
      <w:r>
        <w:rPr>
          <w:sz w:val="20"/>
        </w:rPr>
        <w:t>splní</w:t>
      </w:r>
      <w:r>
        <w:rPr>
          <w:spacing w:val="31"/>
          <w:sz w:val="20"/>
        </w:rPr>
        <w:t> </w:t>
      </w:r>
      <w:r>
        <w:rPr>
          <w:sz w:val="20"/>
        </w:rPr>
        <w:t>účel</w:t>
      </w:r>
      <w:r>
        <w:rPr>
          <w:spacing w:val="32"/>
          <w:sz w:val="20"/>
        </w:rPr>
        <w:t> </w:t>
      </w:r>
      <w:r>
        <w:rPr>
          <w:sz w:val="20"/>
        </w:rPr>
        <w:t>akce</w:t>
      </w:r>
      <w:r>
        <w:rPr>
          <w:spacing w:val="31"/>
          <w:sz w:val="20"/>
        </w:rPr>
        <w:t> </w:t>
      </w:r>
      <w:r>
        <w:rPr>
          <w:sz w:val="20"/>
        </w:rPr>
        <w:t>„Komunální</w:t>
      </w:r>
      <w:r>
        <w:rPr>
          <w:spacing w:val="32"/>
          <w:sz w:val="20"/>
        </w:rPr>
        <w:t> </w:t>
      </w:r>
      <w:r>
        <w:rPr>
          <w:sz w:val="20"/>
        </w:rPr>
        <w:t>FVE</w:t>
      </w:r>
      <w:r>
        <w:rPr>
          <w:spacing w:val="34"/>
          <w:sz w:val="20"/>
        </w:rPr>
        <w:t> </w:t>
      </w:r>
      <w:r>
        <w:rPr>
          <w:sz w:val="20"/>
        </w:rPr>
        <w:t>-</w:t>
      </w:r>
      <w:r>
        <w:rPr>
          <w:spacing w:val="32"/>
          <w:sz w:val="20"/>
        </w:rPr>
        <w:t> </w:t>
      </w:r>
      <w:r>
        <w:rPr>
          <w:sz w:val="20"/>
        </w:rPr>
        <w:t>Chocerady“</w:t>
      </w:r>
      <w:r>
        <w:rPr>
          <w:spacing w:val="31"/>
          <w:sz w:val="20"/>
        </w:rPr>
        <w:t> </w:t>
      </w:r>
      <w:r>
        <w:rPr>
          <w:sz w:val="20"/>
        </w:rPr>
        <w:t>tím,</w:t>
      </w:r>
      <w:r>
        <w:rPr>
          <w:spacing w:val="32"/>
          <w:sz w:val="20"/>
        </w:rPr>
        <w:t> </w:t>
      </w:r>
      <w:r>
        <w:rPr>
          <w:sz w:val="20"/>
        </w:rPr>
        <w:t>že</w:t>
      </w:r>
      <w:r>
        <w:rPr>
          <w:spacing w:val="31"/>
          <w:sz w:val="20"/>
        </w:rPr>
        <w:t> </w:t>
      </w:r>
      <w:r>
        <w:rPr>
          <w:sz w:val="20"/>
        </w:rPr>
        <w:t>akce</w:t>
      </w:r>
      <w:r>
        <w:rPr>
          <w:spacing w:val="31"/>
          <w:sz w:val="20"/>
        </w:rPr>
        <w:t> </w:t>
      </w:r>
      <w:r>
        <w:rPr>
          <w:sz w:val="20"/>
        </w:rPr>
        <w:t>bude</w:t>
      </w:r>
      <w:r>
        <w:rPr>
          <w:spacing w:val="31"/>
          <w:sz w:val="20"/>
        </w:rPr>
        <w:t> </w:t>
      </w:r>
      <w:r>
        <w:rPr>
          <w:sz w:val="20"/>
        </w:rPr>
        <w:t>provedena</w:t>
      </w:r>
      <w:r>
        <w:rPr>
          <w:spacing w:val="31"/>
          <w:sz w:val="20"/>
        </w:rPr>
        <w:t> </w:t>
      </w:r>
      <w:r>
        <w:rPr>
          <w:sz w:val="20"/>
        </w:rPr>
        <w:t>v souladu</w:t>
      </w:r>
      <w:r>
        <w:rPr>
          <w:spacing w:val="32"/>
          <w:sz w:val="20"/>
        </w:rPr>
        <w:t> </w:t>
      </w:r>
      <w:r>
        <w:rPr>
          <w:sz w:val="20"/>
        </w:rPr>
        <w:t>s</w:t>
      </w:r>
      <w:r>
        <w:rPr>
          <w:spacing w:val="-2"/>
          <w:sz w:val="20"/>
        </w:rPr>
        <w:t> </w:t>
      </w:r>
      <w:r>
        <w:rPr>
          <w:sz w:val="20"/>
        </w:rPr>
        <w:t>Výzvou, žádostí o podporu a jejími přílohami a touto Smlouvou,</w:t>
      </w:r>
    </w:p>
    <w:p>
      <w:pPr>
        <w:pStyle w:val="ListParagraph"/>
        <w:numPr>
          <w:ilvl w:val="1"/>
          <w:numId w:val="4"/>
        </w:numPr>
        <w:tabs>
          <w:tab w:pos="743" w:val="left" w:leader="none"/>
        </w:tabs>
        <w:spacing w:line="240" w:lineRule="auto" w:before="122" w:after="0"/>
        <w:ind w:left="742" w:right="112" w:hanging="358"/>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 předpokládaným výkonem 49,5 kWp a instalací akumulace o kapacitě 40,6 kWh,</w:t>
      </w:r>
    </w:p>
    <w:p>
      <w:pPr>
        <w:pStyle w:val="ListParagraph"/>
        <w:numPr>
          <w:ilvl w:val="1"/>
          <w:numId w:val="4"/>
        </w:numPr>
        <w:tabs>
          <w:tab w:pos="745" w:val="left" w:leader="none"/>
          <w:tab w:pos="746" w:val="left" w:leader="none"/>
        </w:tabs>
        <w:spacing w:line="240" w:lineRule="auto" w:before="120" w:after="0"/>
        <w:ind w:left="745" w:right="114" w:hanging="360"/>
        <w:jc w:val="left"/>
        <w:rPr>
          <w:sz w:val="20"/>
        </w:rPr>
      </w:pPr>
      <w:r>
        <w:rPr>
          <w:sz w:val="20"/>
        </w:rPr>
        <w:t>k</w:t>
      </w:r>
      <w:r>
        <w:rPr>
          <w:spacing w:val="-4"/>
          <w:sz w:val="20"/>
        </w:rPr>
        <w:t> </w:t>
      </w:r>
      <w:r>
        <w:rPr>
          <w:sz w:val="20"/>
        </w:rPr>
        <w:t>termínu</w:t>
      </w:r>
      <w:r>
        <w:rPr>
          <w:spacing w:val="-6"/>
          <w:sz w:val="20"/>
        </w:rPr>
        <w:t> </w:t>
      </w:r>
      <w:r>
        <w:rPr>
          <w:sz w:val="20"/>
        </w:rPr>
        <w:t>pro</w:t>
      </w:r>
      <w:r>
        <w:rPr>
          <w:spacing w:val="-5"/>
          <w:sz w:val="20"/>
        </w:rPr>
        <w:t> </w:t>
      </w:r>
      <w:r>
        <w:rPr>
          <w:sz w:val="20"/>
        </w:rPr>
        <w:t>závěrečné</w:t>
      </w:r>
      <w:r>
        <w:rPr>
          <w:spacing w:val="-6"/>
          <w:sz w:val="20"/>
        </w:rPr>
        <w:t> </w:t>
      </w:r>
      <w:r>
        <w:rPr>
          <w:sz w:val="20"/>
        </w:rPr>
        <w:t>vyhodnocení</w:t>
      </w:r>
      <w:r>
        <w:rPr>
          <w:spacing w:val="-4"/>
          <w:sz w:val="20"/>
        </w:rPr>
        <w:t> </w:t>
      </w:r>
      <w:r>
        <w:rPr>
          <w:sz w:val="20"/>
        </w:rPr>
        <w:t>akce</w:t>
      </w:r>
      <w:r>
        <w:rPr>
          <w:spacing w:val="-6"/>
          <w:sz w:val="20"/>
        </w:rPr>
        <w:t> </w:t>
      </w:r>
      <w:r>
        <w:rPr>
          <w:sz w:val="20"/>
        </w:rPr>
        <w:t>(dále</w:t>
      </w:r>
      <w:r>
        <w:rPr>
          <w:spacing w:val="-6"/>
          <w:sz w:val="20"/>
        </w:rPr>
        <w:t> </w:t>
      </w:r>
      <w:r>
        <w:rPr>
          <w:sz w:val="20"/>
        </w:rPr>
        <w:t>jen</w:t>
      </w:r>
      <w:r>
        <w:rPr>
          <w:spacing w:val="-2"/>
          <w:sz w:val="20"/>
        </w:rPr>
        <w:t> </w:t>
      </w:r>
      <w:r>
        <w:rPr>
          <w:sz w:val="20"/>
        </w:rPr>
        <w:t>„ZVA“)</w:t>
      </w:r>
      <w:r>
        <w:rPr>
          <w:spacing w:val="-6"/>
          <w:sz w:val="20"/>
        </w:rPr>
        <w:t> </w:t>
      </w:r>
      <w:r>
        <w:rPr>
          <w:sz w:val="20"/>
        </w:rPr>
        <w:t>podle</w:t>
      </w:r>
      <w:r>
        <w:rPr>
          <w:spacing w:val="-6"/>
          <w:sz w:val="20"/>
        </w:rPr>
        <w:t> </w:t>
      </w:r>
      <w:r>
        <w:rPr>
          <w:sz w:val="20"/>
        </w:rPr>
        <w:t>písmene</w:t>
      </w:r>
      <w:r>
        <w:rPr>
          <w:spacing w:val="-6"/>
          <w:sz w:val="20"/>
        </w:rPr>
        <w:t> </w:t>
      </w:r>
      <w:r>
        <w:rPr>
          <w:sz w:val="20"/>
        </w:rPr>
        <w:t>f)</w:t>
      </w:r>
      <w:r>
        <w:rPr>
          <w:spacing w:val="-6"/>
          <w:sz w:val="20"/>
        </w:rPr>
        <w:t> </w:t>
      </w:r>
      <w:r>
        <w:rPr>
          <w:sz w:val="20"/>
        </w:rPr>
        <w:t>bude</w:t>
      </w:r>
      <w:r>
        <w:rPr>
          <w:spacing w:val="-4"/>
          <w:sz w:val="20"/>
        </w:rPr>
        <w:t> </w:t>
      </w:r>
      <w:r>
        <w:rPr>
          <w:sz w:val="20"/>
        </w:rPr>
        <w:t>projekt</w:t>
      </w:r>
      <w:r>
        <w:rPr>
          <w:spacing w:val="-6"/>
          <w:sz w:val="20"/>
        </w:rPr>
        <w:t> </w:t>
      </w:r>
      <w:r>
        <w:rPr>
          <w:sz w:val="20"/>
        </w:rPr>
        <w:t>plnit</w:t>
      </w:r>
      <w:r>
        <w:rPr>
          <w:spacing w:val="-6"/>
          <w:sz w:val="20"/>
        </w:rPr>
        <w:t> </w:t>
      </w:r>
      <w:r>
        <w:rPr>
          <w:sz w:val="20"/>
        </w:rPr>
        <w:t>tyto </w:t>
      </w:r>
      <w:r>
        <w:rPr>
          <w:spacing w:val="-2"/>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30" w:hRule="atLeast"/>
        </w:trPr>
        <w:tc>
          <w:tcPr>
            <w:tcW w:w="3951" w:type="dxa"/>
          </w:tcPr>
          <w:p>
            <w:pPr>
              <w:pStyle w:val="TableParagraph"/>
              <w:spacing w:line="265" w:lineRule="exact"/>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5"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4" w:type="dxa"/>
          </w:tcPr>
          <w:p>
            <w:pPr>
              <w:pStyle w:val="TableParagraph"/>
              <w:spacing w:before="120"/>
              <w:ind w:left="390"/>
              <w:rPr>
                <w:sz w:val="20"/>
              </w:rPr>
            </w:pPr>
            <w:r>
              <w:rPr>
                <w:spacing w:val="-5"/>
                <w:sz w:val="20"/>
              </w:rPr>
              <w:t>kWh</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40.60</w:t>
            </w:r>
          </w:p>
        </w:tc>
      </w:tr>
      <w:tr>
        <w:trPr>
          <w:trHeight w:val="505" w:hRule="atLeast"/>
        </w:trPr>
        <w:tc>
          <w:tcPr>
            <w:tcW w:w="395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2"/>
              <w:ind w:left="390"/>
              <w:rPr>
                <w:sz w:val="20"/>
              </w:rPr>
            </w:pPr>
            <w:r>
              <w:rPr>
                <w:spacing w:val="-5"/>
                <w:sz w:val="20"/>
              </w:rPr>
              <w:t>kWp</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49.50</w:t>
            </w:r>
          </w:p>
        </w:tc>
      </w:tr>
      <w:tr>
        <w:trPr>
          <w:trHeight w:val="505"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2"/>
              <w:ind w:left="0" w:right="374"/>
              <w:jc w:val="right"/>
              <w:rPr>
                <w:sz w:val="20"/>
              </w:rPr>
            </w:pPr>
            <w:r>
              <w:rPr>
                <w:sz w:val="20"/>
              </w:rPr>
              <w:t>t</w:t>
            </w:r>
            <w:r>
              <w:rPr>
                <w:spacing w:val="-2"/>
                <w:sz w:val="20"/>
              </w:rPr>
              <w:t> CO2/rok</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44.33</w:t>
            </w:r>
          </w:p>
        </w:tc>
      </w:tr>
      <w:tr>
        <w:trPr>
          <w:trHeight w:val="532" w:hRule="atLeast"/>
        </w:trPr>
        <w:tc>
          <w:tcPr>
            <w:tcW w:w="3951"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2"/>
              <w:ind w:left="0" w:right="398"/>
              <w:jc w:val="right"/>
              <w:rPr>
                <w:sz w:val="20"/>
              </w:rPr>
            </w:pPr>
            <w:r>
              <w:rPr>
                <w:spacing w:val="-2"/>
                <w:sz w:val="20"/>
              </w:rPr>
              <w:t>MWh/rok</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134.03</w:t>
            </w:r>
          </w:p>
        </w:tc>
      </w:tr>
      <w:tr>
        <w:trPr>
          <w:trHeight w:val="508" w:hRule="atLeast"/>
        </w:trPr>
        <w:tc>
          <w:tcPr>
            <w:tcW w:w="3951" w:type="dxa"/>
          </w:tcPr>
          <w:p>
            <w:pPr>
              <w:pStyle w:val="TableParagraph"/>
              <w:ind w:left="388"/>
              <w:rPr>
                <w:sz w:val="20"/>
              </w:rPr>
            </w:pPr>
            <w:r>
              <w:rPr>
                <w:sz w:val="20"/>
              </w:rPr>
              <w:t>Výroba</w:t>
            </w:r>
            <w:r>
              <w:rPr>
                <w:spacing w:val="-5"/>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2"/>
              <w:ind w:left="0" w:right="398"/>
              <w:jc w:val="right"/>
              <w:rPr>
                <w:sz w:val="20"/>
              </w:rPr>
            </w:pPr>
            <w:r>
              <w:rPr>
                <w:spacing w:val="-2"/>
                <w:sz w:val="20"/>
              </w:rPr>
              <w:t>MWh/rok</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51.88</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14"/>
          <w:sz w:val="20"/>
        </w:rPr>
        <w:t> </w:t>
      </w:r>
      <w:r>
        <w:rPr>
          <w:sz w:val="20"/>
        </w:rPr>
        <w:t>termín</w:t>
      </w:r>
      <w:r>
        <w:rPr>
          <w:spacing w:val="-14"/>
          <w:sz w:val="20"/>
        </w:rPr>
        <w:t> </w:t>
      </w:r>
      <w:r>
        <w:rPr>
          <w:sz w:val="20"/>
        </w:rPr>
        <w:t>ukončení</w:t>
      </w:r>
      <w:r>
        <w:rPr>
          <w:spacing w:val="-14"/>
          <w:sz w:val="20"/>
        </w:rPr>
        <w:t> </w:t>
      </w:r>
      <w:r>
        <w:rPr>
          <w:sz w:val="20"/>
        </w:rPr>
        <w:t>akce</w:t>
      </w:r>
      <w:r>
        <w:rPr>
          <w:spacing w:val="-13"/>
          <w:sz w:val="20"/>
        </w:rPr>
        <w:t> </w:t>
      </w:r>
      <w:r>
        <w:rPr>
          <w:sz w:val="20"/>
        </w:rPr>
        <w:t>se</w:t>
      </w:r>
      <w:r>
        <w:rPr>
          <w:spacing w:val="-14"/>
          <w:sz w:val="20"/>
        </w:rPr>
        <w:t> </w:t>
      </w:r>
      <w:r>
        <w:rPr>
          <w:sz w:val="20"/>
        </w:rPr>
        <w:t>považuje</w:t>
      </w:r>
      <w:r>
        <w:rPr>
          <w:spacing w:val="-14"/>
          <w:sz w:val="20"/>
        </w:rPr>
        <w:t> </w:t>
      </w:r>
      <w:r>
        <w:rPr>
          <w:sz w:val="20"/>
        </w:rPr>
        <w:t>datum</w:t>
      </w:r>
      <w:r>
        <w:rPr>
          <w:spacing w:val="-13"/>
          <w:sz w:val="20"/>
        </w:rPr>
        <w:t> </w:t>
      </w:r>
      <w:r>
        <w:rPr>
          <w:sz w:val="20"/>
        </w:rPr>
        <w:t>vydání</w:t>
      </w:r>
      <w:r>
        <w:rPr>
          <w:spacing w:val="-14"/>
          <w:sz w:val="20"/>
        </w:rPr>
        <w:t> </w:t>
      </w:r>
      <w:r>
        <w:rPr>
          <w:sz w:val="20"/>
        </w:rPr>
        <w:t>kolaudačního</w:t>
      </w:r>
      <w:r>
        <w:rPr>
          <w:spacing w:val="-14"/>
          <w:sz w:val="20"/>
        </w:rPr>
        <w:t> </w:t>
      </w:r>
      <w:r>
        <w:rPr>
          <w:sz w:val="20"/>
        </w:rPr>
        <w:t>souhlasu,</w:t>
      </w:r>
      <w:r>
        <w:rPr>
          <w:spacing w:val="-13"/>
          <w:sz w:val="20"/>
        </w:rPr>
        <w:t> </w:t>
      </w:r>
      <w:r>
        <w:rPr>
          <w:sz w:val="20"/>
        </w:rPr>
        <w:t>oznámení</w:t>
      </w:r>
      <w:r>
        <w:rPr>
          <w:spacing w:val="-14"/>
          <w:sz w:val="20"/>
        </w:rPr>
        <w:t> </w:t>
      </w:r>
      <w:r>
        <w:rPr>
          <w:sz w:val="20"/>
        </w:rPr>
        <w:t>o</w:t>
      </w:r>
      <w:r>
        <w:rPr>
          <w:spacing w:val="-14"/>
          <w:sz w:val="20"/>
        </w:rPr>
        <w:t> </w:t>
      </w:r>
      <w:r>
        <w:rPr>
          <w:sz w:val="20"/>
        </w:rPr>
        <w:t>užívání</w:t>
      </w:r>
      <w:r>
        <w:rPr>
          <w:spacing w:val="-14"/>
          <w:sz w:val="20"/>
        </w:rPr>
        <w:t> </w:t>
      </w:r>
      <w:r>
        <w:rPr>
          <w:sz w:val="20"/>
        </w:rPr>
        <w:t>podle příslušných ustanovení zákona č. 183/2006 Sb., o územním plánování a stavebním řádu (stavební zákon), ve znění pozdějších předpisů, nebo termín schválení 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7" w:hanging="360"/>
        <w:jc w:val="both"/>
        <w:rPr>
          <w:sz w:val="20"/>
        </w:rPr>
      </w:pPr>
      <w:r>
        <w:rPr>
          <w:sz w:val="20"/>
        </w:rPr>
        <w:t>předloží</w:t>
      </w:r>
      <w:r>
        <w:rPr>
          <w:spacing w:val="-4"/>
          <w:sz w:val="20"/>
        </w:rPr>
        <w:t> </w:t>
      </w:r>
      <w:r>
        <w:rPr>
          <w:sz w:val="20"/>
        </w:rPr>
        <w:t>Fondu</w:t>
      </w:r>
      <w:r>
        <w:rPr>
          <w:spacing w:val="-4"/>
          <w:sz w:val="20"/>
        </w:rPr>
        <w:t> </w:t>
      </w:r>
      <w:r>
        <w:rPr>
          <w:sz w:val="20"/>
        </w:rPr>
        <w:t>současně</w:t>
      </w:r>
      <w:r>
        <w:rPr>
          <w:spacing w:val="-4"/>
          <w:sz w:val="20"/>
        </w:rPr>
        <w:t> </w:t>
      </w:r>
      <w:r>
        <w:rPr>
          <w:sz w:val="20"/>
        </w:rPr>
        <w:t>s</w:t>
      </w:r>
      <w:r>
        <w:rPr>
          <w:spacing w:val="-4"/>
          <w:sz w:val="20"/>
        </w:rPr>
        <w:t> </w:t>
      </w:r>
      <w:r>
        <w:rPr>
          <w:sz w:val="20"/>
        </w:rPr>
        <w:t>žádostí</w:t>
      </w:r>
      <w:r>
        <w:rPr>
          <w:spacing w:val="-4"/>
          <w:sz w:val="20"/>
        </w:rPr>
        <w:t> </w:t>
      </w:r>
      <w:r>
        <w:rPr>
          <w:sz w:val="20"/>
        </w:rPr>
        <w:t>o</w:t>
      </w:r>
      <w:r>
        <w:rPr>
          <w:spacing w:val="-3"/>
          <w:sz w:val="20"/>
        </w:rPr>
        <w:t> </w:t>
      </w:r>
      <w:r>
        <w:rPr>
          <w:sz w:val="20"/>
        </w:rPr>
        <w:t>platbu</w:t>
      </w:r>
      <w:r>
        <w:rPr>
          <w:spacing w:val="-4"/>
          <w:sz w:val="20"/>
        </w:rPr>
        <w:t> </w:t>
      </w:r>
      <w:r>
        <w:rPr>
          <w:sz w:val="20"/>
        </w:rPr>
        <w:t>podklady</w:t>
      </w:r>
      <w:r>
        <w:rPr>
          <w:spacing w:val="-4"/>
          <w:sz w:val="20"/>
        </w:rPr>
        <w:t> </w:t>
      </w:r>
      <w:r>
        <w:rPr>
          <w:sz w:val="20"/>
        </w:rPr>
        <w:t>k</w:t>
      </w:r>
      <w:r>
        <w:rPr>
          <w:spacing w:val="-2"/>
          <w:sz w:val="20"/>
        </w:rPr>
        <w:t> </w:t>
      </w:r>
      <w:r>
        <w:rPr>
          <w:sz w:val="20"/>
        </w:rPr>
        <w:t>ZVA</w:t>
      </w:r>
      <w:r>
        <w:rPr>
          <w:spacing w:val="-3"/>
          <w:sz w:val="20"/>
        </w:rPr>
        <w:t> </w:t>
      </w:r>
      <w:r>
        <w:rPr>
          <w:sz w:val="20"/>
        </w:rPr>
        <w:t>podle</w:t>
      </w:r>
      <w:r>
        <w:rPr>
          <w:spacing w:val="-4"/>
          <w:sz w:val="20"/>
        </w:rPr>
        <w:t> </w:t>
      </w:r>
      <w:r>
        <w:rPr>
          <w:sz w:val="20"/>
        </w:rPr>
        <w:t>čl.</w:t>
      </w:r>
      <w:r>
        <w:rPr>
          <w:spacing w:val="-4"/>
          <w:sz w:val="20"/>
        </w:rPr>
        <w:t> </w:t>
      </w:r>
      <w:r>
        <w:rPr>
          <w:sz w:val="20"/>
        </w:rPr>
        <w:t>14.4.</w:t>
      </w:r>
      <w:r>
        <w:rPr>
          <w:spacing w:val="-5"/>
          <w:sz w:val="20"/>
        </w:rPr>
        <w:t> </w:t>
      </w:r>
      <w:r>
        <w:rPr>
          <w:sz w:val="20"/>
        </w:rPr>
        <w:t>Výzvy,</w:t>
      </w:r>
      <w:r>
        <w:rPr>
          <w:spacing w:val="-4"/>
          <w:sz w:val="20"/>
        </w:rPr>
        <w:t> </w:t>
      </w:r>
      <w:r>
        <w:rPr>
          <w:sz w:val="20"/>
        </w:rPr>
        <w:t>a</w:t>
      </w:r>
      <w:r>
        <w:rPr>
          <w:spacing w:val="-4"/>
          <w:sz w:val="20"/>
        </w:rPr>
        <w:t> </w:t>
      </w:r>
      <w:r>
        <w:rPr>
          <w:sz w:val="20"/>
        </w:rPr>
        <w:t>to</w:t>
      </w:r>
      <w:r>
        <w:rPr>
          <w:spacing w:val="-4"/>
          <w:sz w:val="20"/>
        </w:rPr>
        <w:t> </w:t>
      </w:r>
      <w:r>
        <w:rPr>
          <w:sz w:val="20"/>
        </w:rPr>
        <w:t>nejpozději</w:t>
      </w:r>
      <w:r>
        <w:rPr>
          <w:spacing w:val="-4"/>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4"/>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37" w:lineRule="auto" w:before="12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0" w:hanging="284"/>
        <w:jc w:val="both"/>
        <w:rPr>
          <w:sz w:val="20"/>
        </w:rPr>
      </w:pPr>
      <w:r>
        <w:rPr>
          <w:sz w:val="20"/>
        </w:rPr>
        <w:t>vrátit</w:t>
      </w:r>
      <w:r>
        <w:rPr>
          <w:spacing w:val="-14"/>
          <w:sz w:val="20"/>
        </w:rPr>
        <w:t> </w:t>
      </w:r>
      <w:r>
        <w:rPr>
          <w:sz w:val="20"/>
        </w:rPr>
        <w:t>částku</w:t>
      </w:r>
      <w:r>
        <w:rPr>
          <w:spacing w:val="-14"/>
          <w:sz w:val="20"/>
        </w:rPr>
        <w:t> </w:t>
      </w:r>
      <w:r>
        <w:rPr>
          <w:sz w:val="20"/>
        </w:rPr>
        <w:t>DPH</w:t>
      </w:r>
      <w:r>
        <w:rPr>
          <w:spacing w:val="-13"/>
          <w:sz w:val="20"/>
        </w:rPr>
        <w:t> </w:t>
      </w:r>
      <w:r>
        <w:rPr>
          <w:sz w:val="20"/>
        </w:rPr>
        <w:t>nebo</w:t>
      </w:r>
      <w:r>
        <w:rPr>
          <w:spacing w:val="-13"/>
          <w:sz w:val="20"/>
        </w:rPr>
        <w:t> </w:t>
      </w:r>
      <w:r>
        <w:rPr>
          <w:sz w:val="20"/>
        </w:rPr>
        <w:t>její</w:t>
      </w:r>
      <w:r>
        <w:rPr>
          <w:spacing w:val="-13"/>
          <w:sz w:val="20"/>
        </w:rPr>
        <w:t> </w:t>
      </w:r>
      <w:r>
        <w:rPr>
          <w:sz w:val="20"/>
        </w:rPr>
        <w:t>část,</w:t>
      </w:r>
      <w:r>
        <w:rPr>
          <w:spacing w:val="-14"/>
          <w:sz w:val="20"/>
        </w:rPr>
        <w:t> </w:t>
      </w:r>
      <w:r>
        <w:rPr>
          <w:sz w:val="20"/>
        </w:rPr>
        <w:t>pokud</w:t>
      </w:r>
      <w:r>
        <w:rPr>
          <w:spacing w:val="-12"/>
          <w:sz w:val="20"/>
        </w:rPr>
        <w:t> </w:t>
      </w:r>
      <w:r>
        <w:rPr>
          <w:sz w:val="20"/>
        </w:rPr>
        <w:t>existuje</w:t>
      </w:r>
      <w:r>
        <w:rPr>
          <w:spacing w:val="-13"/>
          <w:sz w:val="20"/>
        </w:rPr>
        <w:t> </w:t>
      </w:r>
      <w:r>
        <w:rPr>
          <w:sz w:val="20"/>
        </w:rPr>
        <w:t>zákonný</w:t>
      </w:r>
      <w:r>
        <w:rPr>
          <w:spacing w:val="-12"/>
          <w:sz w:val="20"/>
        </w:rPr>
        <w:t> </w:t>
      </w:r>
      <w:r>
        <w:rPr>
          <w:sz w:val="20"/>
        </w:rPr>
        <w:t>nárok</w:t>
      </w:r>
      <w:r>
        <w:rPr>
          <w:spacing w:val="-14"/>
          <w:sz w:val="20"/>
        </w:rPr>
        <w:t> </w:t>
      </w:r>
      <w:r>
        <w:rPr>
          <w:sz w:val="20"/>
        </w:rPr>
        <w:t>(i</w:t>
      </w:r>
      <w:r>
        <w:rPr>
          <w:spacing w:val="-14"/>
          <w:sz w:val="20"/>
        </w:rPr>
        <w:t> </w:t>
      </w:r>
      <w:r>
        <w:rPr>
          <w:sz w:val="20"/>
        </w:rPr>
        <w:t>zpětně)</w:t>
      </w:r>
      <w:r>
        <w:rPr>
          <w:spacing w:val="-13"/>
          <w:sz w:val="20"/>
        </w:rPr>
        <w:t> </w:t>
      </w:r>
      <w:r>
        <w:rPr>
          <w:sz w:val="20"/>
        </w:rPr>
        <w:t>na</w:t>
      </w:r>
      <w:r>
        <w:rPr>
          <w:spacing w:val="-14"/>
          <w:sz w:val="20"/>
        </w:rPr>
        <w:t> </w:t>
      </w:r>
      <w:r>
        <w:rPr>
          <w:sz w:val="20"/>
        </w:rPr>
        <w:t>její</w:t>
      </w:r>
      <w:r>
        <w:rPr>
          <w:spacing w:val="-14"/>
          <w:sz w:val="20"/>
        </w:rPr>
        <w:t> </w:t>
      </w:r>
      <w:r>
        <w:rPr>
          <w:sz w:val="20"/>
        </w:rPr>
        <w:t>odpočet,</w:t>
      </w:r>
      <w:r>
        <w:rPr>
          <w:spacing w:val="-12"/>
          <w:sz w:val="20"/>
        </w:rPr>
        <w:t> </w:t>
      </w:r>
      <w:r>
        <w:rPr>
          <w:sz w:val="20"/>
        </w:rPr>
        <w:t>tj.</w:t>
      </w:r>
      <w:r>
        <w:rPr>
          <w:spacing w:val="-14"/>
          <w:sz w:val="20"/>
        </w:rPr>
        <w:t> </w:t>
      </w:r>
      <w:r>
        <w:rPr>
          <w:sz w:val="20"/>
        </w:rPr>
        <w:t>bez</w:t>
      </w:r>
      <w:r>
        <w:rPr>
          <w:spacing w:val="-13"/>
          <w:sz w:val="20"/>
        </w:rPr>
        <w:t> </w:t>
      </w:r>
      <w:r>
        <w:rPr>
          <w:spacing w:val="-2"/>
          <w:sz w:val="20"/>
        </w:rPr>
        <w:t>ohledu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right="119"/>
        <w:jc w:val="both"/>
      </w:pPr>
      <w:r>
        <w:rPr/>
        <w:t>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8"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3"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19"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18"/>
        <w:ind w:left="385"/>
      </w:pPr>
      <w:r>
        <w:rPr/>
        <w:t>V</w:t>
      </w:r>
      <w:r>
        <w:rPr>
          <w:spacing w:val="16"/>
        </w:rPr>
        <w:t> </w:t>
      </w:r>
      <w:r>
        <w:rPr/>
        <w:t>případě</w:t>
      </w:r>
      <w:r>
        <w:rPr>
          <w:spacing w:val="14"/>
        </w:rPr>
        <w:t> </w:t>
      </w:r>
      <w:r>
        <w:rPr/>
        <w:t>nesplnění</w:t>
      </w:r>
      <w:r>
        <w:rPr>
          <w:spacing w:val="15"/>
        </w:rPr>
        <w:t> </w:t>
      </w:r>
      <w:r>
        <w:rPr/>
        <w:t>nebo</w:t>
      </w:r>
      <w:r>
        <w:rPr>
          <w:spacing w:val="17"/>
        </w:rPr>
        <w:t> </w:t>
      </w:r>
      <w:r>
        <w:rPr/>
        <w:t>částečného</w:t>
      </w:r>
      <w:r>
        <w:rPr>
          <w:spacing w:val="17"/>
        </w:rPr>
        <w:t> </w:t>
      </w:r>
      <w:r>
        <w:rPr/>
        <w:t>naplnění</w:t>
      </w:r>
      <w:r>
        <w:rPr>
          <w:spacing w:val="15"/>
        </w:rPr>
        <w:t> </w:t>
      </w:r>
      <w:r>
        <w:rPr/>
        <w:t>více</w:t>
      </w:r>
      <w:r>
        <w:rPr>
          <w:spacing w:val="14"/>
        </w:rPr>
        <w:t> </w:t>
      </w:r>
      <w:r>
        <w:rPr/>
        <w:t>než</w:t>
      </w:r>
      <w:r>
        <w:rPr>
          <w:spacing w:val="16"/>
        </w:rPr>
        <w:t> </w:t>
      </w:r>
      <w:r>
        <w:rPr/>
        <w:t>jednoho</w:t>
      </w:r>
      <w:r>
        <w:rPr>
          <w:spacing w:val="16"/>
        </w:rPr>
        <w:t> </w:t>
      </w:r>
      <w:r>
        <w:rPr/>
        <w:t>ze</w:t>
      </w:r>
      <w:r>
        <w:rPr>
          <w:spacing w:val="15"/>
        </w:rPr>
        <w:t> </w:t>
      </w:r>
      <w:r>
        <w:rPr/>
        <w:t>závazných</w:t>
      </w:r>
      <w:r>
        <w:rPr>
          <w:spacing w:val="15"/>
        </w:rPr>
        <w:t> </w:t>
      </w:r>
      <w:r>
        <w:rPr/>
        <w:t>indikátorů</w:t>
      </w:r>
      <w:r>
        <w:rPr>
          <w:spacing w:val="19"/>
        </w:rPr>
        <w:t> </w:t>
      </w:r>
      <w:r>
        <w:rPr/>
        <w:t>akce</w:t>
      </w:r>
      <w:r>
        <w:rPr>
          <w:spacing w:val="14"/>
        </w:rPr>
        <w:t> </w:t>
      </w:r>
      <w:r>
        <w:rPr>
          <w:spacing w:val="-2"/>
        </w:rPr>
        <w:t>podle</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385" w:right="119"/>
        <w:jc w:val="both"/>
      </w:pPr>
      <w:r>
        <w:rPr/>
        <w:t>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8"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19"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2"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pStyle w:val="BodyText"/>
        <w:spacing w:before="11"/>
        <w:rPr>
          <w:sz w:val="19"/>
        </w:rPr>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18"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5"/>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6"/>
        </w:rPr>
        <w:t> </w:t>
      </w:r>
      <w:r>
        <w:rPr/>
        <w:t>nejzávažnější</w:t>
      </w:r>
      <w:r>
        <w:rPr>
          <w:spacing w:val="-4"/>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18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41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2025-02-12T06:28:29Z</dcterms:created>
  <dcterms:modified xsi:type="dcterms:W3CDTF">2025-02-12T06:28:29Z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Microsoft® Word pro Microsoft 365</vt:lpwstr>
  </property>
  <property fmtid="{D5CDD505-2E9C-101B-9397-08002B2CF9AE}" pid="4" name="LastSaved">
    <vt:filetime>2025-02-12T00:00:00Z</vt:filetime>
  </property>
</Properties>
</file>