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1230800066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6"/>
        </w:rPr>
        <w:t> </w:t>
      </w:r>
      <w:r>
        <w:rPr/>
        <w:t>Krásná</w:t>
      </w:r>
      <w:r>
        <w:rPr>
          <w:spacing w:val="-7"/>
        </w:rPr>
        <w:t> </w:t>
      </w:r>
      <w:r>
        <w:rPr>
          <w:spacing w:val="-4"/>
        </w:rPr>
        <w:t>Lípa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942"/>
        <w:jc w:val="left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Krásná</w:t>
      </w:r>
      <w:r>
        <w:rPr>
          <w:spacing w:val="-6"/>
        </w:rPr>
        <w:t> </w:t>
      </w:r>
      <w:r>
        <w:rPr/>
        <w:t>Lípa,</w:t>
      </w:r>
      <w:r>
        <w:rPr>
          <w:spacing w:val="-3"/>
        </w:rPr>
        <w:t> </w:t>
      </w:r>
      <w:r>
        <w:rPr/>
        <w:t>Masarykova</w:t>
      </w:r>
      <w:r>
        <w:rPr>
          <w:spacing w:val="-5"/>
        </w:rPr>
        <w:t> </w:t>
      </w:r>
      <w:r>
        <w:rPr/>
        <w:t>246/6,</w:t>
      </w:r>
      <w:r>
        <w:rPr>
          <w:spacing w:val="-6"/>
        </w:rPr>
        <w:t> </w:t>
      </w:r>
      <w:r>
        <w:rPr/>
        <w:t>407</w:t>
      </w:r>
      <w:r>
        <w:rPr>
          <w:spacing w:val="-2"/>
        </w:rPr>
        <w:t> </w:t>
      </w:r>
      <w:r>
        <w:rPr/>
        <w:t>46</w:t>
      </w:r>
      <w:r>
        <w:rPr>
          <w:spacing w:val="-5"/>
        </w:rPr>
        <w:t> </w:t>
      </w:r>
      <w:r>
        <w:rPr/>
        <w:t>Krásná</w:t>
      </w:r>
      <w:r>
        <w:rPr>
          <w:spacing w:val="-6"/>
        </w:rPr>
        <w:t> </w:t>
      </w:r>
      <w:r>
        <w:rPr/>
        <w:t>Lípa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00261459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zastoupené:</w:t>
      </w:r>
      <w:r>
        <w:rPr/>
        <w:tab/>
        <w:t>Janem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2819431/0710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0"/>
      </w:pPr>
      <w:r>
        <w:rPr/>
        <w:t>„Smlouva“) se uzavírá na základě Rozhodnutí ministra životního prostředí č. 1230800066 o poskytnutí finančních prostředků ze Státního fondu životního prostředí ČR ze dne 20.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left="665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830"/>
        <w:jc w:val="left"/>
      </w:pPr>
      <w:r>
        <w:rPr/>
        <w:t>„Parkoviště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Krásný</w:t>
      </w:r>
      <w:r>
        <w:rPr>
          <w:spacing w:val="-6"/>
        </w:rPr>
        <w:t> </w:t>
      </w:r>
      <w:r>
        <w:rPr/>
        <w:t>Buk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Etapa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Krásná</w:t>
      </w:r>
      <w:r>
        <w:rPr>
          <w:spacing w:val="-5"/>
        </w:rPr>
        <w:t> </w:t>
      </w:r>
      <w:r>
        <w:rPr>
          <w:spacing w:val="-4"/>
        </w:rPr>
        <w:t>Lípa“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953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147,40 Kč </w:t>
      </w:r>
      <w:r>
        <w:rPr>
          <w:sz w:val="20"/>
        </w:rPr>
        <w:t>(slovy: dva miliony devět set padesát tři tisíc jedno sto čtyřicet sedm korun českých, čtyřicet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4 218 782,01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úhradě.</w:t>
      </w:r>
      <w:r>
        <w:rPr>
          <w:spacing w:val="28"/>
          <w:sz w:val="20"/>
        </w:rPr>
        <w:t> </w:t>
      </w:r>
      <w:r>
        <w:rPr>
          <w:sz w:val="20"/>
        </w:rPr>
        <w:t>Je-li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relevantní,</w:t>
      </w:r>
      <w:r>
        <w:rPr>
          <w:spacing w:val="28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akceptuje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28"/>
          <w:sz w:val="20"/>
        </w:rPr>
        <w:t> </w:t>
      </w:r>
      <w:r>
        <w:rPr>
          <w:sz w:val="20"/>
        </w:rPr>
        <w:t>faktur</w:t>
      </w:r>
      <w:r>
        <w:rPr>
          <w:spacing w:val="31"/>
          <w:sz w:val="20"/>
        </w:rPr>
        <w:t> </w:t>
      </w:r>
      <w:r>
        <w:rPr>
          <w:sz w:val="20"/>
        </w:rPr>
        <w:t>či</w:t>
      </w:r>
      <w:r>
        <w:rPr>
          <w:spacing w:val="28"/>
          <w:sz w:val="20"/>
        </w:rPr>
        <w:t> </w:t>
      </w:r>
      <w:r>
        <w:rPr>
          <w:sz w:val="20"/>
        </w:rPr>
        <w:t>jiných</w:t>
      </w:r>
      <w:r>
        <w:rPr>
          <w:spacing w:val="28"/>
          <w:sz w:val="20"/>
        </w:rPr>
        <w:t> </w:t>
      </w:r>
      <w:r>
        <w:rPr>
          <w:sz w:val="20"/>
        </w:rPr>
        <w:t>účetních</w:t>
      </w:r>
      <w:r>
        <w:rPr>
          <w:spacing w:val="28"/>
          <w:sz w:val="20"/>
        </w:rPr>
        <w:t> </w:t>
      </w:r>
      <w:r>
        <w:rPr>
          <w:sz w:val="20"/>
        </w:rPr>
        <w:t>dokladů 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9" w:hanging="286"/>
        <w:jc w:val="left"/>
        <w:rPr>
          <w:sz w:val="20"/>
        </w:rPr>
      </w:pPr>
      <w:r>
        <w:rPr>
          <w:sz w:val="20"/>
        </w:rPr>
        <w:t>akce bude provedena podle Fondem odsouhlasené projektové dokumentace, zpracované Pavlem Janouškem</w:t>
      </w:r>
      <w:r>
        <w:rPr>
          <w:spacing w:val="40"/>
          <w:sz w:val="20"/>
        </w:rPr>
        <w:t> </w:t>
      </w:r>
      <w:r>
        <w:rPr>
          <w:sz w:val="20"/>
        </w:rPr>
        <w:t>(09/2020),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dokumentace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žádosti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12.</w:t>
      </w:r>
      <w:r>
        <w:rPr>
          <w:spacing w:val="40"/>
          <w:sz w:val="20"/>
        </w:rPr>
        <w:t> </w:t>
      </w:r>
      <w:r>
        <w:rPr>
          <w:sz w:val="20"/>
        </w:rPr>
        <w:t>2.</w:t>
      </w:r>
      <w:r>
        <w:rPr>
          <w:spacing w:val="40"/>
          <w:sz w:val="20"/>
        </w:rPr>
        <w:t> </w:t>
      </w:r>
      <w:r>
        <w:rPr>
          <w:sz w:val="20"/>
        </w:rPr>
        <w:t>2024,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dokumentace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5"/>
      </w:pPr>
      <w:r>
        <w:rPr/>
        <w:t>výběrového řízení včetně smlouvy o dílo se společností SaM Silnice a mosty Děčín a.s., Oblouková 416/39,</w:t>
      </w:r>
      <w:r>
        <w:rPr>
          <w:spacing w:val="-5"/>
        </w:rPr>
        <w:t> </w:t>
      </w:r>
      <w:r>
        <w:rPr/>
        <w:t>405</w:t>
      </w:r>
      <w:r>
        <w:rPr>
          <w:spacing w:val="-5"/>
        </w:rPr>
        <w:t> </w:t>
      </w:r>
      <w:r>
        <w:rPr/>
        <w:t>02</w:t>
      </w:r>
      <w:r>
        <w:rPr>
          <w:spacing w:val="-5"/>
        </w:rPr>
        <w:t> </w:t>
      </w:r>
      <w:r>
        <w:rPr/>
        <w:t>Děčín,</w:t>
      </w:r>
      <w:r>
        <w:rPr>
          <w:spacing w:val="-4"/>
        </w:rPr>
        <w:t> </w:t>
      </w:r>
      <w:r>
        <w:rPr/>
        <w:t>IČO:</w:t>
      </w:r>
      <w:r>
        <w:rPr>
          <w:spacing w:val="-4"/>
        </w:rPr>
        <w:t> </w:t>
      </w:r>
      <w:r>
        <w:rPr/>
        <w:t>25042751,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6"/>
        </w:rPr>
        <w:t> </w:t>
      </w:r>
      <w:r>
        <w:rPr/>
        <w:t>21.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2024,</w:t>
      </w:r>
      <w:r>
        <w:rPr>
          <w:spacing w:val="-5"/>
        </w:rPr>
        <w:t> </w:t>
      </w:r>
      <w:r>
        <w:rPr/>
        <w:t>včetně</w:t>
      </w:r>
      <w:r>
        <w:rPr>
          <w:spacing w:val="-6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8" w:hanging="286"/>
        <w:jc w:val="both"/>
        <w:rPr>
          <w:sz w:val="20"/>
        </w:rPr>
      </w:pPr>
      <w:r>
        <w:rPr>
          <w:sz w:val="20"/>
        </w:rPr>
        <w:t>vybuduje novou odstavnou plochu – parkoviště v místní části Krásný Buk (stavební práce zahrnuté do Etapy II); celková plocha odstavné plochy bude 597 m</w:t>
      </w:r>
      <w:r>
        <w:rPr>
          <w:position w:val="7"/>
          <w:sz w:val="13"/>
        </w:rPr>
        <w:t>2</w:t>
      </w:r>
      <w:r>
        <w:rPr>
          <w:spacing w:val="26"/>
          <w:position w:val="7"/>
          <w:sz w:val="13"/>
        </w:rPr>
        <w:t> </w:t>
      </w:r>
      <w:r>
        <w:rPr>
          <w:sz w:val="20"/>
        </w:rPr>
        <w:t>a kapacita 23 parkovacích míst; v rámci projektu vysadí 17 ks stromů,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33"/>
          <w:sz w:val="20"/>
        </w:rPr>
        <w:t> </w:t>
      </w:r>
      <w:r>
        <w:rPr>
          <w:sz w:val="20"/>
        </w:rPr>
        <w:t>tzv.</w:t>
      </w:r>
      <w:r>
        <w:rPr>
          <w:spacing w:val="35"/>
          <w:sz w:val="20"/>
        </w:rPr>
        <w:t> </w:t>
      </w:r>
      <w:r>
        <w:rPr>
          <w:sz w:val="20"/>
        </w:rPr>
        <w:t>dvojímu</w:t>
      </w:r>
      <w:r>
        <w:rPr>
          <w:spacing w:val="35"/>
          <w:sz w:val="20"/>
        </w:rPr>
        <w:t> </w:t>
      </w:r>
      <w:r>
        <w:rPr>
          <w:sz w:val="20"/>
        </w:rPr>
        <w:t>financování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pokynů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33"/>
          <w:sz w:val="20"/>
        </w:rPr>
        <w:t> </w:t>
      </w:r>
      <w:r>
        <w:rPr>
          <w:sz w:val="20"/>
        </w:rPr>
        <w:t>10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n)</w:t>
      </w:r>
      <w:r>
        <w:rPr>
          <w:spacing w:val="35"/>
          <w:sz w:val="20"/>
        </w:rPr>
        <w:t> </w:t>
      </w:r>
      <w:r>
        <w:rPr>
          <w:sz w:val="20"/>
        </w:rPr>
        <w:t>Výzvy</w:t>
      </w:r>
      <w:r>
        <w:rPr>
          <w:spacing w:val="33"/>
          <w:sz w:val="20"/>
        </w:rPr>
        <w:t> </w:t>
      </w:r>
      <w:r>
        <w:rPr>
          <w:sz w:val="20"/>
        </w:rPr>
        <w:t>(a</w:t>
      </w:r>
      <w:r>
        <w:rPr>
          <w:spacing w:val="34"/>
          <w:sz w:val="20"/>
        </w:rPr>
        <w:t> </w:t>
      </w:r>
      <w:r>
        <w:rPr>
          <w:sz w:val="20"/>
        </w:rPr>
        <w:t>rovněž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pokynů</w:t>
      </w:r>
    </w:p>
    <w:p>
      <w:pPr>
        <w:pStyle w:val="BodyText"/>
        <w:ind w:left="1063"/>
      </w:pP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5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07/2024,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05/2025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kolaudační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souhlas.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2025-02-10T11:50:47Z</dcterms:created>
  <dcterms:modified xsi:type="dcterms:W3CDTF">2025-02-10T11:50:47Z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</Properties>
</file>