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6B41" w14:textId="77777777" w:rsidR="00627AA1" w:rsidRPr="00E92352" w:rsidRDefault="00627AA1" w:rsidP="00627AA1">
      <w:pPr>
        <w:spacing w:line="240" w:lineRule="auto"/>
        <w:contextualSpacing/>
        <w:jc w:val="center"/>
        <w:rPr>
          <w:rFonts w:eastAsia="Times New Roman"/>
          <w:b/>
          <w:sz w:val="24"/>
          <w:szCs w:val="24"/>
        </w:rPr>
      </w:pPr>
      <w:r w:rsidRPr="00E92352">
        <w:rPr>
          <w:rFonts w:eastAsia="Times New Roman"/>
          <w:b/>
          <w:sz w:val="24"/>
          <w:szCs w:val="24"/>
        </w:rPr>
        <w:t>SMLOUVA O POSKYTNUTÍ SLUŽEB BOZP a PO</w:t>
      </w:r>
    </w:p>
    <w:p w14:paraId="0B3D7509" w14:textId="77777777" w:rsidR="00627AA1" w:rsidRPr="00E92352" w:rsidRDefault="00627AA1" w:rsidP="00627AA1">
      <w:pPr>
        <w:spacing w:line="240" w:lineRule="auto"/>
        <w:contextualSpacing/>
        <w:jc w:val="center"/>
        <w:rPr>
          <w:rFonts w:eastAsia="Times New Roman"/>
          <w:b/>
          <w:sz w:val="24"/>
          <w:szCs w:val="24"/>
        </w:rPr>
      </w:pPr>
    </w:p>
    <w:p w14:paraId="4FBF7FBC" w14:textId="77777777" w:rsidR="00627AA1" w:rsidRPr="00753AAD" w:rsidRDefault="00627AA1" w:rsidP="00627AA1">
      <w:pPr>
        <w:spacing w:line="240" w:lineRule="auto"/>
        <w:contextualSpacing/>
        <w:jc w:val="center"/>
        <w:rPr>
          <w:rFonts w:eastAsia="Times New Roman"/>
          <w:b/>
        </w:rPr>
      </w:pPr>
      <w:r w:rsidRPr="00753AAD">
        <w:t>uzavřená dle zákona č. 89/2012 Sb., občanský zákoník, ve znění pozdějších právních předpisů, mezi těmito smluvními stranami:</w:t>
      </w:r>
    </w:p>
    <w:p w14:paraId="0094223F" w14:textId="77777777" w:rsidR="00627AA1" w:rsidRPr="00753AAD" w:rsidRDefault="00627AA1" w:rsidP="00627AA1">
      <w:pPr>
        <w:spacing w:before="100" w:after="100" w:line="240" w:lineRule="auto"/>
        <w:contextualSpacing/>
        <w:jc w:val="both"/>
        <w:rPr>
          <w:rFonts w:eastAsia="Times New Roman"/>
        </w:rPr>
      </w:pPr>
    </w:p>
    <w:p w14:paraId="4DF28149" w14:textId="77777777" w:rsidR="00627AA1" w:rsidRPr="00753AAD" w:rsidRDefault="00627AA1" w:rsidP="00627AA1">
      <w:pPr>
        <w:ind w:left="1416" w:hanging="1416"/>
        <w:jc w:val="both"/>
        <w:rPr>
          <w:b/>
        </w:rPr>
      </w:pPr>
    </w:p>
    <w:p w14:paraId="6B56A26A" w14:textId="77777777" w:rsidR="00627AA1" w:rsidRPr="00753AAD" w:rsidRDefault="00627AA1" w:rsidP="00627AA1">
      <w:pPr>
        <w:ind w:left="1416" w:hanging="1416"/>
        <w:jc w:val="both"/>
        <w:rPr>
          <w:b/>
        </w:rPr>
      </w:pPr>
      <w:r>
        <w:rPr>
          <w:b/>
        </w:rPr>
        <w:t>Střední odborná škola Jarov</w:t>
      </w:r>
    </w:p>
    <w:p w14:paraId="75A19A17" w14:textId="77777777" w:rsidR="00627AA1" w:rsidRPr="00753AAD" w:rsidRDefault="00627AA1" w:rsidP="00627AA1">
      <w:pPr>
        <w:ind w:left="1416" w:hanging="1416"/>
        <w:jc w:val="both"/>
        <w:rPr>
          <w:b/>
        </w:rPr>
      </w:pPr>
      <w:r w:rsidRPr="0050125B">
        <w:rPr>
          <w:b/>
          <w:bCs/>
        </w:rPr>
        <w:t>se sídlem:</w:t>
      </w:r>
      <w:r w:rsidRPr="00753AAD">
        <w:t xml:space="preserve"> </w:t>
      </w:r>
      <w:r>
        <w:t>Učňovská 100/1, 190 00 Praha 9 - Hrdlořezy</w:t>
      </w:r>
    </w:p>
    <w:p w14:paraId="53A15F9D" w14:textId="77777777" w:rsidR="00627AA1" w:rsidRPr="00753AAD" w:rsidRDefault="00627AA1" w:rsidP="00627AA1">
      <w:pPr>
        <w:pStyle w:val="Zkladntext1"/>
        <w:shd w:val="clear" w:color="auto" w:fill="auto"/>
        <w:spacing w:line="259" w:lineRule="auto"/>
        <w:rPr>
          <w:rFonts w:ascii="Arial" w:hAnsi="Arial" w:cs="Arial"/>
        </w:rPr>
      </w:pPr>
      <w:r w:rsidRPr="0050125B">
        <w:rPr>
          <w:rFonts w:ascii="Arial" w:hAnsi="Arial" w:cs="Arial"/>
          <w:b/>
          <w:bCs/>
        </w:rPr>
        <w:t>zastoupena</w:t>
      </w:r>
      <w:r w:rsidRPr="00753AAD">
        <w:rPr>
          <w:rFonts w:ascii="Arial" w:hAnsi="Arial" w:cs="Arial"/>
        </w:rPr>
        <w:t xml:space="preserve"> ředitelem </w:t>
      </w:r>
      <w:r>
        <w:rPr>
          <w:rFonts w:ascii="Arial" w:hAnsi="Arial" w:cs="Arial"/>
        </w:rPr>
        <w:t>Mgr. Miloslavem Janečkem</w:t>
      </w:r>
    </w:p>
    <w:p w14:paraId="70DDDC3B" w14:textId="77777777" w:rsidR="00627AA1" w:rsidRPr="00753AAD" w:rsidRDefault="00627AA1" w:rsidP="00627AA1">
      <w:pPr>
        <w:pStyle w:val="Zkladntext1"/>
        <w:shd w:val="clear" w:color="auto" w:fill="auto"/>
        <w:spacing w:line="259" w:lineRule="auto"/>
        <w:rPr>
          <w:rFonts w:ascii="Arial" w:hAnsi="Arial" w:cs="Arial"/>
        </w:rPr>
      </w:pPr>
      <w:r w:rsidRPr="0050125B">
        <w:rPr>
          <w:rFonts w:ascii="Arial" w:hAnsi="Arial" w:cs="Arial"/>
          <w:b/>
          <w:bCs/>
        </w:rPr>
        <w:t>IČO:</w:t>
      </w:r>
      <w:r w:rsidRPr="00753AAD">
        <w:rPr>
          <w:rFonts w:ascii="Arial" w:hAnsi="Arial" w:cs="Arial"/>
        </w:rPr>
        <w:t xml:space="preserve"> </w:t>
      </w:r>
      <w:r w:rsidRPr="00E500FD">
        <w:rPr>
          <w:rFonts w:ascii="Arial" w:hAnsi="Arial" w:cs="Arial"/>
        </w:rPr>
        <w:t>00300268</w:t>
      </w:r>
    </w:p>
    <w:p w14:paraId="0A56A73E" w14:textId="77777777" w:rsidR="00627AA1" w:rsidRPr="00753AAD" w:rsidRDefault="00627AA1" w:rsidP="00627AA1">
      <w:pPr>
        <w:pStyle w:val="Zkladntext1"/>
        <w:shd w:val="clear" w:color="auto" w:fill="auto"/>
        <w:spacing w:line="259" w:lineRule="auto"/>
        <w:rPr>
          <w:rFonts w:ascii="Arial" w:hAnsi="Arial" w:cs="Arial"/>
        </w:rPr>
      </w:pPr>
      <w:r w:rsidRPr="0050125B">
        <w:rPr>
          <w:rFonts w:ascii="Arial" w:hAnsi="Arial" w:cs="Arial"/>
          <w:b/>
          <w:bCs/>
        </w:rPr>
        <w:t>DIČ:</w:t>
      </w:r>
      <w:r w:rsidRPr="00753AAD">
        <w:rPr>
          <w:rFonts w:ascii="Arial" w:hAnsi="Arial" w:cs="Arial"/>
        </w:rPr>
        <w:t xml:space="preserve"> </w:t>
      </w:r>
      <w:r w:rsidRPr="00E500FD">
        <w:rPr>
          <w:rFonts w:ascii="Arial" w:hAnsi="Arial" w:cs="Arial"/>
        </w:rPr>
        <w:t>CZ00300268</w:t>
      </w:r>
      <w:r w:rsidRPr="00753AAD">
        <w:rPr>
          <w:rFonts w:ascii="Arial" w:hAnsi="Arial" w:cs="Arial"/>
        </w:rPr>
        <w:t>, plátce DPH</w:t>
      </w:r>
    </w:p>
    <w:p w14:paraId="395AA6E7" w14:textId="0B144358" w:rsidR="00627AA1" w:rsidRPr="00753AAD" w:rsidRDefault="00627AA1" w:rsidP="00627AA1">
      <w:pPr>
        <w:pStyle w:val="Zkladntext1"/>
        <w:shd w:val="clear" w:color="auto" w:fill="auto"/>
        <w:spacing w:line="259" w:lineRule="auto"/>
        <w:rPr>
          <w:rFonts w:ascii="Arial" w:hAnsi="Arial" w:cs="Arial"/>
        </w:rPr>
      </w:pPr>
      <w:r w:rsidRPr="0050125B">
        <w:rPr>
          <w:rFonts w:ascii="Arial" w:hAnsi="Arial" w:cs="Arial"/>
          <w:b/>
          <w:bCs/>
        </w:rPr>
        <w:t>Bankovní spojení</w:t>
      </w:r>
      <w:r w:rsidRPr="00753AAD">
        <w:rPr>
          <w:rFonts w:ascii="Arial" w:hAnsi="Arial" w:cs="Arial"/>
        </w:rPr>
        <w:t xml:space="preserve">: </w:t>
      </w:r>
    </w:p>
    <w:p w14:paraId="65C1BA4A" w14:textId="24417225" w:rsidR="00627AA1" w:rsidRDefault="00627AA1" w:rsidP="00627AA1">
      <w:pPr>
        <w:pStyle w:val="Zkladntext1"/>
        <w:shd w:val="clear" w:color="auto" w:fill="auto"/>
        <w:rPr>
          <w:rFonts w:ascii="Arial" w:hAnsi="Arial" w:cs="Arial"/>
        </w:rPr>
      </w:pPr>
      <w:r w:rsidRPr="0050125B">
        <w:rPr>
          <w:rFonts w:ascii="Arial" w:hAnsi="Arial" w:cs="Arial"/>
          <w:b/>
          <w:bCs/>
        </w:rPr>
        <w:t>Kontakty:</w:t>
      </w:r>
      <w:r w:rsidRPr="00753AAD">
        <w:rPr>
          <w:rFonts w:ascii="Arial" w:hAnsi="Arial" w:cs="Arial"/>
        </w:rPr>
        <w:t xml:space="preserve"> datová schr</w:t>
      </w:r>
      <w:r>
        <w:rPr>
          <w:rFonts w:ascii="Arial" w:hAnsi="Arial" w:cs="Arial"/>
        </w:rPr>
        <w:t xml:space="preserve">ánka                  </w:t>
      </w:r>
      <w:r w:rsidRPr="00753AAD">
        <w:rPr>
          <w:rFonts w:ascii="Arial" w:hAnsi="Arial" w:cs="Arial"/>
        </w:rPr>
        <w:t xml:space="preserve"> telefon:</w:t>
      </w:r>
      <w:r>
        <w:rPr>
          <w:rFonts w:ascii="Arial" w:hAnsi="Arial" w:cs="Arial"/>
        </w:rPr>
        <w:t xml:space="preserve"> </w:t>
      </w:r>
    </w:p>
    <w:p w14:paraId="5414A8EF" w14:textId="2251D7D9" w:rsidR="00627AA1" w:rsidRPr="00753AAD" w:rsidRDefault="00627AA1" w:rsidP="00627AA1">
      <w:pPr>
        <w:pStyle w:val="Zkladntext1"/>
        <w:shd w:val="clear" w:color="auto" w:fill="auto"/>
        <w:rPr>
          <w:rFonts w:ascii="Arial" w:hAnsi="Arial" w:cs="Arial"/>
        </w:rPr>
      </w:pPr>
      <w:r>
        <w:rPr>
          <w:rFonts w:ascii="Arial" w:hAnsi="Arial" w:cs="Arial"/>
        </w:rPr>
        <w:t xml:space="preserve">                 </w:t>
      </w:r>
      <w:r w:rsidRPr="00753AAD">
        <w:rPr>
          <w:rFonts w:ascii="Arial" w:hAnsi="Arial" w:cs="Arial"/>
        </w:rPr>
        <w:t>e-mail</w:t>
      </w:r>
      <w:r>
        <w:rPr>
          <w:rFonts w:ascii="Arial" w:hAnsi="Arial" w:cs="Arial"/>
        </w:rPr>
        <w:t>:</w:t>
      </w:r>
    </w:p>
    <w:p w14:paraId="37A1C2EC" w14:textId="77777777" w:rsidR="00627AA1" w:rsidRPr="00753AAD" w:rsidRDefault="00627AA1" w:rsidP="00627AA1">
      <w:pPr>
        <w:spacing w:before="100" w:after="100" w:line="240" w:lineRule="auto"/>
        <w:contextualSpacing/>
        <w:rPr>
          <w:rFonts w:eastAsia="Times New Roman"/>
        </w:rPr>
      </w:pPr>
    </w:p>
    <w:p w14:paraId="53BFB95D" w14:textId="77777777" w:rsidR="00627AA1" w:rsidRPr="00753AAD" w:rsidRDefault="00627AA1" w:rsidP="00627AA1">
      <w:pPr>
        <w:spacing w:before="100" w:after="100" w:line="240" w:lineRule="auto"/>
        <w:contextualSpacing/>
        <w:rPr>
          <w:rFonts w:eastAsia="Times New Roman"/>
        </w:rPr>
      </w:pPr>
      <w:r w:rsidRPr="00753AAD">
        <w:rPr>
          <w:rFonts w:eastAsia="Times New Roman"/>
        </w:rPr>
        <w:t xml:space="preserve"> (dále jen </w:t>
      </w:r>
      <w:r w:rsidRPr="00753AAD">
        <w:rPr>
          <w:rFonts w:eastAsia="Times New Roman"/>
          <w:b/>
        </w:rPr>
        <w:t>„Objednatel“</w:t>
      </w:r>
      <w:r w:rsidRPr="00753AAD">
        <w:rPr>
          <w:rFonts w:eastAsia="Times New Roman"/>
        </w:rPr>
        <w:t>)</w:t>
      </w:r>
    </w:p>
    <w:p w14:paraId="7D37189F" w14:textId="77777777" w:rsidR="00627AA1" w:rsidRPr="00753AAD" w:rsidRDefault="00627AA1" w:rsidP="00627AA1">
      <w:pPr>
        <w:spacing w:before="100" w:after="100" w:line="240" w:lineRule="auto"/>
        <w:contextualSpacing/>
        <w:jc w:val="both"/>
        <w:rPr>
          <w:rFonts w:eastAsia="Times New Roman"/>
          <w:highlight w:val="yellow"/>
        </w:rPr>
      </w:pPr>
    </w:p>
    <w:p w14:paraId="45B884EC" w14:textId="77777777" w:rsidR="00627AA1" w:rsidRPr="00753AAD" w:rsidRDefault="00627AA1" w:rsidP="00627AA1">
      <w:pPr>
        <w:spacing w:before="100" w:after="100" w:line="240" w:lineRule="auto"/>
        <w:contextualSpacing/>
        <w:rPr>
          <w:rFonts w:eastAsia="Times New Roman"/>
        </w:rPr>
      </w:pPr>
      <w:r w:rsidRPr="00753AAD">
        <w:rPr>
          <w:rFonts w:eastAsia="Times New Roman"/>
        </w:rPr>
        <w:t>a</w:t>
      </w:r>
    </w:p>
    <w:p w14:paraId="52D020A2" w14:textId="77777777" w:rsidR="00627AA1" w:rsidRPr="00753AAD" w:rsidRDefault="00627AA1" w:rsidP="00627AA1">
      <w:pPr>
        <w:spacing w:before="100" w:after="100" w:line="240" w:lineRule="auto"/>
        <w:contextualSpacing/>
        <w:rPr>
          <w:rFonts w:eastAsia="Times New Roman"/>
        </w:rPr>
      </w:pPr>
    </w:p>
    <w:p w14:paraId="1580CAF5" w14:textId="77777777" w:rsidR="00627AA1" w:rsidRPr="004A0C9E" w:rsidRDefault="00627AA1" w:rsidP="00627AA1">
      <w:pPr>
        <w:rPr>
          <w:b/>
        </w:rPr>
      </w:pPr>
      <w:r>
        <w:rPr>
          <w:b/>
        </w:rPr>
        <w:t>MD4U s.r.o.</w:t>
      </w:r>
    </w:p>
    <w:p w14:paraId="08F6E642" w14:textId="77777777" w:rsidR="00627AA1" w:rsidRPr="004A0C9E" w:rsidRDefault="00627AA1" w:rsidP="00627AA1">
      <w:r w:rsidRPr="004A0C9E">
        <w:t>se sídlem:</w:t>
      </w:r>
      <w:r w:rsidRPr="004A0C9E">
        <w:tab/>
      </w:r>
      <w:r w:rsidRPr="004A0C9E">
        <w:tab/>
      </w:r>
      <w:r w:rsidRPr="00E500FD">
        <w:t>Ovesná 863, Horní Měcholupy, 10900 Praha 10</w:t>
      </w:r>
    </w:p>
    <w:p w14:paraId="02EC2FDF" w14:textId="77777777" w:rsidR="00627AA1" w:rsidRPr="004A0C9E" w:rsidRDefault="00627AA1" w:rsidP="00627AA1">
      <w:r w:rsidRPr="004A0C9E">
        <w:t>zastoupená:</w:t>
      </w:r>
      <w:r w:rsidRPr="004A0C9E">
        <w:tab/>
      </w:r>
      <w:r w:rsidRPr="004A0C9E">
        <w:tab/>
      </w:r>
      <w:r>
        <w:t>jednatelem Ing. Martinem Dynybilem</w:t>
      </w:r>
    </w:p>
    <w:p w14:paraId="39F532D6" w14:textId="77777777" w:rsidR="00627AA1" w:rsidRPr="00E500FD" w:rsidRDefault="00627AA1" w:rsidP="00627AA1">
      <w:pPr>
        <w:tabs>
          <w:tab w:val="left" w:pos="1080"/>
          <w:tab w:val="left" w:pos="4320"/>
          <w:tab w:val="left" w:pos="5400"/>
          <w:tab w:val="left" w:pos="6300"/>
        </w:tabs>
        <w:rPr>
          <w:bCs/>
        </w:rPr>
      </w:pPr>
      <w:r w:rsidRPr="004A0C9E">
        <w:t>zapsaná v obchodním rejstříku vedeném</w:t>
      </w:r>
      <w:r>
        <w:rPr>
          <w:bCs/>
        </w:rPr>
        <w:t xml:space="preserve"> Městským soudem </w:t>
      </w:r>
      <w:r w:rsidRPr="004A0C9E">
        <w:rPr>
          <w:bCs/>
        </w:rPr>
        <w:t>v </w:t>
      </w:r>
      <w:r>
        <w:rPr>
          <w:bCs/>
        </w:rPr>
        <w:t>Praze</w:t>
      </w:r>
      <w:r w:rsidRPr="004A0C9E">
        <w:t xml:space="preserve"> </w:t>
      </w:r>
      <w:r>
        <w:t xml:space="preserve">pod spisovou značkou </w:t>
      </w:r>
      <w:r w:rsidRPr="00E500FD">
        <w:t>C 410412</w:t>
      </w:r>
    </w:p>
    <w:p w14:paraId="0EAC17C3" w14:textId="77777777" w:rsidR="00627AA1" w:rsidRPr="004A0C9E" w:rsidRDefault="00627AA1" w:rsidP="00627AA1">
      <w:r w:rsidRPr="004A0C9E">
        <w:t>IČO:</w:t>
      </w:r>
      <w:r w:rsidRPr="004A0C9E">
        <w:tab/>
      </w:r>
      <w:r w:rsidRPr="004A0C9E">
        <w:tab/>
      </w:r>
      <w:r w:rsidRPr="004A0C9E">
        <w:tab/>
      </w:r>
      <w:r w:rsidRPr="00E500FD">
        <w:t>220</w:t>
      </w:r>
      <w:r>
        <w:t xml:space="preserve"> </w:t>
      </w:r>
      <w:r w:rsidRPr="00E500FD">
        <w:t>66</w:t>
      </w:r>
      <w:r>
        <w:t xml:space="preserve"> </w:t>
      </w:r>
      <w:r w:rsidRPr="00E500FD">
        <w:t>063</w:t>
      </w:r>
    </w:p>
    <w:p w14:paraId="7B183A0D" w14:textId="012365AB" w:rsidR="00627AA1" w:rsidRDefault="00627AA1" w:rsidP="00627AA1">
      <w:r>
        <w:t>bankovní spojení:</w:t>
      </w:r>
      <w:r>
        <w:tab/>
      </w:r>
    </w:p>
    <w:p w14:paraId="6B77F6FC" w14:textId="081AC3E7" w:rsidR="00627AA1" w:rsidRPr="004A0C9E" w:rsidRDefault="00627AA1" w:rsidP="00627AA1">
      <w:r>
        <w:t xml:space="preserve">tel: </w:t>
      </w:r>
      <w:r>
        <w:tab/>
      </w:r>
      <w:r>
        <w:tab/>
      </w:r>
      <w:r>
        <w:tab/>
      </w:r>
    </w:p>
    <w:p w14:paraId="744B21E5" w14:textId="77777777" w:rsidR="00627AA1" w:rsidRPr="00753AAD" w:rsidRDefault="00627AA1" w:rsidP="00627AA1">
      <w:pPr>
        <w:spacing w:before="100" w:after="100" w:line="240" w:lineRule="auto"/>
        <w:contextualSpacing/>
        <w:rPr>
          <w:rFonts w:eastAsia="Times New Roman"/>
        </w:rPr>
      </w:pPr>
    </w:p>
    <w:p w14:paraId="0160543E" w14:textId="77777777" w:rsidR="00627AA1" w:rsidRPr="00753AAD" w:rsidRDefault="00627AA1" w:rsidP="00627AA1">
      <w:pPr>
        <w:spacing w:before="100" w:after="100" w:line="240" w:lineRule="auto"/>
        <w:contextualSpacing/>
        <w:rPr>
          <w:rFonts w:eastAsia="Times New Roman"/>
        </w:rPr>
      </w:pPr>
      <w:r w:rsidRPr="00753AAD">
        <w:rPr>
          <w:rFonts w:eastAsia="Times New Roman"/>
        </w:rPr>
        <w:t xml:space="preserve">(dále jen </w:t>
      </w:r>
      <w:r w:rsidRPr="00753AAD">
        <w:rPr>
          <w:rFonts w:eastAsia="Times New Roman"/>
          <w:b/>
        </w:rPr>
        <w:t>„Poskytovatel“</w:t>
      </w:r>
      <w:r w:rsidRPr="00753AAD">
        <w:rPr>
          <w:rFonts w:eastAsia="Times New Roman"/>
        </w:rPr>
        <w:t>)</w:t>
      </w:r>
    </w:p>
    <w:p w14:paraId="678C8059" w14:textId="77777777" w:rsidR="00627AA1" w:rsidRPr="00753AAD" w:rsidRDefault="00627AA1" w:rsidP="00627AA1">
      <w:pPr>
        <w:spacing w:before="100" w:after="100" w:line="240" w:lineRule="auto"/>
        <w:contextualSpacing/>
        <w:rPr>
          <w:rFonts w:eastAsia="Times New Roman"/>
        </w:rPr>
      </w:pPr>
    </w:p>
    <w:p w14:paraId="1424CE85" w14:textId="77777777" w:rsidR="00627AA1" w:rsidRPr="00753AAD" w:rsidRDefault="00627AA1" w:rsidP="00627AA1">
      <w:pPr>
        <w:spacing w:before="100" w:after="100" w:line="240" w:lineRule="auto"/>
        <w:contextualSpacing/>
        <w:rPr>
          <w:rFonts w:eastAsia="Times New Roman"/>
          <w:b/>
        </w:rPr>
      </w:pPr>
      <w:r w:rsidRPr="00753AAD">
        <w:rPr>
          <w:rFonts w:eastAsia="Times New Roman"/>
        </w:rPr>
        <w:t xml:space="preserve">(společně dále také </w:t>
      </w:r>
      <w:r w:rsidRPr="00753AAD">
        <w:rPr>
          <w:rFonts w:eastAsia="Times New Roman"/>
          <w:b/>
        </w:rPr>
        <w:t>„smluvní strany)</w:t>
      </w:r>
    </w:p>
    <w:p w14:paraId="631390BE" w14:textId="77777777" w:rsidR="00627AA1" w:rsidRPr="00753AAD" w:rsidRDefault="00627AA1" w:rsidP="00627AA1">
      <w:pPr>
        <w:spacing w:before="100" w:after="100" w:line="240" w:lineRule="auto"/>
        <w:contextualSpacing/>
        <w:rPr>
          <w:rFonts w:eastAsia="Times New Roman"/>
          <w:b/>
        </w:rPr>
      </w:pPr>
    </w:p>
    <w:p w14:paraId="00A4AD5B" w14:textId="77777777" w:rsidR="00627AA1" w:rsidRDefault="00627AA1" w:rsidP="00627AA1">
      <w:pPr>
        <w:pStyle w:val="Nadpis2"/>
        <w:rPr>
          <w:rFonts w:ascii="Arial" w:hAnsi="Arial" w:cs="Arial"/>
          <w:sz w:val="22"/>
          <w:szCs w:val="22"/>
        </w:rPr>
      </w:pPr>
    </w:p>
    <w:p w14:paraId="489B37DA" w14:textId="77777777" w:rsidR="00627AA1" w:rsidRPr="00753AAD" w:rsidRDefault="00627AA1" w:rsidP="00627AA1">
      <w:pPr>
        <w:pStyle w:val="Nadpis2"/>
        <w:rPr>
          <w:rFonts w:ascii="Arial" w:hAnsi="Arial" w:cs="Arial"/>
          <w:sz w:val="22"/>
          <w:szCs w:val="22"/>
        </w:rPr>
      </w:pPr>
      <w:r w:rsidRPr="00753AAD">
        <w:rPr>
          <w:rFonts w:ascii="Arial" w:hAnsi="Arial" w:cs="Arial"/>
          <w:sz w:val="22"/>
          <w:szCs w:val="22"/>
        </w:rPr>
        <w:t>Úvodní ustanovení</w:t>
      </w:r>
    </w:p>
    <w:p w14:paraId="05BA7E17" w14:textId="77777777" w:rsidR="00627AA1" w:rsidRPr="00753AAD" w:rsidRDefault="00627AA1" w:rsidP="00627AA1"/>
    <w:p w14:paraId="5E83F9C4" w14:textId="77777777" w:rsidR="00627AA1" w:rsidRDefault="00627AA1" w:rsidP="00627AA1">
      <w:pPr>
        <w:pStyle w:val="Odstavecseseznamem"/>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both"/>
        <w:textAlignment w:val="baseline"/>
      </w:pPr>
      <w:r w:rsidRPr="00753AAD">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r>
        <w:t>.</w:t>
      </w:r>
    </w:p>
    <w:p w14:paraId="0811C400" w14:textId="77777777" w:rsidR="00627AA1" w:rsidRDefault="00627AA1" w:rsidP="00627AA1">
      <w:pPr>
        <w:pStyle w:val="Odstavecseseznamem"/>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both"/>
        <w:textAlignment w:val="baseline"/>
      </w:pPr>
    </w:p>
    <w:p w14:paraId="2C98E7C7" w14:textId="77777777" w:rsidR="00627AA1" w:rsidRPr="004269BA" w:rsidRDefault="00627AA1" w:rsidP="00627AA1">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both"/>
        <w:textAlignment w:val="baseline"/>
      </w:pPr>
    </w:p>
    <w:p w14:paraId="0100847B" w14:textId="77777777" w:rsidR="00627AA1" w:rsidRPr="00753AAD" w:rsidRDefault="00627AA1" w:rsidP="00627AA1">
      <w:pPr>
        <w:spacing w:before="100" w:after="100" w:line="240" w:lineRule="auto"/>
        <w:contextualSpacing/>
        <w:jc w:val="center"/>
        <w:rPr>
          <w:rFonts w:eastAsia="Times New Roman"/>
          <w:b/>
        </w:rPr>
      </w:pPr>
      <w:r w:rsidRPr="00753AAD">
        <w:rPr>
          <w:rFonts w:eastAsia="Times New Roman"/>
          <w:b/>
        </w:rPr>
        <w:t>I.</w:t>
      </w:r>
    </w:p>
    <w:p w14:paraId="0BE7053B" w14:textId="77777777" w:rsidR="00627AA1" w:rsidRDefault="00627AA1" w:rsidP="00627AA1">
      <w:pPr>
        <w:spacing w:before="100" w:after="100" w:line="240" w:lineRule="auto"/>
        <w:contextualSpacing/>
        <w:jc w:val="center"/>
        <w:rPr>
          <w:rFonts w:eastAsia="Times New Roman"/>
          <w:b/>
        </w:rPr>
      </w:pPr>
      <w:r w:rsidRPr="00753AAD">
        <w:rPr>
          <w:rFonts w:eastAsia="Times New Roman"/>
          <w:b/>
        </w:rPr>
        <w:t xml:space="preserve">Předmět </w:t>
      </w:r>
      <w:r w:rsidRPr="004269BA">
        <w:rPr>
          <w:rFonts w:eastAsia="Times New Roman"/>
          <w:b/>
        </w:rPr>
        <w:t>smlouvy</w:t>
      </w:r>
    </w:p>
    <w:p w14:paraId="38C051CC" w14:textId="77777777" w:rsidR="00627AA1" w:rsidRPr="004269BA" w:rsidRDefault="00627AA1" w:rsidP="00627AA1">
      <w:pPr>
        <w:spacing w:before="100" w:after="100" w:line="240" w:lineRule="auto"/>
        <w:contextualSpacing/>
        <w:jc w:val="center"/>
        <w:rPr>
          <w:rFonts w:eastAsia="Times New Roman"/>
          <w:b/>
        </w:rPr>
      </w:pPr>
    </w:p>
    <w:p w14:paraId="450EC847" w14:textId="77777777" w:rsidR="00627AA1" w:rsidRPr="00E92352" w:rsidRDefault="00627AA1" w:rsidP="00627AA1">
      <w:pPr>
        <w:pStyle w:val="Odstavecseseznamem"/>
        <w:numPr>
          <w:ilvl w:val="0"/>
          <w:numId w:val="8"/>
        </w:numPr>
        <w:spacing w:before="100" w:after="100" w:line="240" w:lineRule="auto"/>
        <w:rPr>
          <w:rFonts w:eastAsia="Times New Roman"/>
          <w:b/>
        </w:rPr>
      </w:pPr>
      <w:r w:rsidRPr="00E92352">
        <w:rPr>
          <w:bCs/>
        </w:rPr>
        <w:t>Poskytovatel</w:t>
      </w:r>
      <w:r w:rsidRPr="00753AAD">
        <w:t xml:space="preserve"> se zavazuje zajistit pro </w:t>
      </w:r>
      <w:r>
        <w:t>O</w:t>
      </w:r>
      <w:r w:rsidRPr="00753AAD">
        <w:t xml:space="preserve">bjednatele, resp. </w:t>
      </w:r>
      <w:r>
        <w:t>O</w:t>
      </w:r>
      <w:r w:rsidRPr="00753AAD">
        <w:t>bjednatelem definované subjekty, službu, specifikovanou v</w:t>
      </w:r>
      <w:r>
        <w:t> příloze č. 1 Specifikace poskytovaných služeb, která je nedílnou součástí Smlouvy o poskytování služeb BOZP a PO.</w:t>
      </w:r>
      <w:r w:rsidRPr="00753AAD">
        <w:t xml:space="preserve"> </w:t>
      </w:r>
    </w:p>
    <w:p w14:paraId="632620C3" w14:textId="77777777" w:rsidR="00627AA1" w:rsidRDefault="00627AA1" w:rsidP="00627AA1">
      <w:pPr>
        <w:spacing w:before="100" w:after="100" w:line="240" w:lineRule="auto"/>
        <w:jc w:val="center"/>
        <w:rPr>
          <w:b/>
        </w:rPr>
      </w:pPr>
    </w:p>
    <w:p w14:paraId="48C3B1EE" w14:textId="77777777" w:rsidR="00627AA1" w:rsidRDefault="00627AA1" w:rsidP="00627AA1">
      <w:pPr>
        <w:spacing w:before="100" w:after="100" w:line="240" w:lineRule="auto"/>
        <w:jc w:val="center"/>
        <w:rPr>
          <w:b/>
        </w:rPr>
      </w:pPr>
    </w:p>
    <w:p w14:paraId="168DD02E" w14:textId="77777777" w:rsidR="00627AA1" w:rsidRDefault="00627AA1" w:rsidP="00627AA1">
      <w:pPr>
        <w:spacing w:before="100" w:after="100" w:line="240" w:lineRule="auto"/>
        <w:jc w:val="center"/>
        <w:rPr>
          <w:b/>
        </w:rPr>
      </w:pPr>
    </w:p>
    <w:p w14:paraId="59782A95" w14:textId="77777777" w:rsidR="00627AA1" w:rsidRPr="00753AAD" w:rsidRDefault="00627AA1" w:rsidP="00627AA1">
      <w:pPr>
        <w:spacing w:before="100" w:after="100" w:line="240" w:lineRule="auto"/>
        <w:jc w:val="center"/>
        <w:rPr>
          <w:b/>
        </w:rPr>
      </w:pPr>
      <w:r w:rsidRPr="00753AAD">
        <w:rPr>
          <w:b/>
        </w:rPr>
        <w:t>II.</w:t>
      </w:r>
    </w:p>
    <w:p w14:paraId="720686F8" w14:textId="77777777" w:rsidR="00627AA1" w:rsidRPr="00753AAD" w:rsidRDefault="00627AA1" w:rsidP="00627AA1">
      <w:pPr>
        <w:spacing w:before="100" w:after="100" w:line="240" w:lineRule="auto"/>
        <w:jc w:val="center"/>
        <w:rPr>
          <w:b/>
        </w:rPr>
      </w:pPr>
      <w:r>
        <w:rPr>
          <w:b/>
        </w:rPr>
        <w:t>M</w:t>
      </w:r>
      <w:r w:rsidRPr="00753AAD">
        <w:rPr>
          <w:b/>
        </w:rPr>
        <w:t>ísto plnění</w:t>
      </w:r>
    </w:p>
    <w:p w14:paraId="7F74C70F" w14:textId="77777777" w:rsidR="00627AA1" w:rsidRPr="004A0C9E" w:rsidRDefault="00627AA1" w:rsidP="00627AA1">
      <w:pPr>
        <w:pStyle w:val="Odstavecseseznamem"/>
        <w:spacing w:before="100" w:after="100" w:line="240" w:lineRule="auto"/>
        <w:jc w:val="both"/>
      </w:pPr>
      <w:r w:rsidRPr="004A0C9E">
        <w:t>Poskytovatel bude provádět dílo v následujících objektech:</w:t>
      </w:r>
    </w:p>
    <w:p w14:paraId="3E058B1A" w14:textId="77777777" w:rsidR="00627AA1" w:rsidRPr="004A0C9E" w:rsidRDefault="00627AA1" w:rsidP="00627AA1">
      <w:pPr>
        <w:pStyle w:val="Odstavecseseznamem"/>
        <w:numPr>
          <w:ilvl w:val="0"/>
          <w:numId w:val="7"/>
        </w:numPr>
        <w:spacing w:before="100" w:after="100" w:line="240" w:lineRule="auto"/>
        <w:jc w:val="both"/>
      </w:pPr>
      <w:r w:rsidRPr="00A8521D">
        <w:t>Učňovská 100/1, 190 00 Praha 9 - Hrdlořezy</w:t>
      </w:r>
    </w:p>
    <w:p w14:paraId="75B639A3" w14:textId="77777777" w:rsidR="00627AA1" w:rsidRPr="004A0C9E" w:rsidRDefault="00627AA1" w:rsidP="00627AA1">
      <w:pPr>
        <w:pStyle w:val="Odstavecseseznamem"/>
        <w:numPr>
          <w:ilvl w:val="0"/>
          <w:numId w:val="7"/>
        </w:numPr>
        <w:spacing w:before="100" w:after="100" w:line="240" w:lineRule="auto"/>
        <w:jc w:val="both"/>
      </w:pPr>
      <w:r w:rsidRPr="00A8521D">
        <w:t>Pod Táborem 17/4, 190 00 Praha 9 - Malešice</w:t>
      </w:r>
    </w:p>
    <w:p w14:paraId="6ACE1035" w14:textId="77777777" w:rsidR="00627AA1" w:rsidRPr="004A0C9E" w:rsidRDefault="00627AA1" w:rsidP="00627AA1">
      <w:pPr>
        <w:pStyle w:val="Odstavecseseznamem"/>
        <w:spacing w:before="100" w:after="100" w:line="240" w:lineRule="auto"/>
        <w:jc w:val="both"/>
      </w:pPr>
    </w:p>
    <w:p w14:paraId="7E50B3F7" w14:textId="77777777" w:rsidR="00627AA1" w:rsidRPr="00753AAD" w:rsidRDefault="00627AA1" w:rsidP="00627AA1">
      <w:pPr>
        <w:spacing w:before="100" w:after="100" w:line="240" w:lineRule="auto"/>
        <w:contextualSpacing/>
        <w:jc w:val="center"/>
        <w:rPr>
          <w:rFonts w:eastAsia="Times New Roman"/>
          <w:b/>
        </w:rPr>
      </w:pPr>
      <w:r w:rsidRPr="00753AAD">
        <w:rPr>
          <w:rFonts w:eastAsia="Times New Roman"/>
          <w:b/>
        </w:rPr>
        <w:t xml:space="preserve">III. </w:t>
      </w:r>
    </w:p>
    <w:p w14:paraId="79150E87" w14:textId="77777777" w:rsidR="00627AA1" w:rsidRPr="00753AAD" w:rsidRDefault="00627AA1" w:rsidP="00627AA1">
      <w:pPr>
        <w:spacing w:after="100" w:line="240" w:lineRule="auto"/>
        <w:contextualSpacing/>
        <w:jc w:val="center"/>
        <w:rPr>
          <w:rFonts w:eastAsia="Times New Roman"/>
          <w:b/>
        </w:rPr>
      </w:pPr>
      <w:r w:rsidRPr="00753AAD">
        <w:rPr>
          <w:rFonts w:eastAsia="Times New Roman"/>
          <w:b/>
        </w:rPr>
        <w:t>Cena a platební podmínky</w:t>
      </w:r>
    </w:p>
    <w:p w14:paraId="37DB3E5D" w14:textId="77777777" w:rsidR="00627AA1" w:rsidRPr="00A8521D" w:rsidRDefault="00627AA1" w:rsidP="00627AA1">
      <w:pPr>
        <w:pStyle w:val="Odstavecseseznamem"/>
        <w:pBdr>
          <w:top w:val="none" w:sz="0" w:space="0" w:color="auto"/>
          <w:left w:val="none" w:sz="0" w:space="0" w:color="auto"/>
          <w:bottom w:val="none" w:sz="0" w:space="0" w:color="auto"/>
          <w:right w:val="none" w:sz="0" w:space="0" w:color="auto"/>
          <w:between w:val="none" w:sz="0" w:space="0" w:color="auto"/>
        </w:pBdr>
        <w:spacing w:after="95" w:line="268" w:lineRule="auto"/>
        <w:jc w:val="both"/>
      </w:pPr>
    </w:p>
    <w:p w14:paraId="70F45039" w14:textId="77777777" w:rsidR="00627AA1" w:rsidRPr="000A43CB" w:rsidRDefault="00627AA1" w:rsidP="00627AA1">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pBdr>
        <w:spacing w:after="95" w:line="268" w:lineRule="auto"/>
        <w:jc w:val="both"/>
      </w:pPr>
      <w:r w:rsidRPr="000A43CB">
        <w:rPr>
          <w:b/>
          <w:bCs/>
        </w:rPr>
        <w:t>Cena za měsíční plnění poskytovaných služeb</w:t>
      </w:r>
      <w:r w:rsidRPr="000A43CB">
        <w:t xml:space="preserve"> dle přílohy č. 1 smlouvy je smluvními stranami sjednána ve </w:t>
      </w:r>
      <w:r w:rsidRPr="000A43CB">
        <w:rPr>
          <w:color w:val="000000" w:themeColor="text1"/>
        </w:rPr>
        <w:t xml:space="preserve">výši 12.000,- Kč. Pokud se </w:t>
      </w:r>
      <w:r>
        <w:rPr>
          <w:color w:val="000000" w:themeColor="text1"/>
        </w:rPr>
        <w:t>P</w:t>
      </w:r>
      <w:r w:rsidRPr="000A43CB">
        <w:rPr>
          <w:color w:val="000000" w:themeColor="text1"/>
        </w:rPr>
        <w:t>oskytovatel stane plátcem DPH, bude tato cena navýšena o DPH.</w:t>
      </w:r>
    </w:p>
    <w:p w14:paraId="67B67DC3" w14:textId="77777777" w:rsidR="00627AA1" w:rsidRPr="004A0C9E" w:rsidRDefault="00627AA1" w:rsidP="00627AA1">
      <w:pPr>
        <w:pStyle w:val="Odstavecseseznamem"/>
        <w:pBdr>
          <w:top w:val="none" w:sz="0" w:space="0" w:color="auto"/>
          <w:left w:val="none" w:sz="0" w:space="0" w:color="auto"/>
          <w:bottom w:val="none" w:sz="0" w:space="0" w:color="auto"/>
          <w:right w:val="none" w:sz="0" w:space="0" w:color="auto"/>
          <w:between w:val="none" w:sz="0" w:space="0" w:color="auto"/>
        </w:pBdr>
        <w:spacing w:after="95" w:line="268" w:lineRule="auto"/>
        <w:jc w:val="both"/>
      </w:pPr>
    </w:p>
    <w:p w14:paraId="5F0380C6" w14:textId="77777777" w:rsidR="00627AA1" w:rsidRPr="004A0C9E" w:rsidRDefault="00627AA1" w:rsidP="00627AA1">
      <w:pPr>
        <w:pStyle w:val="Odstavecseseznamem"/>
        <w:numPr>
          <w:ilvl w:val="0"/>
          <w:numId w:val="9"/>
        </w:numPr>
        <w:jc w:val="both"/>
      </w:pPr>
      <w:r w:rsidRPr="004A0C9E">
        <w:t xml:space="preserve">Cena dle čl. III, odst.1. je stanovena jako konečná a nepřekročitelná a zahrnuje veškeré náklady nezbytné k řádnému splnění závazku </w:t>
      </w:r>
      <w:r>
        <w:t>P</w:t>
      </w:r>
      <w:r w:rsidRPr="004A0C9E">
        <w:t>oskytovatele.</w:t>
      </w:r>
    </w:p>
    <w:p w14:paraId="24700B17" w14:textId="77777777" w:rsidR="00627AA1" w:rsidRPr="004A0C9E" w:rsidRDefault="00627AA1" w:rsidP="00627AA1">
      <w:pPr>
        <w:pStyle w:val="Odstavecseseznamem"/>
        <w:jc w:val="both"/>
      </w:pPr>
    </w:p>
    <w:p w14:paraId="79663F0E" w14:textId="77777777" w:rsidR="00627AA1" w:rsidRPr="004A0C9E" w:rsidRDefault="00627AA1" w:rsidP="00627AA1">
      <w:pPr>
        <w:pStyle w:val="Odstavecseseznamem"/>
        <w:numPr>
          <w:ilvl w:val="0"/>
          <w:numId w:val="9"/>
        </w:numPr>
        <w:jc w:val="both"/>
      </w:pPr>
      <w:r w:rsidRPr="004A0C9E">
        <w:t>Poskytovatel je oprávněn fakturovat cenu dle čl. III, odst. 1. měsíčně</w:t>
      </w:r>
      <w:r>
        <w:t>, a to vždy počínaje prvním dnem měsíce následujícího po jeho plnění</w:t>
      </w:r>
      <w:r w:rsidRPr="004A0C9E">
        <w:t xml:space="preserve">. Součástí fakturace dodané </w:t>
      </w:r>
      <w:r>
        <w:t>O</w:t>
      </w:r>
      <w:r w:rsidRPr="004A0C9E">
        <w:t>bjednateli nejpozději do 7. pracovního dne v měsíci následujícím po zajištění předmětu smlouvy je potvrzený přehled realizovaných činností.</w:t>
      </w:r>
    </w:p>
    <w:p w14:paraId="628DE3C9" w14:textId="77777777" w:rsidR="00627AA1" w:rsidRPr="004A0C9E" w:rsidRDefault="00627AA1" w:rsidP="00627AA1">
      <w:pPr>
        <w:jc w:val="both"/>
      </w:pPr>
      <w:r w:rsidRPr="004A0C9E">
        <w:t xml:space="preserve"> </w:t>
      </w:r>
    </w:p>
    <w:p w14:paraId="78687ED7" w14:textId="2EB3AC1A" w:rsidR="00627AA1" w:rsidRPr="009056A0" w:rsidRDefault="00627AA1" w:rsidP="00627AA1">
      <w:pPr>
        <w:pStyle w:val="Odstavecseseznamem"/>
        <w:numPr>
          <w:ilvl w:val="0"/>
          <w:numId w:val="9"/>
        </w:numPr>
        <w:jc w:val="both"/>
      </w:pPr>
      <w:r w:rsidRPr="004A0C9E">
        <w:t xml:space="preserve">Faktura (daňový doklad) je splatná ve lhůtě 20 dnů od </w:t>
      </w:r>
      <w:r>
        <w:t>jejího doručení Objednateli</w:t>
      </w:r>
      <w:r w:rsidRPr="004A0C9E">
        <w:t xml:space="preserve"> a musí být doručena na emai</w:t>
      </w:r>
      <w:r>
        <w:t>l</w:t>
      </w:r>
    </w:p>
    <w:p w14:paraId="5BD702BA" w14:textId="77777777" w:rsidR="00627AA1" w:rsidRPr="004A0C9E" w:rsidRDefault="00627AA1" w:rsidP="00627AA1">
      <w:pPr>
        <w:pStyle w:val="Odstavecseseznamem"/>
        <w:jc w:val="both"/>
      </w:pPr>
    </w:p>
    <w:p w14:paraId="629086E4" w14:textId="77777777" w:rsidR="00627AA1" w:rsidRPr="004F7F4C" w:rsidRDefault="00627AA1" w:rsidP="00627AA1">
      <w:pPr>
        <w:pStyle w:val="Odstavecseseznamem"/>
        <w:numPr>
          <w:ilvl w:val="0"/>
          <w:numId w:val="9"/>
        </w:numPr>
        <w:jc w:val="both"/>
      </w:pPr>
      <w:r w:rsidRPr="004F7F4C">
        <w:t xml:space="preserve">Faktura (daňový doklad) musí obsahovat zejména: </w:t>
      </w:r>
    </w:p>
    <w:p w14:paraId="5D93B331" w14:textId="77777777" w:rsidR="00627AA1" w:rsidRDefault="00627AA1" w:rsidP="00627AA1">
      <w:pPr>
        <w:pStyle w:val="Odstavecseseznamem"/>
        <w:numPr>
          <w:ilvl w:val="0"/>
          <w:numId w:val="10"/>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753AAD">
        <w:t xml:space="preserve">označení osoby </w:t>
      </w:r>
      <w:r>
        <w:t>O</w:t>
      </w:r>
      <w:r w:rsidRPr="00753AAD">
        <w:t>bjednatele včetně uvedení sídla, IČ a DIČ,</w:t>
      </w:r>
    </w:p>
    <w:p w14:paraId="064E3AE4" w14:textId="77777777" w:rsidR="00627AA1" w:rsidRDefault="00627AA1" w:rsidP="00627AA1">
      <w:pPr>
        <w:pStyle w:val="Odstavecseseznamem"/>
        <w:numPr>
          <w:ilvl w:val="0"/>
          <w:numId w:val="10"/>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753AAD">
        <w:t xml:space="preserve">označení osoby </w:t>
      </w:r>
      <w:r>
        <w:t>P</w:t>
      </w:r>
      <w:r w:rsidRPr="00753AAD">
        <w:t>oskytovatele včetně uvedení sídla, IČ a DIČ,</w:t>
      </w:r>
    </w:p>
    <w:p w14:paraId="0235F960" w14:textId="77777777" w:rsidR="00627AA1" w:rsidRDefault="00627AA1" w:rsidP="00627AA1">
      <w:pPr>
        <w:pStyle w:val="Odstavecseseznamem"/>
        <w:numPr>
          <w:ilvl w:val="0"/>
          <w:numId w:val="10"/>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753AAD">
        <w:t>evidenční číslo faktury</w:t>
      </w:r>
      <w:r>
        <w:t xml:space="preserve">, </w:t>
      </w:r>
    </w:p>
    <w:p w14:paraId="6BAC825B" w14:textId="77777777" w:rsidR="00627AA1" w:rsidRDefault="00627AA1" w:rsidP="00627AA1">
      <w:pPr>
        <w:pStyle w:val="Odstavecseseznamem"/>
        <w:numPr>
          <w:ilvl w:val="0"/>
          <w:numId w:val="10"/>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753AAD">
        <w:t>datum vystavení faktury,</w:t>
      </w:r>
    </w:p>
    <w:p w14:paraId="5411DCE3" w14:textId="77777777" w:rsidR="00627AA1" w:rsidRDefault="00627AA1" w:rsidP="00627AA1">
      <w:pPr>
        <w:pStyle w:val="Odstavecseseznamem"/>
        <w:numPr>
          <w:ilvl w:val="0"/>
          <w:numId w:val="10"/>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753AAD">
        <w:t>rozsah a předmět plnění,</w:t>
      </w:r>
    </w:p>
    <w:p w14:paraId="4C53DCBC" w14:textId="77777777" w:rsidR="00627AA1" w:rsidRDefault="00627AA1" w:rsidP="00627AA1">
      <w:pPr>
        <w:pStyle w:val="Odstavecseseznamem"/>
        <w:numPr>
          <w:ilvl w:val="0"/>
          <w:numId w:val="10"/>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753AAD">
        <w:t>den uskutečnění plnění,</w:t>
      </w:r>
    </w:p>
    <w:p w14:paraId="48480432" w14:textId="77777777" w:rsidR="00627AA1" w:rsidRDefault="00627AA1" w:rsidP="00627AA1">
      <w:pPr>
        <w:pStyle w:val="Odstavecseseznamem"/>
        <w:numPr>
          <w:ilvl w:val="0"/>
          <w:numId w:val="10"/>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753AAD">
        <w:t>lhůtu splatnosti v souladu s předchozím odstavcem,</w:t>
      </w:r>
    </w:p>
    <w:p w14:paraId="0DD5BB39" w14:textId="77777777" w:rsidR="00627AA1" w:rsidRDefault="00627AA1" w:rsidP="00627AA1">
      <w:pPr>
        <w:pStyle w:val="Odstavecseseznamem"/>
        <w:numPr>
          <w:ilvl w:val="0"/>
          <w:numId w:val="10"/>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753AAD">
        <w:t>označení banky a číslo účtu, na který má být cena poukázána.</w:t>
      </w:r>
    </w:p>
    <w:p w14:paraId="5B7C3101" w14:textId="77777777" w:rsidR="00627AA1" w:rsidRPr="00753AAD" w:rsidRDefault="00627AA1" w:rsidP="00627AA1">
      <w:p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ind w:left="908"/>
        <w:jc w:val="both"/>
        <w:textAlignment w:val="baseline"/>
      </w:pPr>
      <w:r w:rsidRPr="00753AAD">
        <w:t xml:space="preserve"> </w:t>
      </w:r>
    </w:p>
    <w:p w14:paraId="4670CF26" w14:textId="77777777" w:rsidR="00627AA1" w:rsidRDefault="00627AA1" w:rsidP="00627AA1">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753AAD">
        <w:t>Kromě náležitostí uvedených v předchozím odstavci musí faktura (daňový doklad)</w:t>
      </w:r>
      <w:r>
        <w:t xml:space="preserve"> </w:t>
      </w:r>
      <w:r w:rsidRPr="00753AAD">
        <w:t>obsahovat náležitosti dle příslušných právních předpisů.</w:t>
      </w:r>
    </w:p>
    <w:p w14:paraId="70C7D233" w14:textId="77777777" w:rsidR="00627AA1" w:rsidRDefault="00627AA1" w:rsidP="00627AA1">
      <w:pPr>
        <w:pStyle w:val="Odstavecseseznamem"/>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p>
    <w:p w14:paraId="3CD7CFDC" w14:textId="77777777" w:rsidR="00627AA1" w:rsidRDefault="00627AA1" w:rsidP="00627AA1">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753AAD">
        <w:t xml:space="preserve">Jestliže faktura (daňový doklad) nebude obsahovat dohodnuté náležitosti, nebo náležitosti dle příslušných právních předpisů, nebo bude mít jiné vady, je </w:t>
      </w:r>
      <w:r>
        <w:t>O</w:t>
      </w:r>
      <w:r w:rsidRPr="00753AAD">
        <w:t xml:space="preserve">bjednatel oprávněn ji vrátit </w:t>
      </w:r>
      <w:r>
        <w:t>P</w:t>
      </w:r>
      <w:r w:rsidRPr="00753AAD">
        <w:t xml:space="preserve">oskytovateli s uvedením vad. V takovém případě se přeruší lhůta splatnosti a počne běžet znovu ve stejné délce </w:t>
      </w:r>
      <w:r>
        <w:t>doručením</w:t>
      </w:r>
      <w:r w:rsidRPr="00753AAD">
        <w:t xml:space="preserve"> opravené faktury (daňového dokladu)</w:t>
      </w:r>
      <w:r>
        <w:t xml:space="preserve"> Objednateli</w:t>
      </w:r>
      <w:r w:rsidRPr="00753AAD">
        <w:t>.</w:t>
      </w:r>
    </w:p>
    <w:p w14:paraId="3E4E02F7" w14:textId="77777777" w:rsidR="00627AA1" w:rsidRDefault="00627AA1" w:rsidP="00627AA1">
      <w:p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p>
    <w:p w14:paraId="51D4819D" w14:textId="77777777" w:rsidR="00627AA1" w:rsidRDefault="00627AA1" w:rsidP="00627AA1">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753AAD">
        <w:t xml:space="preserve">Dohodnutou cenu uhradí </w:t>
      </w:r>
      <w:r>
        <w:t>O</w:t>
      </w:r>
      <w:r w:rsidRPr="00753AAD">
        <w:t xml:space="preserve">bjednatel na základě faktury (daňového dokladu), která obsahuje všechny náležitosti stanovené touto smlouvou a příslušnými právními předpisy, bezhotovostním převodem na účet uvedený </w:t>
      </w:r>
      <w:r>
        <w:t>na faktuře</w:t>
      </w:r>
      <w:r w:rsidRPr="00753AAD">
        <w:t>.</w:t>
      </w:r>
    </w:p>
    <w:p w14:paraId="607D539A" w14:textId="77777777" w:rsidR="00627AA1" w:rsidRDefault="00627AA1" w:rsidP="00627AA1">
      <w:pPr>
        <w:pStyle w:val="Odstavecseseznamem"/>
      </w:pPr>
    </w:p>
    <w:p w14:paraId="42FD268B" w14:textId="77777777" w:rsidR="00627AA1" w:rsidRPr="003D6E76" w:rsidRDefault="00627AA1" w:rsidP="00627AA1">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3D6E76">
        <w:rPr>
          <w:bCs/>
          <w:iCs/>
          <w:lang w:eastAsia="x-none"/>
        </w:rPr>
        <w:t xml:space="preserve">Smluvní strany sjednávají inflační doložku, na základě, které je </w:t>
      </w:r>
      <w:r>
        <w:t>Poskytovatel</w:t>
      </w:r>
      <w:r w:rsidRPr="00753AAD">
        <w:t xml:space="preserve"> </w:t>
      </w:r>
      <w:r w:rsidRPr="003D6E76">
        <w:rPr>
          <w:bCs/>
          <w:iCs/>
          <w:lang w:eastAsia="x-none"/>
        </w:rPr>
        <w:t>oprávněn zvýšit cenu – viz níže.</w:t>
      </w:r>
    </w:p>
    <w:p w14:paraId="04BC760C" w14:textId="77777777" w:rsidR="00627AA1" w:rsidRPr="003D6E76" w:rsidRDefault="00627AA1" w:rsidP="00627AA1">
      <w:p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p>
    <w:p w14:paraId="4D094BC7" w14:textId="77777777" w:rsidR="00627AA1" w:rsidRPr="003D6E76" w:rsidRDefault="00627AA1" w:rsidP="00627AA1">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3D6E76">
        <w:t xml:space="preserve">Poskytovatel je oprávněn zvýšit cenu za </w:t>
      </w:r>
      <w:r>
        <w:t>plnění dle</w:t>
      </w:r>
      <w:r w:rsidRPr="003D6E76">
        <w:t xml:space="preserve"> článku III. smlouvy, avšak nejdříve s účinností od 1. 4. 2026.</w:t>
      </w:r>
    </w:p>
    <w:p w14:paraId="78ACEB94" w14:textId="77777777" w:rsidR="00627AA1" w:rsidRPr="003D6E76" w:rsidRDefault="00627AA1" w:rsidP="00627AA1">
      <w:p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p>
    <w:p w14:paraId="1CD68840" w14:textId="77777777" w:rsidR="00627AA1" w:rsidRPr="003D6E76" w:rsidRDefault="00627AA1" w:rsidP="00627AA1">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3D6E76">
        <w:t xml:space="preserve">Poskytovatel může zvýšit cenu </w:t>
      </w:r>
      <w:r>
        <w:t>dle této smlouvy</w:t>
      </w:r>
      <w:r w:rsidRPr="003D6E76">
        <w:t xml:space="preserve"> v souvislosti s přírůstkem průměrného ročního indexu spotřebitelských cen (dále jen „míra inflace“) vyhlášeným Českým statistickým úřadem za předchozí kalendářní rok. Poskytovatel je oprávněn zvýšit cenu o 50 % míry inflace podle předchozí věty, avšak pouze v případě, že míra inflace v daném kalendářním roce přesáhne 3 % (slovy: tři procenta), Poskytovatel je v každém roce oprávněn zvýšit cenu podle tohoto článku nejvýše o 5 % (slovy: pět procent); to platí i v případě, že míra inflace za předcházející kalendářní rok bude vyšší. Pro vyloučení pochybností se sjednává, že v případě záporné míry inflace se cena nesnižuje.</w:t>
      </w:r>
    </w:p>
    <w:p w14:paraId="6D35BFE9" w14:textId="77777777" w:rsidR="00627AA1" w:rsidRPr="003D6E76" w:rsidRDefault="00627AA1" w:rsidP="00627AA1">
      <w:p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p>
    <w:p w14:paraId="4210447B" w14:textId="77777777" w:rsidR="00627AA1" w:rsidRPr="003D6E76" w:rsidRDefault="00627AA1" w:rsidP="00627AA1">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3D6E76">
        <w:t xml:space="preserve">Zvýšení ceny je platné od okamžiku doručení písemného oznámení Poskytovatele o zvýšení ceny Objednateli a účinné </w:t>
      </w:r>
      <w:r>
        <w:t>od kalendářního měsíce následujícího, není-li stanoveno jinak</w:t>
      </w:r>
      <w:r w:rsidRPr="003D6E76">
        <w:t xml:space="preserve">. Oznámení musí obsahovat míru inflace, zvýšenou cenu a podrobnosti výpočtu zvýšení. Nebude-li oznámení o zvýšení ceny doručeno objednateli do 31. března kalendářního roku, právo </w:t>
      </w:r>
      <w:r>
        <w:t>Poskytovatele</w:t>
      </w:r>
      <w:r w:rsidRPr="00753AAD">
        <w:t xml:space="preserve"> </w:t>
      </w:r>
      <w:r w:rsidRPr="003D6E76">
        <w:t>na uplatnění zvýšení ceny v daném kalendářním roce zaniká.</w:t>
      </w:r>
      <w:bookmarkStart w:id="0" w:name="_Hlk183589634"/>
    </w:p>
    <w:p w14:paraId="051FFFD3" w14:textId="77777777" w:rsidR="00627AA1" w:rsidRPr="003D6E76" w:rsidRDefault="00627AA1" w:rsidP="00627AA1">
      <w:p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p>
    <w:p w14:paraId="37A5ECA9" w14:textId="77777777" w:rsidR="00627AA1" w:rsidRPr="003D6E76" w:rsidRDefault="00627AA1" w:rsidP="00627AA1">
      <w:pPr>
        <w:pStyle w:val="Odstavecseseznamem"/>
        <w:numPr>
          <w:ilvl w:val="0"/>
          <w:numId w:val="9"/>
        </w:numPr>
        <w:pBdr>
          <w:top w:val="none" w:sz="0" w:space="0" w:color="auto"/>
          <w:left w:val="none" w:sz="0" w:space="0" w:color="auto"/>
          <w:bottom w:val="none" w:sz="0" w:space="0" w:color="auto"/>
          <w:right w:val="none" w:sz="0" w:space="0" w:color="auto"/>
          <w:between w:val="none" w:sz="0" w:space="0" w:color="auto"/>
        </w:pBdr>
        <w:tabs>
          <w:tab w:val="left" w:pos="907"/>
        </w:tabs>
        <w:overflowPunct w:val="0"/>
        <w:autoSpaceDE w:val="0"/>
        <w:autoSpaceDN w:val="0"/>
        <w:adjustRightInd w:val="0"/>
        <w:spacing w:line="240" w:lineRule="auto"/>
        <w:jc w:val="both"/>
        <w:textAlignment w:val="baseline"/>
      </w:pPr>
      <w:r w:rsidRPr="003D6E76">
        <w:t xml:space="preserve">Písemné oznámení o zvýšení ceny musí být doručeno do datové schránky, spolu s označením osoby </w:t>
      </w:r>
      <w:r>
        <w:t>O</w:t>
      </w:r>
      <w:r w:rsidRPr="003D6E76">
        <w:t xml:space="preserve">bjednatele a této smlouvy včetně uvedení jejího evidenčního čísla. Písemné oznámení musí být určeno do rukou některé z kontaktních osob </w:t>
      </w:r>
      <w:r>
        <w:t>O</w:t>
      </w:r>
      <w:r w:rsidRPr="003D6E76">
        <w:t>bjednatele</w:t>
      </w:r>
      <w:bookmarkEnd w:id="0"/>
      <w:r w:rsidRPr="003D6E76">
        <w:t>.</w:t>
      </w:r>
    </w:p>
    <w:p w14:paraId="7374F345" w14:textId="77777777" w:rsidR="00627AA1" w:rsidRDefault="00627AA1" w:rsidP="00627AA1">
      <w:pPr>
        <w:jc w:val="both"/>
      </w:pPr>
    </w:p>
    <w:p w14:paraId="68A5A323" w14:textId="77777777" w:rsidR="00627AA1" w:rsidRPr="00753AAD" w:rsidRDefault="00627AA1" w:rsidP="00627AA1">
      <w:pPr>
        <w:jc w:val="both"/>
      </w:pPr>
    </w:p>
    <w:p w14:paraId="35706655" w14:textId="77777777" w:rsidR="00627AA1" w:rsidRPr="00753AAD" w:rsidRDefault="00627AA1" w:rsidP="00627AA1">
      <w:pPr>
        <w:spacing w:before="100" w:after="100" w:line="240" w:lineRule="auto"/>
        <w:contextualSpacing/>
        <w:jc w:val="center"/>
        <w:rPr>
          <w:b/>
        </w:rPr>
      </w:pPr>
      <w:r w:rsidRPr="00753AAD">
        <w:rPr>
          <w:b/>
        </w:rPr>
        <w:t>IV.</w:t>
      </w:r>
    </w:p>
    <w:p w14:paraId="3412A4F2" w14:textId="77777777" w:rsidR="00627AA1" w:rsidRPr="00753AAD" w:rsidRDefault="00627AA1" w:rsidP="00627AA1">
      <w:pPr>
        <w:spacing w:before="100" w:after="100" w:line="240" w:lineRule="auto"/>
        <w:contextualSpacing/>
        <w:jc w:val="center"/>
      </w:pPr>
      <w:r w:rsidRPr="00753AAD">
        <w:rPr>
          <w:b/>
        </w:rPr>
        <w:t>Práva a povinnosti smluvních stran</w:t>
      </w:r>
    </w:p>
    <w:p w14:paraId="4A4E9821" w14:textId="77777777" w:rsidR="00627AA1" w:rsidRDefault="00627AA1" w:rsidP="00627AA1">
      <w:pPr>
        <w:pStyle w:val="Odstavecseseznamem"/>
        <w:spacing w:before="100" w:after="100" w:line="240" w:lineRule="auto"/>
        <w:ind w:left="360"/>
        <w:jc w:val="both"/>
      </w:pPr>
    </w:p>
    <w:p w14:paraId="442EF704" w14:textId="77777777" w:rsidR="00627AA1" w:rsidRDefault="00627AA1" w:rsidP="00627AA1">
      <w:pPr>
        <w:pStyle w:val="Odstavecseseznamem"/>
        <w:numPr>
          <w:ilvl w:val="0"/>
          <w:numId w:val="2"/>
        </w:numPr>
        <w:spacing w:before="100" w:after="100" w:line="240" w:lineRule="auto"/>
        <w:jc w:val="both"/>
      </w:pPr>
      <w:r w:rsidRPr="00753AAD">
        <w:t>Poskytovatel se zavazuje řádně, v určeném termínu a v souladu s</w:t>
      </w:r>
      <w:r>
        <w:t> právními předpisy</w:t>
      </w:r>
      <w:r w:rsidRPr="00753AAD">
        <w:t xml:space="preserve"> zajišťovat realizaci předmětu </w:t>
      </w:r>
      <w:r>
        <w:t>této s</w:t>
      </w:r>
      <w:r w:rsidRPr="00753AAD">
        <w:t>mlouvy.</w:t>
      </w:r>
    </w:p>
    <w:p w14:paraId="58C723CD" w14:textId="77777777" w:rsidR="00627AA1" w:rsidRPr="00753AAD" w:rsidRDefault="00627AA1" w:rsidP="00627AA1">
      <w:pPr>
        <w:pStyle w:val="Odstavecseseznamem"/>
        <w:spacing w:before="100" w:after="100" w:line="240" w:lineRule="auto"/>
        <w:ind w:left="360"/>
        <w:jc w:val="both"/>
      </w:pPr>
    </w:p>
    <w:p w14:paraId="6AB55705" w14:textId="77777777" w:rsidR="00627AA1" w:rsidRPr="00753AAD" w:rsidRDefault="00627AA1" w:rsidP="00627AA1">
      <w:pPr>
        <w:pStyle w:val="Odstavecseseznamem"/>
        <w:numPr>
          <w:ilvl w:val="0"/>
          <w:numId w:val="2"/>
        </w:numPr>
        <w:spacing w:before="100" w:after="100" w:line="240" w:lineRule="auto"/>
        <w:jc w:val="both"/>
      </w:pPr>
      <w:r w:rsidRPr="00753AAD">
        <w:t xml:space="preserve">Poskytovatel je povinen po celou dobu provádění plnění předmětu této </w:t>
      </w:r>
      <w:r>
        <w:t>s</w:t>
      </w:r>
      <w:r w:rsidRPr="00753AAD">
        <w:t xml:space="preserve">mlouvy disponovat potřebnou kvalifikací.    </w:t>
      </w:r>
    </w:p>
    <w:p w14:paraId="49D85C11" w14:textId="77777777" w:rsidR="00627AA1" w:rsidRPr="00753AAD" w:rsidRDefault="00627AA1" w:rsidP="00627AA1">
      <w:pPr>
        <w:numPr>
          <w:ilvl w:val="0"/>
          <w:numId w:val="2"/>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both"/>
        <w:textAlignment w:val="baseline"/>
      </w:pPr>
      <w:r w:rsidRPr="00753AAD">
        <w:t xml:space="preserve">Poskytovatel se zavazuje neprodleně informovat </w:t>
      </w:r>
      <w:r>
        <w:t>O</w:t>
      </w:r>
      <w:r w:rsidRPr="00753AAD">
        <w:t>bjednatele o všech skutečnostech, které by mu mohly způsobit finanční, nebo jinou újmu a o překážkách, které by mohly ohrozit termíny stanovené touto smlouvou.</w:t>
      </w:r>
    </w:p>
    <w:p w14:paraId="0C50DEAE" w14:textId="77777777" w:rsidR="00627AA1" w:rsidRDefault="00627AA1" w:rsidP="00627AA1">
      <w:pPr>
        <w:pStyle w:val="Odstavecseseznamem"/>
        <w:numPr>
          <w:ilvl w:val="0"/>
          <w:numId w:val="2"/>
        </w:numPr>
        <w:spacing w:before="100" w:after="100" w:line="240" w:lineRule="auto"/>
        <w:jc w:val="both"/>
      </w:pPr>
      <w:r w:rsidRPr="00753AAD">
        <w:t xml:space="preserve">Poskytovatel je povinen po celou dobu realizace předmětu plnění mít sjednáno pojištění odpovědnosti na krytí </w:t>
      </w:r>
      <w:r>
        <w:t xml:space="preserve">újmy, </w:t>
      </w:r>
      <w:r w:rsidRPr="00753AAD">
        <w:t>škody na zdraví</w:t>
      </w:r>
      <w:r>
        <w:t xml:space="preserve"> a</w:t>
      </w:r>
      <w:r w:rsidRPr="00753AAD">
        <w:t xml:space="preserve"> majetku</w:t>
      </w:r>
      <w:r>
        <w:t>, za něž odpovídá P</w:t>
      </w:r>
      <w:r w:rsidRPr="00753AAD">
        <w:t>oskytovatel.</w:t>
      </w:r>
    </w:p>
    <w:p w14:paraId="157B7F46" w14:textId="77777777" w:rsidR="00627AA1" w:rsidRPr="00753AAD" w:rsidRDefault="00627AA1" w:rsidP="00627AA1">
      <w:pPr>
        <w:pStyle w:val="Odstavecseseznamem"/>
        <w:spacing w:before="100" w:after="100" w:line="240" w:lineRule="auto"/>
        <w:ind w:left="360"/>
        <w:jc w:val="both"/>
      </w:pPr>
    </w:p>
    <w:p w14:paraId="3DCE4D89" w14:textId="77777777" w:rsidR="00627AA1" w:rsidRDefault="00627AA1" w:rsidP="00627AA1">
      <w:pPr>
        <w:pStyle w:val="Odstavecseseznamem"/>
        <w:numPr>
          <w:ilvl w:val="0"/>
          <w:numId w:val="2"/>
        </w:numPr>
        <w:spacing w:before="100" w:after="100" w:line="240" w:lineRule="auto"/>
        <w:jc w:val="both"/>
      </w:pPr>
      <w:r w:rsidRPr="00753AAD">
        <w:t>Poskytovatel je povinen nakládat s osobními údaji v souladu s interními postupy a na základě zákona č. 110/2019 Sb.</w:t>
      </w:r>
      <w:r>
        <w:t>,</w:t>
      </w:r>
      <w:r w:rsidRPr="00753AAD">
        <w:t xml:space="preserve"> </w:t>
      </w:r>
      <w:r>
        <w:t>o</w:t>
      </w:r>
      <w:r w:rsidRPr="00753AAD">
        <w:t xml:space="preserve"> zpracování osobních údajů.</w:t>
      </w:r>
    </w:p>
    <w:p w14:paraId="2E8167F2" w14:textId="77777777" w:rsidR="00627AA1" w:rsidRDefault="00627AA1" w:rsidP="00627AA1">
      <w:pPr>
        <w:pStyle w:val="Odstavecseseznamem"/>
      </w:pPr>
    </w:p>
    <w:p w14:paraId="357D8D53" w14:textId="77777777" w:rsidR="00627AA1" w:rsidRDefault="00627AA1" w:rsidP="00627AA1">
      <w:pPr>
        <w:pStyle w:val="Odstavecseseznamem"/>
        <w:numPr>
          <w:ilvl w:val="0"/>
          <w:numId w:val="2"/>
        </w:numPr>
        <w:spacing w:before="100" w:after="100" w:line="240" w:lineRule="auto"/>
        <w:jc w:val="both"/>
      </w:pPr>
      <w:r w:rsidRPr="00753AAD">
        <w:t xml:space="preserve">Poskytovatel je povinen vést potřebnou evidenci dle </w:t>
      </w:r>
      <w:r>
        <w:t>právních předpisů</w:t>
      </w:r>
      <w:r w:rsidRPr="00753AAD">
        <w:t xml:space="preserve">. </w:t>
      </w:r>
    </w:p>
    <w:p w14:paraId="2CA37DE6" w14:textId="77777777" w:rsidR="00627AA1" w:rsidRDefault="00627AA1" w:rsidP="00627AA1">
      <w:pPr>
        <w:pStyle w:val="Odstavecseseznamem"/>
      </w:pPr>
    </w:p>
    <w:p w14:paraId="1721A4BE" w14:textId="77777777" w:rsidR="00627AA1" w:rsidRPr="00753AAD" w:rsidRDefault="00627AA1" w:rsidP="00627AA1">
      <w:pPr>
        <w:pStyle w:val="Odstavecseseznamem"/>
        <w:numPr>
          <w:ilvl w:val="0"/>
          <w:numId w:val="2"/>
        </w:numPr>
        <w:spacing w:before="100" w:after="100" w:line="240" w:lineRule="auto"/>
        <w:jc w:val="both"/>
      </w:pPr>
      <w:r w:rsidRPr="00753AAD">
        <w:t>Objednatel je oprávněn kontrol</w:t>
      </w:r>
      <w:r>
        <w:t>ovat</w:t>
      </w:r>
      <w:r w:rsidRPr="00753AAD">
        <w:t xml:space="preserve"> plnění předmětu Smlouvy.</w:t>
      </w:r>
    </w:p>
    <w:p w14:paraId="00B9CBBE" w14:textId="77777777" w:rsidR="00627AA1" w:rsidRPr="00753AAD" w:rsidRDefault="00627AA1" w:rsidP="00627AA1">
      <w:pPr>
        <w:jc w:val="both"/>
      </w:pPr>
    </w:p>
    <w:p w14:paraId="72C9ECC5" w14:textId="77777777" w:rsidR="00627AA1" w:rsidRDefault="00627AA1" w:rsidP="00627AA1">
      <w:pPr>
        <w:spacing w:before="100" w:after="100" w:line="240" w:lineRule="auto"/>
        <w:contextualSpacing/>
        <w:jc w:val="center"/>
        <w:rPr>
          <w:rFonts w:eastAsia="Times New Roman"/>
          <w:b/>
        </w:rPr>
      </w:pPr>
    </w:p>
    <w:p w14:paraId="478D3CF9" w14:textId="77777777" w:rsidR="00627AA1" w:rsidRPr="00753AAD" w:rsidRDefault="00627AA1" w:rsidP="00627AA1">
      <w:pPr>
        <w:spacing w:before="100" w:after="100" w:line="240" w:lineRule="auto"/>
        <w:contextualSpacing/>
        <w:jc w:val="center"/>
        <w:rPr>
          <w:rFonts w:eastAsia="Times New Roman"/>
          <w:b/>
        </w:rPr>
      </w:pPr>
      <w:r w:rsidRPr="00753AAD">
        <w:rPr>
          <w:rFonts w:eastAsia="Times New Roman"/>
          <w:b/>
        </w:rPr>
        <w:t>V.</w:t>
      </w:r>
    </w:p>
    <w:p w14:paraId="10690822" w14:textId="77777777" w:rsidR="00627AA1" w:rsidRPr="00753AAD" w:rsidRDefault="00627AA1" w:rsidP="00627AA1">
      <w:pPr>
        <w:spacing w:before="100" w:after="100" w:line="240" w:lineRule="auto"/>
        <w:contextualSpacing/>
        <w:jc w:val="center"/>
        <w:rPr>
          <w:rFonts w:eastAsia="Times New Roman"/>
          <w:b/>
        </w:rPr>
      </w:pPr>
      <w:r w:rsidRPr="00753AAD">
        <w:rPr>
          <w:rFonts w:eastAsia="Times New Roman"/>
          <w:b/>
        </w:rPr>
        <w:t>Doba platnosti smlouvy</w:t>
      </w:r>
    </w:p>
    <w:p w14:paraId="2869B481" w14:textId="77777777" w:rsidR="00627AA1" w:rsidRPr="00A8521D" w:rsidRDefault="00627AA1" w:rsidP="00627AA1">
      <w:pPr>
        <w:pStyle w:val="Odstavecseseznamem"/>
        <w:spacing w:before="100" w:after="100" w:line="240" w:lineRule="auto"/>
        <w:ind w:left="360"/>
        <w:jc w:val="both"/>
        <w:rPr>
          <w:rFonts w:eastAsia="Times New Roman"/>
        </w:rPr>
      </w:pPr>
    </w:p>
    <w:p w14:paraId="7A3E7C85" w14:textId="77777777" w:rsidR="00627AA1" w:rsidRPr="003D5D4A" w:rsidRDefault="00627AA1" w:rsidP="00627AA1">
      <w:pPr>
        <w:pStyle w:val="Odstavecseseznamem"/>
        <w:numPr>
          <w:ilvl w:val="0"/>
          <w:numId w:val="4"/>
        </w:numPr>
        <w:spacing w:before="100" w:after="100" w:line="240" w:lineRule="auto"/>
        <w:jc w:val="both"/>
        <w:rPr>
          <w:rFonts w:eastAsia="Times New Roman"/>
        </w:rPr>
      </w:pPr>
      <w:r w:rsidRPr="00753AAD">
        <w:rPr>
          <w:rFonts w:eastAsia="Times New Roman"/>
          <w:color w:val="auto"/>
        </w:rPr>
        <w:lastRenderedPageBreak/>
        <w:t xml:space="preserve">Smlouva nabývá platnosti okamžikem jejího podpisu oběma smluvními stranami a </w:t>
      </w:r>
      <w:r>
        <w:rPr>
          <w:rFonts w:eastAsia="Times New Roman"/>
          <w:color w:val="auto"/>
        </w:rPr>
        <w:t>účinnosti zveřejněním v registru smluv.</w:t>
      </w:r>
    </w:p>
    <w:p w14:paraId="4A3BFB58" w14:textId="2A5389E8" w:rsidR="00627AA1" w:rsidRPr="003D5D4A" w:rsidRDefault="00627AA1" w:rsidP="00627AA1">
      <w:pPr>
        <w:pStyle w:val="Odstavecseseznamem"/>
        <w:numPr>
          <w:ilvl w:val="0"/>
          <w:numId w:val="4"/>
        </w:numPr>
        <w:spacing w:before="100" w:after="100" w:line="240" w:lineRule="auto"/>
        <w:jc w:val="both"/>
        <w:rPr>
          <w:rFonts w:eastAsia="Times New Roman"/>
        </w:rPr>
      </w:pPr>
      <w:r>
        <w:rPr>
          <w:rFonts w:eastAsia="Times New Roman"/>
          <w:color w:val="auto"/>
        </w:rPr>
        <w:t xml:space="preserve">Smlouva je </w:t>
      </w:r>
      <w:r w:rsidRPr="000A43CB">
        <w:rPr>
          <w:rFonts w:eastAsia="Times New Roman"/>
          <w:color w:val="auto"/>
        </w:rPr>
        <w:t>sjednána na dobu neurčitou</w:t>
      </w:r>
      <w:r>
        <w:rPr>
          <w:rFonts w:eastAsia="Times New Roman"/>
          <w:color w:val="auto"/>
        </w:rPr>
        <w:t xml:space="preserve">, a to počínaje dnem 1. února 2025 </w:t>
      </w:r>
      <w:r w:rsidRPr="000A43CB">
        <w:rPr>
          <w:rFonts w:eastAsia="Times New Roman"/>
          <w:color w:val="auto"/>
        </w:rPr>
        <w:t>.</w:t>
      </w:r>
    </w:p>
    <w:p w14:paraId="7A2630B6" w14:textId="77777777" w:rsidR="00627AA1" w:rsidRPr="00344CE0" w:rsidRDefault="00627AA1" w:rsidP="00627AA1">
      <w:pPr>
        <w:pStyle w:val="Odstavecseseznamem"/>
        <w:numPr>
          <w:ilvl w:val="0"/>
          <w:numId w:val="4"/>
        </w:numPr>
        <w:spacing w:before="100" w:after="100" w:line="240" w:lineRule="auto"/>
        <w:jc w:val="both"/>
        <w:rPr>
          <w:rFonts w:eastAsia="Times New Roman"/>
        </w:rPr>
      </w:pPr>
      <w:r>
        <w:rPr>
          <w:rFonts w:eastAsia="Times New Roman"/>
          <w:color w:val="auto"/>
        </w:rPr>
        <w:t xml:space="preserve">Smlouvu je možné vypovědět i bez uvedení důvodu písemnou výpovědí. </w:t>
      </w:r>
      <w:r w:rsidRPr="000A43CB">
        <w:rPr>
          <w:rFonts w:eastAsia="Times New Roman"/>
          <w:color w:val="auto"/>
        </w:rPr>
        <w:t>Výpovědní doba činí 2 měsíce</w:t>
      </w:r>
      <w:r>
        <w:rPr>
          <w:rFonts w:eastAsia="Times New Roman"/>
          <w:color w:val="auto"/>
        </w:rPr>
        <w:t xml:space="preserve"> a začíná plynou</w:t>
      </w:r>
      <w:r w:rsidRPr="000A43CB">
        <w:rPr>
          <w:rFonts w:eastAsia="Times New Roman"/>
          <w:color w:val="auto"/>
        </w:rPr>
        <w:t xml:space="preserve"> </w:t>
      </w:r>
      <w:r>
        <w:rPr>
          <w:rFonts w:eastAsia="Times New Roman"/>
          <w:color w:val="auto"/>
        </w:rPr>
        <w:t>od prvního dne měsíce následujícího po doručení výpovědi druhé straně</w:t>
      </w:r>
      <w:r w:rsidRPr="000A43CB">
        <w:rPr>
          <w:rFonts w:eastAsia="Times New Roman"/>
          <w:color w:val="auto"/>
        </w:rPr>
        <w:t>.</w:t>
      </w:r>
    </w:p>
    <w:p w14:paraId="2627BCD7" w14:textId="77777777" w:rsidR="00627AA1" w:rsidRPr="00753AAD" w:rsidRDefault="00627AA1" w:rsidP="00627AA1">
      <w:pPr>
        <w:pStyle w:val="Odstavecseseznamem"/>
        <w:spacing w:before="100" w:after="100" w:line="240" w:lineRule="auto"/>
        <w:ind w:left="360"/>
        <w:rPr>
          <w:rFonts w:eastAsia="Times New Roman"/>
        </w:rPr>
      </w:pPr>
    </w:p>
    <w:p w14:paraId="5D844E5C" w14:textId="77777777" w:rsidR="00627AA1" w:rsidRPr="00753AAD" w:rsidRDefault="00627AA1" w:rsidP="00627AA1">
      <w:pPr>
        <w:spacing w:before="100" w:after="100" w:line="240" w:lineRule="auto"/>
        <w:contextualSpacing/>
        <w:jc w:val="center"/>
        <w:rPr>
          <w:rFonts w:eastAsia="Times New Roman"/>
          <w:b/>
        </w:rPr>
      </w:pPr>
      <w:r w:rsidRPr="00753AAD">
        <w:rPr>
          <w:rFonts w:eastAsia="Times New Roman"/>
          <w:b/>
        </w:rPr>
        <w:t>VI.</w:t>
      </w:r>
    </w:p>
    <w:p w14:paraId="37BEF97D" w14:textId="77777777" w:rsidR="00627AA1" w:rsidRPr="00753AAD" w:rsidRDefault="00627AA1" w:rsidP="00627AA1">
      <w:pPr>
        <w:spacing w:before="100" w:after="100" w:line="240" w:lineRule="auto"/>
        <w:contextualSpacing/>
        <w:jc w:val="center"/>
        <w:rPr>
          <w:rFonts w:eastAsia="Times New Roman"/>
          <w:b/>
        </w:rPr>
      </w:pPr>
      <w:r w:rsidRPr="00753AAD">
        <w:rPr>
          <w:rFonts w:eastAsia="Times New Roman"/>
          <w:b/>
        </w:rPr>
        <w:t>Ukončení smlouvy</w:t>
      </w:r>
    </w:p>
    <w:p w14:paraId="3475F0A0" w14:textId="77777777" w:rsidR="00627AA1" w:rsidRDefault="00627AA1" w:rsidP="00627AA1">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jc w:val="both"/>
        <w:textAlignment w:val="baseline"/>
        <w:rPr>
          <w:color w:val="auto"/>
        </w:rPr>
      </w:pPr>
    </w:p>
    <w:p w14:paraId="2B9CF727" w14:textId="77777777" w:rsidR="00627AA1" w:rsidRPr="00753AAD" w:rsidRDefault="00627AA1" w:rsidP="00627AA1">
      <w:pPr>
        <w:numPr>
          <w:ilvl w:val="0"/>
          <w:numId w:val="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hanging="454"/>
        <w:jc w:val="both"/>
        <w:textAlignment w:val="baseline"/>
        <w:rPr>
          <w:color w:val="auto"/>
        </w:rPr>
      </w:pPr>
      <w:r w:rsidRPr="00753AAD">
        <w:rPr>
          <w:color w:val="auto"/>
        </w:rPr>
        <w:t xml:space="preserve">Smluvní strany mohou odstoupit od této smlouvy z důvodů stanovených zákonem nebo touto </w:t>
      </w:r>
      <w:r>
        <w:rPr>
          <w:color w:val="auto"/>
        </w:rPr>
        <w:t>s</w:t>
      </w:r>
      <w:r w:rsidRPr="00753AAD">
        <w:rPr>
          <w:color w:val="auto"/>
        </w:rPr>
        <w:t>mlouvou.</w:t>
      </w:r>
    </w:p>
    <w:p w14:paraId="3FC26284" w14:textId="77777777" w:rsidR="00627AA1" w:rsidRPr="00753AAD" w:rsidRDefault="00627AA1" w:rsidP="00627AA1">
      <w:pPr>
        <w:numPr>
          <w:ilvl w:val="0"/>
          <w:numId w:val="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hanging="454"/>
        <w:jc w:val="both"/>
        <w:textAlignment w:val="baseline"/>
        <w:rPr>
          <w:color w:val="auto"/>
        </w:rPr>
      </w:pPr>
      <w:r w:rsidRPr="00753AAD">
        <w:rPr>
          <w:color w:val="auto"/>
        </w:rPr>
        <w:t xml:space="preserve">Objednatel je oprávněn </w:t>
      </w:r>
      <w:r>
        <w:rPr>
          <w:color w:val="auto"/>
        </w:rPr>
        <w:t>s</w:t>
      </w:r>
      <w:r w:rsidRPr="00753AAD">
        <w:rPr>
          <w:color w:val="auto"/>
        </w:rPr>
        <w:t>mlouv</w:t>
      </w:r>
      <w:r>
        <w:rPr>
          <w:color w:val="auto"/>
        </w:rPr>
        <w:t>u vypovědět s účinností ke dni doručení výpovědi Poskytovateli</w:t>
      </w:r>
      <w:r w:rsidRPr="00753AAD">
        <w:rPr>
          <w:color w:val="auto"/>
        </w:rPr>
        <w:t xml:space="preserve">, pokud </w:t>
      </w:r>
      <w:r>
        <w:rPr>
          <w:color w:val="auto"/>
        </w:rPr>
        <w:t>P</w:t>
      </w:r>
      <w:r w:rsidRPr="00753AAD">
        <w:rPr>
          <w:color w:val="auto"/>
        </w:rPr>
        <w:t xml:space="preserve">oskytovatel poruší jakoukoli svoji povinnost vyplývající z této </w:t>
      </w:r>
      <w:r>
        <w:rPr>
          <w:color w:val="auto"/>
        </w:rPr>
        <w:t>s</w:t>
      </w:r>
      <w:r w:rsidRPr="00753AAD">
        <w:rPr>
          <w:color w:val="auto"/>
        </w:rPr>
        <w:t xml:space="preserve">mlouvy, </w:t>
      </w:r>
      <w:r>
        <w:rPr>
          <w:color w:val="auto"/>
        </w:rPr>
        <w:t xml:space="preserve">nebo </w:t>
      </w:r>
      <w:r w:rsidRPr="00753AAD">
        <w:rPr>
          <w:color w:val="auto"/>
        </w:rPr>
        <w:t xml:space="preserve">pokud </w:t>
      </w:r>
      <w:r>
        <w:rPr>
          <w:color w:val="auto"/>
        </w:rPr>
        <w:t>P</w:t>
      </w:r>
      <w:r w:rsidRPr="00753AAD">
        <w:rPr>
          <w:color w:val="auto"/>
        </w:rPr>
        <w:t>oskytovatel vstoupí do likvidace nebo je proti němu zahájeno insolvenční řízení.</w:t>
      </w:r>
    </w:p>
    <w:p w14:paraId="1F4A4982" w14:textId="77777777" w:rsidR="00627AA1" w:rsidRPr="00753AAD" w:rsidRDefault="00627AA1" w:rsidP="00627AA1">
      <w:pPr>
        <w:numPr>
          <w:ilvl w:val="0"/>
          <w:numId w:val="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hanging="454"/>
        <w:jc w:val="both"/>
        <w:textAlignment w:val="baseline"/>
        <w:rPr>
          <w:color w:val="auto"/>
        </w:rPr>
      </w:pPr>
      <w:r>
        <w:rPr>
          <w:color w:val="auto"/>
        </w:rPr>
        <w:t>Smlouvu</w:t>
      </w:r>
      <w:r w:rsidRPr="00753AAD">
        <w:rPr>
          <w:color w:val="auto"/>
        </w:rPr>
        <w:t xml:space="preserve"> je možné též vypovědět dle § 1999 zák. č. 89/2012 Sb. (Občanský zákoník)</w:t>
      </w:r>
      <w:r>
        <w:rPr>
          <w:color w:val="auto"/>
        </w:rPr>
        <w:t>.</w:t>
      </w:r>
      <w:r w:rsidRPr="00753AAD">
        <w:rPr>
          <w:color w:val="auto"/>
        </w:rPr>
        <w:t xml:space="preserve"> </w:t>
      </w:r>
    </w:p>
    <w:p w14:paraId="7FF2B4BF" w14:textId="77777777" w:rsidR="00627AA1" w:rsidRPr="00753AAD" w:rsidRDefault="00627AA1" w:rsidP="00627AA1">
      <w:pPr>
        <w:spacing w:before="100" w:after="100" w:line="240" w:lineRule="auto"/>
        <w:contextualSpacing/>
        <w:rPr>
          <w:rFonts w:eastAsia="Times New Roman"/>
          <w:b/>
        </w:rPr>
      </w:pPr>
    </w:p>
    <w:p w14:paraId="1D0D1041" w14:textId="77777777" w:rsidR="00627AA1" w:rsidRPr="00753AAD" w:rsidRDefault="00627AA1" w:rsidP="00627AA1">
      <w:pPr>
        <w:spacing w:before="100" w:after="100" w:line="240" w:lineRule="auto"/>
        <w:contextualSpacing/>
        <w:rPr>
          <w:rFonts w:eastAsia="Times New Roman"/>
        </w:rPr>
      </w:pPr>
    </w:p>
    <w:p w14:paraId="193553AD" w14:textId="77777777" w:rsidR="00627AA1" w:rsidRPr="00753AAD" w:rsidRDefault="00627AA1" w:rsidP="00627AA1">
      <w:pPr>
        <w:pStyle w:val="Nadpis2"/>
        <w:rPr>
          <w:rFonts w:ascii="Arial" w:hAnsi="Arial" w:cs="Arial"/>
        </w:rPr>
      </w:pPr>
      <w:r w:rsidRPr="00753AAD">
        <w:rPr>
          <w:rFonts w:ascii="Arial" w:hAnsi="Arial" w:cs="Arial"/>
        </w:rPr>
        <w:t xml:space="preserve"> VII.</w:t>
      </w:r>
      <w:r w:rsidRPr="00753AAD">
        <w:rPr>
          <w:rFonts w:ascii="Arial" w:hAnsi="Arial" w:cs="Arial"/>
        </w:rPr>
        <w:br/>
        <w:t>Zveřejnění smlouvy a obchodní tajemství</w:t>
      </w:r>
    </w:p>
    <w:p w14:paraId="2DD7C0F5" w14:textId="77777777" w:rsidR="00627AA1" w:rsidRDefault="00627AA1" w:rsidP="00627AA1">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jc w:val="both"/>
        <w:textAlignment w:val="baseline"/>
        <w:rPr>
          <w:color w:val="auto"/>
        </w:rPr>
      </w:pPr>
    </w:p>
    <w:p w14:paraId="491237D1" w14:textId="77777777" w:rsidR="00627AA1" w:rsidRPr="00CC688F" w:rsidRDefault="00627AA1" w:rsidP="00627AA1">
      <w:pPr>
        <w:numPr>
          <w:ilvl w:val="0"/>
          <w:numId w:val="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hanging="454"/>
        <w:jc w:val="both"/>
        <w:textAlignment w:val="baseline"/>
        <w:rPr>
          <w:color w:val="auto"/>
        </w:rPr>
      </w:pPr>
      <w:r w:rsidRPr="00CC688F">
        <w:rPr>
          <w:color w:val="auto"/>
        </w:rPr>
        <w:t>Smluvní strany shodně konstatují, že t</w:t>
      </w:r>
      <w:r>
        <w:rPr>
          <w:color w:val="auto"/>
        </w:rPr>
        <w:t>ato</w:t>
      </w:r>
      <w:r w:rsidRPr="00CC688F">
        <w:rPr>
          <w:color w:val="auto"/>
        </w:rPr>
        <w:t xml:space="preserve"> </w:t>
      </w:r>
      <w:r>
        <w:rPr>
          <w:color w:val="auto"/>
        </w:rPr>
        <w:t xml:space="preserve">smlouva </w:t>
      </w:r>
      <w:r w:rsidRPr="00CC688F">
        <w:rPr>
          <w:color w:val="auto"/>
        </w:rPr>
        <w:t>podléhá režimu zákona č. 340/2015 Sb.</w:t>
      </w:r>
      <w:r>
        <w:rPr>
          <w:color w:val="auto"/>
        </w:rPr>
        <w:t>,</w:t>
      </w:r>
      <w:r w:rsidRPr="00CC688F">
        <w:rPr>
          <w:color w:val="auto"/>
        </w:rPr>
        <w:t xml:space="preserve"> o zvláštních podmínkách účinnosti některých smluv, uveřejňování těchto smluv a o registru smluv (zákon o registru smluv). Zveřejnění t</w:t>
      </w:r>
      <w:r>
        <w:rPr>
          <w:color w:val="auto"/>
        </w:rPr>
        <w:t xml:space="preserve">éto smlouvy </w:t>
      </w:r>
      <w:r w:rsidRPr="00CC688F">
        <w:rPr>
          <w:color w:val="auto"/>
        </w:rPr>
        <w:t>v registru smluv provede Střední odborná škola Jarov, Učňovská 100/1, 190 00 Praha 9, IČ</w:t>
      </w:r>
      <w:r>
        <w:rPr>
          <w:color w:val="auto"/>
        </w:rPr>
        <w:t>O:</w:t>
      </w:r>
      <w:r w:rsidRPr="00CC688F">
        <w:rPr>
          <w:color w:val="auto"/>
        </w:rPr>
        <w:t xml:space="preserve"> 00 300</w:t>
      </w:r>
      <w:r>
        <w:rPr>
          <w:color w:val="auto"/>
        </w:rPr>
        <w:t> </w:t>
      </w:r>
      <w:r w:rsidRPr="00CC688F">
        <w:rPr>
          <w:color w:val="auto"/>
        </w:rPr>
        <w:t>268.</w:t>
      </w:r>
    </w:p>
    <w:p w14:paraId="5AF42B56" w14:textId="77777777" w:rsidR="00627AA1" w:rsidRPr="00580CE8" w:rsidRDefault="00627AA1" w:rsidP="00627AA1">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both"/>
        <w:textAlignment w:val="baseline"/>
        <w:rPr>
          <w:color w:val="auto"/>
        </w:rPr>
      </w:pPr>
    </w:p>
    <w:p w14:paraId="642F56FC" w14:textId="77777777" w:rsidR="00627AA1" w:rsidRDefault="00627AA1" w:rsidP="00627AA1">
      <w:pPr>
        <w:numPr>
          <w:ilvl w:val="0"/>
          <w:numId w:val="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hanging="454"/>
        <w:jc w:val="both"/>
        <w:textAlignment w:val="baseline"/>
        <w:rPr>
          <w:color w:val="auto"/>
        </w:rPr>
      </w:pPr>
      <w:r>
        <w:rPr>
          <w:color w:val="auto"/>
        </w:rPr>
        <w:t>Poskytovatel</w:t>
      </w:r>
      <w:r w:rsidRPr="00753AAD">
        <w:rPr>
          <w:color w:val="auto"/>
        </w:rPr>
        <w:t xml:space="preserve"> prohlašuje, že skutečnosti uvedené v této </w:t>
      </w:r>
      <w:r>
        <w:rPr>
          <w:color w:val="auto"/>
        </w:rPr>
        <w:t>s</w:t>
      </w:r>
      <w:r w:rsidRPr="00753AAD">
        <w:rPr>
          <w:color w:val="auto"/>
        </w:rPr>
        <w:t>mlouvě nepovažuje za obchodní tajemství a uděluje svolení k jejich užití a zveřejnění bez stanovení jakýchkoliv dalších podmínek.</w:t>
      </w:r>
    </w:p>
    <w:p w14:paraId="0728EC19" w14:textId="77777777" w:rsidR="00627AA1" w:rsidRPr="00753AAD" w:rsidRDefault="00627AA1" w:rsidP="00627AA1">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both"/>
        <w:textAlignment w:val="baseline"/>
        <w:rPr>
          <w:color w:val="auto"/>
        </w:rPr>
      </w:pPr>
    </w:p>
    <w:p w14:paraId="47F639CC" w14:textId="77777777" w:rsidR="00627AA1" w:rsidRPr="00753AAD" w:rsidRDefault="00627AA1" w:rsidP="00627AA1">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jc w:val="both"/>
        <w:textAlignment w:val="baseline"/>
        <w:rPr>
          <w:color w:val="FF0000"/>
        </w:rPr>
      </w:pPr>
    </w:p>
    <w:p w14:paraId="4C142239" w14:textId="77777777" w:rsidR="00627AA1" w:rsidRDefault="00627AA1" w:rsidP="00627AA1">
      <w:pPr>
        <w:pStyle w:val="Nadpis2"/>
        <w:rPr>
          <w:rFonts w:ascii="Arial" w:hAnsi="Arial" w:cs="Arial"/>
        </w:rPr>
      </w:pPr>
      <w:r w:rsidRPr="00753AAD">
        <w:rPr>
          <w:rFonts w:ascii="Arial" w:hAnsi="Arial" w:cs="Arial"/>
        </w:rPr>
        <w:t xml:space="preserve"> VIII.</w:t>
      </w:r>
      <w:r w:rsidRPr="00753AAD">
        <w:rPr>
          <w:rFonts w:ascii="Arial" w:hAnsi="Arial" w:cs="Arial"/>
        </w:rPr>
        <w:br/>
        <w:t>Závěrečná ustanovení</w:t>
      </w:r>
    </w:p>
    <w:p w14:paraId="3B71B9C0" w14:textId="77777777" w:rsidR="00627AA1" w:rsidRPr="0050125B" w:rsidRDefault="00627AA1" w:rsidP="00627AA1"/>
    <w:p w14:paraId="14EFDAD0" w14:textId="77777777" w:rsidR="00627AA1" w:rsidRDefault="00627AA1" w:rsidP="00627AA1">
      <w:pPr>
        <w:numPr>
          <w:ilvl w:val="0"/>
          <w:numId w:val="6"/>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hanging="454"/>
        <w:jc w:val="both"/>
        <w:textAlignment w:val="baseline"/>
        <w:rPr>
          <w:color w:val="auto"/>
        </w:rPr>
      </w:pPr>
      <w:r w:rsidRPr="00753AAD">
        <w:rPr>
          <w:color w:val="auto"/>
        </w:rPr>
        <w:t xml:space="preserve">Není-li v této </w:t>
      </w:r>
      <w:r>
        <w:rPr>
          <w:color w:val="auto"/>
        </w:rPr>
        <w:t>s</w:t>
      </w:r>
      <w:r w:rsidRPr="00753AAD">
        <w:rPr>
          <w:color w:val="auto"/>
        </w:rPr>
        <w:t>mlouvě ujednáno jinak, vztahuje se na vztahy z ní vyplývající občanský zákoník.</w:t>
      </w:r>
    </w:p>
    <w:p w14:paraId="50AA0BCB" w14:textId="77777777" w:rsidR="00627AA1" w:rsidRPr="00753AAD" w:rsidRDefault="00627AA1" w:rsidP="00627AA1">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jc w:val="both"/>
        <w:textAlignment w:val="baseline"/>
        <w:rPr>
          <w:color w:val="auto"/>
        </w:rPr>
      </w:pPr>
    </w:p>
    <w:p w14:paraId="2693475C" w14:textId="77777777" w:rsidR="00627AA1" w:rsidRDefault="00627AA1" w:rsidP="00627AA1">
      <w:pPr>
        <w:numPr>
          <w:ilvl w:val="0"/>
          <w:numId w:val="6"/>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hanging="454"/>
        <w:jc w:val="both"/>
        <w:textAlignment w:val="baseline"/>
        <w:rPr>
          <w:color w:val="auto"/>
        </w:rPr>
      </w:pPr>
      <w:r w:rsidRPr="00753AAD">
        <w:rPr>
          <w:color w:val="auto"/>
        </w:rPr>
        <w:t>Poskytovatel na sebe bere nebezpečí změny okolností ve smyslu § 1765 občanského zákoníku.</w:t>
      </w:r>
    </w:p>
    <w:p w14:paraId="7B255B60" w14:textId="77777777" w:rsidR="00627AA1" w:rsidRPr="00753AAD" w:rsidRDefault="00627AA1" w:rsidP="00627AA1">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both"/>
        <w:textAlignment w:val="baseline"/>
        <w:rPr>
          <w:color w:val="auto"/>
        </w:rPr>
      </w:pPr>
    </w:p>
    <w:p w14:paraId="632F729A" w14:textId="77777777" w:rsidR="00627AA1" w:rsidRDefault="00627AA1" w:rsidP="00627AA1">
      <w:pPr>
        <w:numPr>
          <w:ilvl w:val="0"/>
          <w:numId w:val="6"/>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hanging="454"/>
        <w:jc w:val="both"/>
        <w:textAlignment w:val="baseline"/>
        <w:rPr>
          <w:color w:val="auto"/>
        </w:rPr>
      </w:pPr>
      <w:r w:rsidRPr="00753AAD">
        <w:rPr>
          <w:color w:val="auto"/>
        </w:rPr>
        <w:t xml:space="preserve">Tuto </w:t>
      </w:r>
      <w:r>
        <w:rPr>
          <w:color w:val="auto"/>
        </w:rPr>
        <w:t>s</w:t>
      </w:r>
      <w:r w:rsidRPr="00753AAD">
        <w:rPr>
          <w:color w:val="auto"/>
        </w:rPr>
        <w:t xml:space="preserve">mlouvu je možno měnit pouze písemně na základě vzestupně číslovaných dodatků, a to prostřednictvím oprávněných </w:t>
      </w:r>
      <w:r>
        <w:rPr>
          <w:color w:val="auto"/>
        </w:rPr>
        <w:t>zástupců smluvních stran</w:t>
      </w:r>
      <w:r w:rsidRPr="00753AAD">
        <w:rPr>
          <w:color w:val="auto"/>
        </w:rPr>
        <w:t>.</w:t>
      </w:r>
    </w:p>
    <w:p w14:paraId="2E4C5A2F" w14:textId="77777777" w:rsidR="00627AA1" w:rsidRPr="00753AAD" w:rsidRDefault="00627AA1" w:rsidP="00627AA1">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jc w:val="both"/>
        <w:textAlignment w:val="baseline"/>
        <w:rPr>
          <w:color w:val="auto"/>
        </w:rPr>
      </w:pPr>
    </w:p>
    <w:p w14:paraId="422C878E" w14:textId="77777777" w:rsidR="00627AA1" w:rsidRDefault="00627AA1" w:rsidP="00627AA1">
      <w:pPr>
        <w:numPr>
          <w:ilvl w:val="0"/>
          <w:numId w:val="6"/>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hanging="454"/>
        <w:jc w:val="both"/>
        <w:textAlignment w:val="baseline"/>
        <w:rPr>
          <w:color w:val="auto"/>
        </w:rPr>
      </w:pPr>
      <w:r w:rsidRPr="00753AAD">
        <w:rPr>
          <w:color w:val="auto"/>
        </w:rPr>
        <w:t xml:space="preserve">Tato </w:t>
      </w:r>
      <w:r>
        <w:rPr>
          <w:color w:val="auto"/>
        </w:rPr>
        <w:t>s</w:t>
      </w:r>
      <w:r w:rsidRPr="00753AAD">
        <w:rPr>
          <w:color w:val="auto"/>
        </w:rPr>
        <w:t>mlouva je vyhotovena ve dvou vyhotoveních, které mají platnost a závaznost originálu. Každá ze smluvních stran obdrží po jednom vyhotovení.</w:t>
      </w:r>
    </w:p>
    <w:p w14:paraId="41591B31" w14:textId="77777777" w:rsidR="00627AA1" w:rsidRDefault="00627AA1" w:rsidP="00627AA1">
      <w:pPr>
        <w:pStyle w:val="Odstavecseseznamem"/>
        <w:rPr>
          <w:color w:val="auto"/>
        </w:rPr>
      </w:pPr>
    </w:p>
    <w:p w14:paraId="12750104" w14:textId="77777777" w:rsidR="00627AA1" w:rsidRDefault="00627AA1" w:rsidP="00627AA1">
      <w:pPr>
        <w:numPr>
          <w:ilvl w:val="0"/>
          <w:numId w:val="6"/>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hanging="454"/>
        <w:jc w:val="both"/>
        <w:textAlignment w:val="baseline"/>
        <w:rPr>
          <w:color w:val="auto"/>
        </w:rPr>
      </w:pPr>
      <w:r w:rsidRPr="00753AAD">
        <w:rPr>
          <w:color w:val="auto"/>
        </w:rPr>
        <w:t xml:space="preserve">Nedílnou součástí Smlouvy je příloha </w:t>
      </w:r>
      <w:r>
        <w:rPr>
          <w:color w:val="auto"/>
        </w:rPr>
        <w:t>č. 1 – Specifikace poskytovaných činností.</w:t>
      </w:r>
    </w:p>
    <w:p w14:paraId="2DB4C49B" w14:textId="77777777" w:rsidR="00627AA1" w:rsidRDefault="00627AA1" w:rsidP="00627AA1">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both"/>
        <w:textAlignment w:val="baseline"/>
        <w:rPr>
          <w:color w:val="auto"/>
        </w:rPr>
      </w:pPr>
    </w:p>
    <w:p w14:paraId="0AE73319" w14:textId="77777777" w:rsidR="00627AA1" w:rsidRDefault="00627AA1" w:rsidP="00627AA1">
      <w:pPr>
        <w:numPr>
          <w:ilvl w:val="0"/>
          <w:numId w:val="6"/>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left="454" w:hanging="454"/>
        <w:jc w:val="both"/>
        <w:textAlignment w:val="baseline"/>
        <w:rPr>
          <w:color w:val="auto"/>
        </w:rPr>
      </w:pPr>
      <w:r w:rsidRPr="00753AAD">
        <w:rPr>
          <w:color w:val="auto"/>
        </w:rPr>
        <w:t>Smluvní strany prohlašují, že souhlasí s textem této Smlouvy a že ji uzavřely na základě svobodné a vážné vůle.</w:t>
      </w:r>
    </w:p>
    <w:p w14:paraId="629FEFD1" w14:textId="77777777" w:rsidR="00627AA1" w:rsidRDefault="00627AA1" w:rsidP="00627AA1">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both"/>
        <w:textAlignment w:val="baseline"/>
        <w:rPr>
          <w:color w:val="auto"/>
        </w:rPr>
      </w:pPr>
    </w:p>
    <w:p w14:paraId="2CC0056F" w14:textId="77777777" w:rsidR="00627AA1" w:rsidRDefault="00627AA1" w:rsidP="00627AA1">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center"/>
        <w:textAlignment w:val="baseline"/>
        <w:rPr>
          <w:color w:val="auto"/>
        </w:rPr>
      </w:pPr>
      <w:r w:rsidRPr="00A11A4C">
        <w:rPr>
          <w:color w:val="auto"/>
        </w:rPr>
        <w:t>[PODPISY SMLUVNÍCH STRAN JSOU UVEDENY NA DALŠÍ STRANĚ]</w:t>
      </w:r>
    </w:p>
    <w:p w14:paraId="5D9D4B5D" w14:textId="77777777" w:rsidR="00627AA1" w:rsidRPr="00753AAD" w:rsidRDefault="00627AA1" w:rsidP="00627AA1">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center"/>
        <w:textAlignment w:val="baseline"/>
        <w:rPr>
          <w:color w:val="auto"/>
        </w:rPr>
      </w:pPr>
    </w:p>
    <w:p w14:paraId="76611908" w14:textId="582E891C" w:rsidR="00627AA1" w:rsidRPr="00753AAD" w:rsidRDefault="00627AA1" w:rsidP="00627AA1">
      <w:r>
        <w:t xml:space="preserve">                            20. 1. 2025                                                            20. 1. 2025</w:t>
      </w:r>
    </w:p>
    <w:tbl>
      <w:tblPr>
        <w:tblW w:w="9297" w:type="dxa"/>
        <w:tblLook w:val="04A0" w:firstRow="1" w:lastRow="0" w:firstColumn="1" w:lastColumn="0" w:noHBand="0" w:noVBand="1"/>
      </w:tblPr>
      <w:tblGrid>
        <w:gridCol w:w="4365"/>
        <w:gridCol w:w="567"/>
        <w:gridCol w:w="4365"/>
      </w:tblGrid>
      <w:tr w:rsidR="00627AA1" w:rsidRPr="00753AAD" w14:paraId="4DE36106" w14:textId="77777777" w:rsidTr="00654D7B">
        <w:tc>
          <w:tcPr>
            <w:tcW w:w="4365" w:type="dxa"/>
            <w:shd w:val="clear" w:color="auto" w:fill="auto"/>
          </w:tcPr>
          <w:p w14:paraId="060A377A" w14:textId="77777777" w:rsidR="00627AA1" w:rsidRPr="00753AAD" w:rsidRDefault="00627AA1" w:rsidP="00654D7B">
            <w:pPr>
              <w:rPr>
                <w:highlight w:val="yellow"/>
              </w:rPr>
            </w:pPr>
            <w:r w:rsidRPr="00753AAD">
              <w:t xml:space="preserve">V </w:t>
            </w:r>
            <w:r>
              <w:t>Praze</w:t>
            </w:r>
            <w:r w:rsidRPr="00753AAD">
              <w:t xml:space="preserve"> dne </w:t>
            </w:r>
            <w:r w:rsidRPr="004A0C9E">
              <w:t>……</w:t>
            </w:r>
            <w:r>
              <w:t>…………………………</w:t>
            </w:r>
            <w:r w:rsidRPr="004A0C9E">
              <w:t>…</w:t>
            </w:r>
          </w:p>
        </w:tc>
        <w:tc>
          <w:tcPr>
            <w:tcW w:w="567" w:type="dxa"/>
            <w:shd w:val="clear" w:color="auto" w:fill="auto"/>
          </w:tcPr>
          <w:p w14:paraId="50FF08A1" w14:textId="77777777" w:rsidR="00627AA1" w:rsidRPr="00753AAD" w:rsidRDefault="00627AA1" w:rsidP="00654D7B">
            <w:pPr>
              <w:rPr>
                <w:highlight w:val="yellow"/>
              </w:rPr>
            </w:pPr>
          </w:p>
        </w:tc>
        <w:tc>
          <w:tcPr>
            <w:tcW w:w="4365" w:type="dxa"/>
            <w:shd w:val="clear" w:color="auto" w:fill="auto"/>
          </w:tcPr>
          <w:p w14:paraId="62FAE300" w14:textId="77777777" w:rsidR="00627AA1" w:rsidRPr="004A0C9E" w:rsidRDefault="00627AA1" w:rsidP="00654D7B">
            <w:r w:rsidRPr="004A0C9E">
              <w:t>V</w:t>
            </w:r>
            <w:r>
              <w:t xml:space="preserve"> Praze</w:t>
            </w:r>
            <w:r w:rsidRPr="004A0C9E">
              <w:t> dne ……</w:t>
            </w:r>
            <w:r>
              <w:t>…………………………</w:t>
            </w:r>
            <w:r w:rsidRPr="004A0C9E">
              <w:t>…</w:t>
            </w:r>
          </w:p>
        </w:tc>
      </w:tr>
      <w:tr w:rsidR="00627AA1" w:rsidRPr="00753AAD" w14:paraId="728586ED" w14:textId="77777777" w:rsidTr="00654D7B">
        <w:tc>
          <w:tcPr>
            <w:tcW w:w="4365" w:type="dxa"/>
            <w:shd w:val="clear" w:color="auto" w:fill="auto"/>
          </w:tcPr>
          <w:p w14:paraId="270DFDD8" w14:textId="77777777" w:rsidR="00627AA1" w:rsidRPr="00753AAD" w:rsidRDefault="00627AA1" w:rsidP="00654D7B">
            <w:r w:rsidRPr="00753AAD">
              <w:t xml:space="preserve">Za </w:t>
            </w:r>
            <w:r>
              <w:t>O</w:t>
            </w:r>
            <w:r w:rsidRPr="00753AAD">
              <w:t>bjednatele:</w:t>
            </w:r>
          </w:p>
        </w:tc>
        <w:tc>
          <w:tcPr>
            <w:tcW w:w="567" w:type="dxa"/>
            <w:shd w:val="clear" w:color="auto" w:fill="auto"/>
          </w:tcPr>
          <w:p w14:paraId="5ED01910" w14:textId="77777777" w:rsidR="00627AA1" w:rsidRPr="00753AAD" w:rsidRDefault="00627AA1" w:rsidP="00654D7B"/>
        </w:tc>
        <w:tc>
          <w:tcPr>
            <w:tcW w:w="4365" w:type="dxa"/>
            <w:shd w:val="clear" w:color="auto" w:fill="auto"/>
          </w:tcPr>
          <w:p w14:paraId="705E7398" w14:textId="77777777" w:rsidR="00627AA1" w:rsidRPr="004A0C9E" w:rsidRDefault="00627AA1" w:rsidP="00654D7B">
            <w:r w:rsidRPr="004A0C9E">
              <w:t xml:space="preserve">Za </w:t>
            </w:r>
            <w:r>
              <w:t>P</w:t>
            </w:r>
            <w:r w:rsidRPr="004A0C9E">
              <w:t>oskytovatele:</w:t>
            </w:r>
          </w:p>
        </w:tc>
      </w:tr>
      <w:tr w:rsidR="00627AA1" w:rsidRPr="00753AAD" w14:paraId="59E9A210" w14:textId="77777777" w:rsidTr="00654D7B">
        <w:trPr>
          <w:trHeight w:val="1047"/>
        </w:trPr>
        <w:tc>
          <w:tcPr>
            <w:tcW w:w="4365" w:type="dxa"/>
            <w:tcBorders>
              <w:bottom w:val="dotted" w:sz="4" w:space="0" w:color="auto"/>
            </w:tcBorders>
            <w:shd w:val="clear" w:color="auto" w:fill="auto"/>
          </w:tcPr>
          <w:p w14:paraId="079623EB" w14:textId="77777777" w:rsidR="00627AA1" w:rsidRPr="00753AAD" w:rsidRDefault="00627AA1" w:rsidP="00654D7B"/>
        </w:tc>
        <w:tc>
          <w:tcPr>
            <w:tcW w:w="567" w:type="dxa"/>
            <w:shd w:val="clear" w:color="auto" w:fill="auto"/>
          </w:tcPr>
          <w:p w14:paraId="25EC9E8D" w14:textId="77777777" w:rsidR="00627AA1" w:rsidRPr="00753AAD" w:rsidRDefault="00627AA1" w:rsidP="00654D7B"/>
        </w:tc>
        <w:tc>
          <w:tcPr>
            <w:tcW w:w="4365" w:type="dxa"/>
            <w:tcBorders>
              <w:bottom w:val="dotted" w:sz="4" w:space="0" w:color="auto"/>
            </w:tcBorders>
            <w:shd w:val="clear" w:color="auto" w:fill="auto"/>
          </w:tcPr>
          <w:p w14:paraId="018B5933" w14:textId="77777777" w:rsidR="00627AA1" w:rsidRPr="00753AAD" w:rsidRDefault="00627AA1" w:rsidP="00654D7B"/>
        </w:tc>
      </w:tr>
      <w:tr w:rsidR="00627AA1" w:rsidRPr="00753AAD" w14:paraId="3300D0BA" w14:textId="77777777" w:rsidTr="00654D7B">
        <w:tc>
          <w:tcPr>
            <w:tcW w:w="4365" w:type="dxa"/>
            <w:tcBorders>
              <w:top w:val="dotted" w:sz="4" w:space="0" w:color="auto"/>
            </w:tcBorders>
            <w:shd w:val="clear" w:color="auto" w:fill="auto"/>
          </w:tcPr>
          <w:p w14:paraId="72FB23EA" w14:textId="77777777" w:rsidR="00627AA1" w:rsidRDefault="00627AA1" w:rsidP="00654D7B">
            <w:pPr>
              <w:ind w:left="1416" w:hanging="1416"/>
              <w:jc w:val="both"/>
              <w:rPr>
                <w:b/>
              </w:rPr>
            </w:pPr>
            <w:r>
              <w:rPr>
                <w:b/>
              </w:rPr>
              <w:t>Střední odborná škola Jarov</w:t>
            </w:r>
          </w:p>
          <w:p w14:paraId="279DC717" w14:textId="77777777" w:rsidR="00627AA1" w:rsidRDefault="00627AA1" w:rsidP="00654D7B">
            <w:pPr>
              <w:ind w:left="1416" w:hanging="1416"/>
              <w:jc w:val="both"/>
            </w:pPr>
            <w:r>
              <w:t>Mgr. Miloslav Janeček</w:t>
            </w:r>
          </w:p>
          <w:p w14:paraId="6AEB733A" w14:textId="77777777" w:rsidR="00627AA1" w:rsidRPr="00753AAD" w:rsidRDefault="00627AA1" w:rsidP="00654D7B">
            <w:pPr>
              <w:spacing w:before="100" w:after="100" w:line="240" w:lineRule="auto"/>
              <w:contextualSpacing/>
              <w:rPr>
                <w:rFonts w:eastAsia="Times New Roman"/>
              </w:rPr>
            </w:pPr>
            <w:r w:rsidRPr="00753AAD">
              <w:t>ředitel</w:t>
            </w:r>
          </w:p>
          <w:p w14:paraId="65B068E9" w14:textId="77777777" w:rsidR="00627AA1" w:rsidRPr="003A00F3" w:rsidRDefault="00627AA1" w:rsidP="00654D7B">
            <w:pPr>
              <w:ind w:left="1416" w:hanging="1416"/>
              <w:jc w:val="both"/>
              <w:rPr>
                <w:b/>
              </w:rPr>
            </w:pPr>
          </w:p>
        </w:tc>
        <w:tc>
          <w:tcPr>
            <w:tcW w:w="567" w:type="dxa"/>
            <w:shd w:val="clear" w:color="auto" w:fill="auto"/>
          </w:tcPr>
          <w:p w14:paraId="3BB5A1C4" w14:textId="77777777" w:rsidR="00627AA1" w:rsidRPr="00753AAD" w:rsidRDefault="00627AA1" w:rsidP="00654D7B"/>
        </w:tc>
        <w:tc>
          <w:tcPr>
            <w:tcW w:w="4365" w:type="dxa"/>
            <w:tcBorders>
              <w:top w:val="dotted" w:sz="4" w:space="0" w:color="auto"/>
            </w:tcBorders>
            <w:shd w:val="clear" w:color="auto" w:fill="auto"/>
          </w:tcPr>
          <w:p w14:paraId="420B9DFE" w14:textId="77777777" w:rsidR="00627AA1" w:rsidRPr="004A0C9E" w:rsidRDefault="00627AA1" w:rsidP="00654D7B">
            <w:pPr>
              <w:rPr>
                <w:b/>
              </w:rPr>
            </w:pPr>
            <w:r>
              <w:rPr>
                <w:b/>
              </w:rPr>
              <w:t>MD4U s.r.o.</w:t>
            </w:r>
          </w:p>
          <w:p w14:paraId="52B8DF2E" w14:textId="77777777" w:rsidR="00627AA1" w:rsidRDefault="00627AA1" w:rsidP="00654D7B">
            <w:r>
              <w:t>Ing. Martin Dynybil</w:t>
            </w:r>
          </w:p>
          <w:p w14:paraId="1956D39C" w14:textId="77777777" w:rsidR="00627AA1" w:rsidRPr="00753AAD" w:rsidRDefault="00627AA1" w:rsidP="00654D7B">
            <w:r>
              <w:t>jednatel</w:t>
            </w:r>
          </w:p>
        </w:tc>
      </w:tr>
    </w:tbl>
    <w:p w14:paraId="41544D3B" w14:textId="77777777" w:rsidR="00627AA1" w:rsidRDefault="00627AA1" w:rsidP="00627AA1">
      <w:pPr>
        <w:spacing w:before="100" w:after="100" w:line="240" w:lineRule="auto"/>
        <w:contextualSpacing/>
        <w:rPr>
          <w:rFonts w:eastAsia="Times New Roman"/>
        </w:rPr>
      </w:pPr>
    </w:p>
    <w:p w14:paraId="5A23AC38" w14:textId="77777777" w:rsidR="00627AA1" w:rsidRDefault="00627AA1" w:rsidP="00627AA1">
      <w:pPr>
        <w:spacing w:before="100" w:after="100" w:line="240" w:lineRule="auto"/>
        <w:contextualSpacing/>
        <w:rPr>
          <w:rFonts w:eastAsia="Times New Roman"/>
        </w:rPr>
      </w:pPr>
    </w:p>
    <w:p w14:paraId="2592CDBE" w14:textId="77777777" w:rsidR="00627AA1" w:rsidRDefault="00627AA1" w:rsidP="00627AA1">
      <w:pPr>
        <w:spacing w:before="100" w:after="100" w:line="240" w:lineRule="auto"/>
        <w:contextualSpacing/>
        <w:rPr>
          <w:rFonts w:eastAsia="Times New Roman"/>
        </w:rPr>
      </w:pPr>
    </w:p>
    <w:p w14:paraId="0BEBACFF" w14:textId="77777777" w:rsidR="00627AA1" w:rsidRPr="00753AAD" w:rsidRDefault="00627AA1" w:rsidP="00627AA1">
      <w:pPr>
        <w:spacing w:before="100" w:after="100" w:line="240" w:lineRule="auto"/>
        <w:contextualSpacing/>
        <w:rPr>
          <w:rFonts w:eastAsia="Times New Roman"/>
        </w:rPr>
      </w:pPr>
      <w:r w:rsidRPr="00753AAD">
        <w:rPr>
          <w:rFonts w:eastAsia="Times New Roman"/>
        </w:rPr>
        <w:t xml:space="preserve">Příloha č. 1 </w:t>
      </w:r>
      <w:r>
        <w:rPr>
          <w:rFonts w:eastAsia="Times New Roman"/>
        </w:rPr>
        <w:t>Seznam poskytovaných činností</w:t>
      </w:r>
    </w:p>
    <w:p w14:paraId="511CCF05" w14:textId="7E3223F3" w:rsidR="003D6CB1" w:rsidRDefault="003D6CB1" w:rsidP="00627AA1"/>
    <w:p w14:paraId="649A0A8D" w14:textId="0493A502" w:rsidR="00627AA1" w:rsidRDefault="00627AA1" w:rsidP="00627AA1"/>
    <w:p w14:paraId="2F2DF2C7" w14:textId="10C786DA" w:rsidR="00627AA1" w:rsidRDefault="00627AA1" w:rsidP="00627AA1"/>
    <w:p w14:paraId="518D0268" w14:textId="29A225E0" w:rsidR="00627AA1" w:rsidRDefault="00627AA1" w:rsidP="00627AA1"/>
    <w:p w14:paraId="4C93D0E6" w14:textId="5DC1EF2E" w:rsidR="00627AA1" w:rsidRDefault="00627AA1" w:rsidP="00627AA1"/>
    <w:p w14:paraId="74019990" w14:textId="7C6D320E" w:rsidR="00627AA1" w:rsidRDefault="00627AA1" w:rsidP="00627AA1"/>
    <w:p w14:paraId="04262FF6" w14:textId="480AA0FF" w:rsidR="00627AA1" w:rsidRDefault="00627AA1" w:rsidP="00627AA1"/>
    <w:p w14:paraId="5ACF2C0E" w14:textId="58D9F19F" w:rsidR="00627AA1" w:rsidRDefault="00627AA1" w:rsidP="00627AA1"/>
    <w:p w14:paraId="3C17471D" w14:textId="64100205" w:rsidR="00627AA1" w:rsidRDefault="00627AA1" w:rsidP="00627AA1"/>
    <w:p w14:paraId="552A5587" w14:textId="54200278" w:rsidR="00627AA1" w:rsidRDefault="00627AA1" w:rsidP="00627AA1"/>
    <w:p w14:paraId="6B0B9B0B" w14:textId="3747F2F4" w:rsidR="00627AA1" w:rsidRDefault="00627AA1" w:rsidP="00627AA1"/>
    <w:p w14:paraId="5E403B27" w14:textId="612A3011" w:rsidR="00627AA1" w:rsidRDefault="00627AA1" w:rsidP="00627AA1"/>
    <w:p w14:paraId="2A82E168" w14:textId="7A0E1577" w:rsidR="00627AA1" w:rsidRDefault="00627AA1" w:rsidP="00627AA1"/>
    <w:p w14:paraId="095A6966" w14:textId="6C8A2892" w:rsidR="00627AA1" w:rsidRDefault="00627AA1" w:rsidP="00627AA1"/>
    <w:p w14:paraId="0B4363ED" w14:textId="335D2A61" w:rsidR="00627AA1" w:rsidRDefault="00627AA1" w:rsidP="00627AA1"/>
    <w:p w14:paraId="182F9652" w14:textId="74A67B69" w:rsidR="00627AA1" w:rsidRDefault="00627AA1" w:rsidP="00627AA1"/>
    <w:p w14:paraId="31D9711E" w14:textId="7DD55D0B" w:rsidR="00627AA1" w:rsidRDefault="00627AA1" w:rsidP="00627AA1"/>
    <w:p w14:paraId="7D5F6455" w14:textId="4F98FC1A" w:rsidR="00627AA1" w:rsidRDefault="00627AA1" w:rsidP="00627AA1"/>
    <w:p w14:paraId="3B0C4896" w14:textId="614985D8" w:rsidR="00627AA1" w:rsidRDefault="00627AA1" w:rsidP="00627AA1"/>
    <w:p w14:paraId="5CA0AA20" w14:textId="1AAB74BB" w:rsidR="00627AA1" w:rsidRDefault="00627AA1" w:rsidP="00627AA1"/>
    <w:p w14:paraId="3EA9DB03" w14:textId="1543DAF5" w:rsidR="00627AA1" w:rsidRDefault="00627AA1" w:rsidP="00627AA1"/>
    <w:p w14:paraId="6733ACD0" w14:textId="4479902A" w:rsidR="00627AA1" w:rsidRDefault="00627AA1" w:rsidP="00627AA1"/>
    <w:p w14:paraId="069C649E" w14:textId="38CCAE35" w:rsidR="00627AA1" w:rsidRDefault="00627AA1" w:rsidP="00627AA1"/>
    <w:p w14:paraId="1F43F28F" w14:textId="0CBD207C" w:rsidR="00627AA1" w:rsidRDefault="00627AA1" w:rsidP="00627AA1"/>
    <w:p w14:paraId="4E93E1EE" w14:textId="1A4F39BC" w:rsidR="00627AA1" w:rsidRDefault="00627AA1" w:rsidP="00627AA1"/>
    <w:p w14:paraId="6C66A5B4" w14:textId="38EFE460" w:rsidR="00627AA1" w:rsidRDefault="00627AA1" w:rsidP="00627AA1"/>
    <w:p w14:paraId="6619059F" w14:textId="68F9A14A" w:rsidR="00627AA1" w:rsidRDefault="00627AA1" w:rsidP="00627AA1"/>
    <w:p w14:paraId="4BAD8FBD" w14:textId="5C70292A" w:rsidR="00627AA1" w:rsidRDefault="00627AA1" w:rsidP="00627AA1"/>
    <w:p w14:paraId="55E8127D" w14:textId="431A2445" w:rsidR="00627AA1" w:rsidRDefault="00627AA1" w:rsidP="00627AA1"/>
    <w:p w14:paraId="5CEE4341" w14:textId="3B970CCD" w:rsidR="00627AA1" w:rsidRDefault="00627AA1" w:rsidP="00627AA1"/>
    <w:p w14:paraId="2CD2D570" w14:textId="2F52EFAC" w:rsidR="00627AA1" w:rsidRDefault="00627AA1" w:rsidP="00627AA1"/>
    <w:p w14:paraId="1BC165FD" w14:textId="65725FD8" w:rsidR="00627AA1" w:rsidRDefault="00627AA1" w:rsidP="00627AA1"/>
    <w:p w14:paraId="6FD3BF80" w14:textId="29669021" w:rsidR="00627AA1" w:rsidRDefault="00627AA1" w:rsidP="00627AA1"/>
    <w:sectPr w:rsidR="00627AA1" w:rsidSect="00E92352">
      <w:headerReference w:type="default" r:id="rId7"/>
      <w:footerReference w:type="default" r:id="rId8"/>
      <w:pgSz w:w="11906" w:h="16838"/>
      <w:pgMar w:top="1417" w:right="1417" w:bottom="1417" w:left="1417" w:header="680"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9ACA" w14:textId="77777777" w:rsidR="009D7992" w:rsidRDefault="009D7992">
      <w:pPr>
        <w:spacing w:line="240" w:lineRule="auto"/>
      </w:pPr>
      <w:r>
        <w:separator/>
      </w:r>
    </w:p>
  </w:endnote>
  <w:endnote w:type="continuationSeparator" w:id="0">
    <w:p w14:paraId="6C18853D" w14:textId="77777777" w:rsidR="009D7992" w:rsidRDefault="009D7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651180"/>
      <w:docPartObj>
        <w:docPartGallery w:val="Page Numbers (Bottom of Page)"/>
        <w:docPartUnique/>
      </w:docPartObj>
    </w:sdtPr>
    <w:sdtEndPr/>
    <w:sdtContent>
      <w:sdt>
        <w:sdtPr>
          <w:id w:val="1728636285"/>
          <w:docPartObj>
            <w:docPartGallery w:val="Page Numbers (Top of Page)"/>
            <w:docPartUnique/>
          </w:docPartObj>
        </w:sdtPr>
        <w:sdtEndPr/>
        <w:sdtContent>
          <w:p w14:paraId="2517A496" w14:textId="77777777" w:rsidR="00772BC1" w:rsidRDefault="00627AA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711E09E" w14:textId="77777777" w:rsidR="00772BC1" w:rsidRDefault="009D79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BF51" w14:textId="77777777" w:rsidR="009D7992" w:rsidRDefault="009D7992">
      <w:pPr>
        <w:spacing w:line="240" w:lineRule="auto"/>
      </w:pPr>
      <w:r>
        <w:separator/>
      </w:r>
    </w:p>
  </w:footnote>
  <w:footnote w:type="continuationSeparator" w:id="0">
    <w:p w14:paraId="31DAA0F8" w14:textId="77777777" w:rsidR="009D7992" w:rsidRDefault="009D7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ECF8" w14:textId="77777777" w:rsidR="004269BA" w:rsidRDefault="009D7992">
    <w:pPr>
      <w:pStyle w:val="Zhlav"/>
    </w:pPr>
  </w:p>
  <w:p w14:paraId="2746B90B" w14:textId="77777777" w:rsidR="00DA252B" w:rsidRPr="008C14FB" w:rsidRDefault="009D7992" w:rsidP="00853EB0">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BFE"/>
    <w:multiLevelType w:val="hybridMultilevel"/>
    <w:tmpl w:val="72CA47C2"/>
    <w:lvl w:ilvl="0" w:tplc="04050017">
      <w:start w:val="1"/>
      <w:numFmt w:val="lowerLetter"/>
      <w:lvlText w:val="%1)"/>
      <w:lvlJc w:val="left"/>
      <w:pPr>
        <w:ind w:left="1628" w:hanging="360"/>
      </w:pPr>
    </w:lvl>
    <w:lvl w:ilvl="1" w:tplc="04050019" w:tentative="1">
      <w:start w:val="1"/>
      <w:numFmt w:val="lowerLetter"/>
      <w:lvlText w:val="%2."/>
      <w:lvlJc w:val="left"/>
      <w:pPr>
        <w:ind w:left="2348" w:hanging="360"/>
      </w:pPr>
    </w:lvl>
    <w:lvl w:ilvl="2" w:tplc="0405001B" w:tentative="1">
      <w:start w:val="1"/>
      <w:numFmt w:val="lowerRoman"/>
      <w:lvlText w:val="%3."/>
      <w:lvlJc w:val="right"/>
      <w:pPr>
        <w:ind w:left="3068" w:hanging="180"/>
      </w:pPr>
    </w:lvl>
    <w:lvl w:ilvl="3" w:tplc="0405000F" w:tentative="1">
      <w:start w:val="1"/>
      <w:numFmt w:val="decimal"/>
      <w:lvlText w:val="%4."/>
      <w:lvlJc w:val="left"/>
      <w:pPr>
        <w:ind w:left="3788" w:hanging="360"/>
      </w:pPr>
    </w:lvl>
    <w:lvl w:ilvl="4" w:tplc="04050019" w:tentative="1">
      <w:start w:val="1"/>
      <w:numFmt w:val="lowerLetter"/>
      <w:lvlText w:val="%5."/>
      <w:lvlJc w:val="left"/>
      <w:pPr>
        <w:ind w:left="4508" w:hanging="360"/>
      </w:pPr>
    </w:lvl>
    <w:lvl w:ilvl="5" w:tplc="0405001B" w:tentative="1">
      <w:start w:val="1"/>
      <w:numFmt w:val="lowerRoman"/>
      <w:lvlText w:val="%6."/>
      <w:lvlJc w:val="right"/>
      <w:pPr>
        <w:ind w:left="5228" w:hanging="180"/>
      </w:pPr>
    </w:lvl>
    <w:lvl w:ilvl="6" w:tplc="0405000F" w:tentative="1">
      <w:start w:val="1"/>
      <w:numFmt w:val="decimal"/>
      <w:lvlText w:val="%7."/>
      <w:lvlJc w:val="left"/>
      <w:pPr>
        <w:ind w:left="5948" w:hanging="360"/>
      </w:pPr>
    </w:lvl>
    <w:lvl w:ilvl="7" w:tplc="04050019" w:tentative="1">
      <w:start w:val="1"/>
      <w:numFmt w:val="lowerLetter"/>
      <w:lvlText w:val="%8."/>
      <w:lvlJc w:val="left"/>
      <w:pPr>
        <w:ind w:left="6668" w:hanging="360"/>
      </w:pPr>
    </w:lvl>
    <w:lvl w:ilvl="8" w:tplc="0405001B" w:tentative="1">
      <w:start w:val="1"/>
      <w:numFmt w:val="lowerRoman"/>
      <w:lvlText w:val="%9."/>
      <w:lvlJc w:val="right"/>
      <w:pPr>
        <w:ind w:left="7388" w:hanging="180"/>
      </w:pPr>
    </w:lvl>
  </w:abstractNum>
  <w:abstractNum w:abstractNumId="1" w15:restartNumberingAfterBreak="0">
    <w:nsid w:val="12F14C23"/>
    <w:multiLevelType w:val="hybridMultilevel"/>
    <w:tmpl w:val="40C060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A078DF"/>
    <w:multiLevelType w:val="hybridMultilevel"/>
    <w:tmpl w:val="87C64C98"/>
    <w:lvl w:ilvl="0" w:tplc="ED5A166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B304F0"/>
    <w:multiLevelType w:val="hybridMultilevel"/>
    <w:tmpl w:val="05503E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A80A9F"/>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4E3531"/>
    <w:multiLevelType w:val="hybridMultilevel"/>
    <w:tmpl w:val="919211BE"/>
    <w:lvl w:ilvl="0" w:tplc="9724E00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A625D4"/>
    <w:multiLevelType w:val="hybridMultilevel"/>
    <w:tmpl w:val="C91CB8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1011C2"/>
    <w:multiLevelType w:val="hybridMultilevel"/>
    <w:tmpl w:val="E2C098F2"/>
    <w:lvl w:ilvl="0" w:tplc="273C7D98">
      <w:start w:val="1"/>
      <w:numFmt w:val="decimal"/>
      <w:lvlText w:val="%1."/>
      <w:lvlJc w:val="left"/>
      <w:pPr>
        <w:ind w:left="360" w:hanging="360"/>
      </w:pPr>
      <w:rPr>
        <w:rFonts w:ascii="Arial" w:eastAsia="Arial"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FA82DCB"/>
    <w:multiLevelType w:val="hybridMultilevel"/>
    <w:tmpl w:val="E4DC7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543617"/>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DA6A1D"/>
    <w:multiLevelType w:val="hybridMultilevel"/>
    <w:tmpl w:val="431041DA"/>
    <w:lvl w:ilvl="0" w:tplc="AD04FD54">
      <w:start w:val="1"/>
      <w:numFmt w:val="decimal"/>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5"/>
  </w:num>
  <w:num w:numId="5">
    <w:abstractNumId w:val="2"/>
  </w:num>
  <w:num w:numId="6">
    <w:abstractNumId w:val="4"/>
  </w:num>
  <w:num w:numId="7">
    <w:abstractNumId w:val="8"/>
  </w:num>
  <w:num w:numId="8">
    <w:abstractNumId w:val="3"/>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A1"/>
    <w:rsid w:val="003309B4"/>
    <w:rsid w:val="003D6CB1"/>
    <w:rsid w:val="00627AA1"/>
    <w:rsid w:val="00743508"/>
    <w:rsid w:val="008C7B45"/>
    <w:rsid w:val="009D7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0F52"/>
  <w15:chartTrackingRefBased/>
  <w15:docId w15:val="{4D6A52C6-F977-438A-B3F4-36154B1C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27AA1"/>
    <w:pPr>
      <w:pBdr>
        <w:top w:val="nil"/>
        <w:left w:val="nil"/>
        <w:bottom w:val="nil"/>
        <w:right w:val="nil"/>
        <w:between w:val="nil"/>
      </w:pBdr>
      <w:spacing w:after="0" w:line="276" w:lineRule="auto"/>
    </w:pPr>
    <w:rPr>
      <w:rFonts w:ascii="Arial" w:eastAsia="Arial" w:hAnsi="Arial" w:cs="Arial"/>
      <w:color w:val="000000"/>
      <w:lang w:eastAsia="cs-CZ"/>
    </w:rPr>
  </w:style>
  <w:style w:type="paragraph" w:styleId="Nadpis1">
    <w:name w:val="heading 1"/>
    <w:basedOn w:val="Normln"/>
    <w:next w:val="Normln"/>
    <w:link w:val="Nadpis1Char"/>
    <w:uiPriority w:val="9"/>
    <w:qFormat/>
    <w:rsid w:val="00627A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nhideWhenUsed/>
    <w:qFormat/>
    <w:rsid w:val="00627AA1"/>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center"/>
      <w:textAlignment w:val="baseline"/>
      <w:outlineLvl w:val="1"/>
    </w:pPr>
    <w:rPr>
      <w:rFonts w:ascii="Times New Roman" w:eastAsia="Times New Roman" w:hAnsi="Times New Roman" w:cs="Times New Roman"/>
      <w:b/>
      <w:bCs/>
      <w:iCs/>
      <w:color w:val="auto"/>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27AA1"/>
    <w:rPr>
      <w:rFonts w:ascii="Times New Roman" w:eastAsia="Times New Roman" w:hAnsi="Times New Roman" w:cs="Times New Roman"/>
      <w:b/>
      <w:bCs/>
      <w:iCs/>
      <w:sz w:val="24"/>
      <w:szCs w:val="28"/>
      <w:lang w:eastAsia="cs-CZ"/>
    </w:rPr>
  </w:style>
  <w:style w:type="character" w:customStyle="1" w:styleId="Zkladntext">
    <w:name w:val="Základní text_"/>
    <w:link w:val="Zkladntext1"/>
    <w:rsid w:val="00627AA1"/>
    <w:rPr>
      <w:shd w:val="clear" w:color="auto" w:fill="FFFFFF"/>
    </w:rPr>
  </w:style>
  <w:style w:type="paragraph" w:customStyle="1" w:styleId="Zkladntext1">
    <w:name w:val="Základní text1"/>
    <w:basedOn w:val="Normln"/>
    <w:link w:val="Zkladntext"/>
    <w:rsid w:val="00627AA1"/>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62" w:lineRule="auto"/>
      <w:jc w:val="both"/>
    </w:pPr>
    <w:rPr>
      <w:rFonts w:asciiTheme="minorHAnsi" w:eastAsiaTheme="minorHAnsi" w:hAnsiTheme="minorHAnsi" w:cstheme="minorBidi"/>
      <w:color w:val="auto"/>
      <w:lang w:eastAsia="en-US"/>
    </w:rPr>
  </w:style>
  <w:style w:type="paragraph" w:styleId="Odstavecseseznamem">
    <w:name w:val="List Paragraph"/>
    <w:basedOn w:val="Normln"/>
    <w:uiPriority w:val="34"/>
    <w:qFormat/>
    <w:rsid w:val="00627AA1"/>
    <w:pPr>
      <w:ind w:left="720"/>
      <w:contextualSpacing/>
    </w:pPr>
  </w:style>
  <w:style w:type="paragraph" w:styleId="Zhlav">
    <w:name w:val="header"/>
    <w:basedOn w:val="Normln"/>
    <w:link w:val="ZhlavChar"/>
    <w:uiPriority w:val="99"/>
    <w:unhideWhenUsed/>
    <w:rsid w:val="00627AA1"/>
    <w:pPr>
      <w:tabs>
        <w:tab w:val="center" w:pos="4536"/>
        <w:tab w:val="right" w:pos="9072"/>
      </w:tabs>
      <w:spacing w:line="240" w:lineRule="auto"/>
    </w:pPr>
  </w:style>
  <w:style w:type="character" w:customStyle="1" w:styleId="ZhlavChar">
    <w:name w:val="Záhlaví Char"/>
    <w:basedOn w:val="Standardnpsmoodstavce"/>
    <w:link w:val="Zhlav"/>
    <w:uiPriority w:val="99"/>
    <w:rsid w:val="00627AA1"/>
    <w:rPr>
      <w:rFonts w:ascii="Arial" w:eastAsia="Arial" w:hAnsi="Arial" w:cs="Arial"/>
      <w:color w:val="000000"/>
      <w:lang w:eastAsia="cs-CZ"/>
    </w:rPr>
  </w:style>
  <w:style w:type="paragraph" w:styleId="Zpat">
    <w:name w:val="footer"/>
    <w:basedOn w:val="Normln"/>
    <w:link w:val="ZpatChar"/>
    <w:uiPriority w:val="99"/>
    <w:unhideWhenUsed/>
    <w:rsid w:val="00627AA1"/>
    <w:pPr>
      <w:tabs>
        <w:tab w:val="center" w:pos="4536"/>
        <w:tab w:val="right" w:pos="9072"/>
      </w:tabs>
      <w:spacing w:line="240" w:lineRule="auto"/>
    </w:pPr>
  </w:style>
  <w:style w:type="character" w:customStyle="1" w:styleId="ZpatChar">
    <w:name w:val="Zápatí Char"/>
    <w:basedOn w:val="Standardnpsmoodstavce"/>
    <w:link w:val="Zpat"/>
    <w:uiPriority w:val="99"/>
    <w:rsid w:val="00627AA1"/>
    <w:rPr>
      <w:rFonts w:ascii="Arial" w:eastAsia="Arial" w:hAnsi="Arial" w:cs="Arial"/>
      <w:color w:val="000000"/>
      <w:lang w:eastAsia="cs-CZ"/>
    </w:rPr>
  </w:style>
  <w:style w:type="paragraph" w:styleId="Textkomente">
    <w:name w:val="annotation text"/>
    <w:basedOn w:val="Normln"/>
    <w:link w:val="TextkomenteChar"/>
    <w:rsid w:val="00627AA1"/>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both"/>
      <w:textAlignment w:val="baseline"/>
    </w:pPr>
    <w:rPr>
      <w:rFonts w:ascii="Times New Roman" w:eastAsia="Times New Roman" w:hAnsi="Times New Roman" w:cs="Times New Roman"/>
      <w:color w:val="auto"/>
      <w:sz w:val="20"/>
      <w:szCs w:val="20"/>
    </w:rPr>
  </w:style>
  <w:style w:type="character" w:customStyle="1" w:styleId="TextkomenteChar">
    <w:name w:val="Text komentáře Char"/>
    <w:basedOn w:val="Standardnpsmoodstavce"/>
    <w:link w:val="Textkomente"/>
    <w:rsid w:val="00627AA1"/>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7AA1"/>
    <w:rPr>
      <w:sz w:val="16"/>
      <w:szCs w:val="16"/>
    </w:rPr>
  </w:style>
  <w:style w:type="character" w:customStyle="1" w:styleId="Nadpis1Char">
    <w:name w:val="Nadpis 1 Char"/>
    <w:basedOn w:val="Standardnpsmoodstavce"/>
    <w:link w:val="Nadpis1"/>
    <w:uiPriority w:val="9"/>
    <w:rsid w:val="00627AA1"/>
    <w:rPr>
      <w:rFonts w:asciiTheme="majorHAnsi" w:eastAsiaTheme="majorEastAsia" w:hAnsiTheme="majorHAnsi" w:cstheme="majorBidi"/>
      <w:color w:val="2F5496"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1250</Words>
  <Characters>7380</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Krejzová</dc:creator>
  <cp:keywords/>
  <dc:description/>
  <cp:lastModifiedBy>Jaroslava Krejzová</cp:lastModifiedBy>
  <cp:revision>5</cp:revision>
  <cp:lastPrinted>2025-02-11T07:18:00Z</cp:lastPrinted>
  <dcterms:created xsi:type="dcterms:W3CDTF">2025-02-11T07:12:00Z</dcterms:created>
  <dcterms:modified xsi:type="dcterms:W3CDTF">2025-02-11T07:42:00Z</dcterms:modified>
</cp:coreProperties>
</file>