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9C" w:rsidRDefault="00FD6F62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Příloha č. 5 a) ZD                                                                                9010330224E</w:t>
      </w:r>
    </w:p>
    <w:p w:rsidR="0074449C" w:rsidRDefault="00FD6F62">
      <w:pPr>
        <w:pStyle w:val="Zkladntext1"/>
        <w:shd w:val="clear" w:color="auto" w:fill="auto"/>
        <w:spacing w:after="240" w:line="226" w:lineRule="auto"/>
        <w:jc w:val="center"/>
      </w:pPr>
      <w:r>
        <w:rPr>
          <w:b/>
          <w:bCs/>
          <w:sz w:val="32"/>
          <w:szCs w:val="32"/>
        </w:rPr>
        <w:t>Smlouva o výpůjčce</w:t>
      </w:r>
      <w:r>
        <w:rPr>
          <w:b/>
          <w:bCs/>
          <w:sz w:val="32"/>
          <w:szCs w:val="32"/>
        </w:rPr>
        <w:br/>
      </w:r>
      <w:r>
        <w:t>uzavřená podle ustanovení § 2193 a následujících zákona č. 89/2012 Sb.,</w:t>
      </w:r>
      <w:r>
        <w:br/>
        <w:t>občanský zákoník, v platném znění (dále jen „občanský zákoník“) níže</w:t>
      </w:r>
      <w:r>
        <w:br/>
        <w:t>uvedeného dne, měsíce a roku mezi účastníky:</w:t>
      </w:r>
    </w:p>
    <w:p w:rsidR="0074449C" w:rsidRDefault="00FD6F62">
      <w:pPr>
        <w:pStyle w:val="Jin0"/>
        <w:numPr>
          <w:ilvl w:val="0"/>
          <w:numId w:val="1"/>
        </w:numPr>
        <w:shd w:val="clear" w:color="auto" w:fill="auto"/>
        <w:tabs>
          <w:tab w:val="left" w:pos="440"/>
          <w:tab w:val="left" w:pos="1990"/>
        </w:tabs>
        <w:spacing w:after="0" w:line="360" w:lineRule="auto"/>
      </w:pPr>
      <w:proofErr w:type="spellStart"/>
      <w:r>
        <w:rPr>
          <w:b/>
          <w:bCs/>
        </w:rPr>
        <w:t>Půjčitel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t xml:space="preserve">firma </w:t>
      </w:r>
      <w:r>
        <w:rPr>
          <w:rFonts w:ascii="Times New Roman" w:eastAsia="Times New Roman" w:hAnsi="Times New Roman" w:cs="Times New Roman"/>
          <w:b/>
          <w:bCs/>
        </w:rPr>
        <w:t>PROMEDICA PRAHA</w:t>
      </w:r>
      <w:r>
        <w:rPr>
          <w:rFonts w:ascii="Times New Roman" w:eastAsia="Times New Roman" w:hAnsi="Times New Roman" w:cs="Times New Roman"/>
          <w:b/>
          <w:bCs/>
        </w:rPr>
        <w:t xml:space="preserve"> GROUP, a.s</w:t>
      </w:r>
      <w:r>
        <w:t>.</w:t>
      </w:r>
    </w:p>
    <w:p w:rsidR="0074449C" w:rsidRDefault="00FD6F62">
      <w:pPr>
        <w:pStyle w:val="Jin0"/>
        <w:shd w:val="clear" w:color="auto" w:fill="auto"/>
        <w:spacing w:after="0" w:line="360" w:lineRule="auto"/>
        <w:ind w:left="2140"/>
      </w:pPr>
      <w:r>
        <w:t xml:space="preserve">se sídlem: </w:t>
      </w:r>
      <w:proofErr w:type="spellStart"/>
      <w:r>
        <w:rPr>
          <w:rFonts w:ascii="Times New Roman" w:eastAsia="Times New Roman" w:hAnsi="Times New Roman" w:cs="Times New Roman"/>
        </w:rPr>
        <w:t>Juárezova</w:t>
      </w:r>
      <w:proofErr w:type="spellEnd"/>
      <w:r>
        <w:rPr>
          <w:rFonts w:ascii="Times New Roman" w:eastAsia="Times New Roman" w:hAnsi="Times New Roman" w:cs="Times New Roman"/>
        </w:rPr>
        <w:t xml:space="preserve"> 1071/17, 160 00 Bubeneč - Praha 6</w:t>
      </w:r>
    </w:p>
    <w:p w:rsidR="00FD6F62" w:rsidRDefault="00FD6F62">
      <w:pPr>
        <w:pStyle w:val="Zkladntext1"/>
        <w:shd w:val="clear" w:color="auto" w:fill="auto"/>
        <w:spacing w:after="0" w:line="360" w:lineRule="auto"/>
        <w:ind w:left="2140"/>
      </w:pPr>
      <w:r>
        <w:t xml:space="preserve">(přesný název a sídlo dle výpisu z obchodního rejstříku) </w:t>
      </w:r>
    </w:p>
    <w:p w:rsidR="00FD6F62" w:rsidRDefault="00FD6F62">
      <w:pPr>
        <w:pStyle w:val="Zkladntext1"/>
        <w:shd w:val="clear" w:color="auto" w:fill="auto"/>
        <w:spacing w:after="0" w:line="360" w:lineRule="auto"/>
        <w:ind w:left="2140"/>
      </w:pPr>
      <w:r>
        <w:t xml:space="preserve">Zapsaná v: OR </w:t>
      </w:r>
      <w:proofErr w:type="gramStart"/>
      <w:r>
        <w:t>vedeném</w:t>
      </w:r>
      <w:proofErr w:type="gramEnd"/>
      <w:r>
        <w:t xml:space="preserve"> MS v Praze, B 4492 </w:t>
      </w:r>
    </w:p>
    <w:p w:rsidR="00FD6F62" w:rsidRDefault="00FD6F62">
      <w:pPr>
        <w:pStyle w:val="Zkladntext1"/>
        <w:shd w:val="clear" w:color="auto" w:fill="auto"/>
        <w:spacing w:after="0" w:line="360" w:lineRule="auto"/>
        <w:ind w:left="2140"/>
        <w:rPr>
          <w:rFonts w:ascii="Arial" w:eastAsia="Arial" w:hAnsi="Arial" w:cs="Arial"/>
          <w:b/>
          <w:bCs/>
          <w:sz w:val="14"/>
          <w:szCs w:val="14"/>
        </w:rPr>
      </w:pPr>
      <w:r>
        <w:t xml:space="preserve">Zastoupená: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t xml:space="preserve">,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74449C" w:rsidRDefault="00FD6F62">
      <w:pPr>
        <w:pStyle w:val="Zkladntext1"/>
        <w:shd w:val="clear" w:color="auto" w:fill="auto"/>
        <w:spacing w:after="0" w:line="360" w:lineRule="auto"/>
        <w:ind w:left="2140"/>
      </w:pPr>
      <w:r>
        <w:t>IČO: 25099019</w:t>
      </w:r>
    </w:p>
    <w:p w:rsidR="0074449C" w:rsidRDefault="00FD6F62">
      <w:pPr>
        <w:pStyle w:val="Zkladntext1"/>
        <w:shd w:val="clear" w:color="auto" w:fill="auto"/>
        <w:spacing w:after="0" w:line="360" w:lineRule="auto"/>
        <w:ind w:left="2140"/>
      </w:pPr>
      <w:r>
        <w:t>DIČ: CZ25099019</w:t>
      </w:r>
    </w:p>
    <w:p w:rsidR="0074449C" w:rsidRDefault="00FD6F62">
      <w:pPr>
        <w:pStyle w:val="Zkladntext1"/>
        <w:shd w:val="clear" w:color="auto" w:fill="auto"/>
        <w:spacing w:after="0" w:line="360" w:lineRule="auto"/>
        <w:ind w:left="2140"/>
      </w:pPr>
      <w:r>
        <w:t>Bankovn</w:t>
      </w:r>
      <w:r>
        <w:t xml:space="preserve">í spojení: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74449C" w:rsidRDefault="00FD6F62">
      <w:pPr>
        <w:pStyle w:val="Zkladntext1"/>
        <w:shd w:val="clear" w:color="auto" w:fill="auto"/>
        <w:spacing w:after="0" w:line="360" w:lineRule="auto"/>
        <w:ind w:left="2140"/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74449C" w:rsidRDefault="00FD6F62">
      <w:pPr>
        <w:pStyle w:val="Zkladntext1"/>
        <w:shd w:val="clear" w:color="auto" w:fill="auto"/>
        <w:spacing w:after="120" w:line="360" w:lineRule="auto"/>
      </w:pPr>
      <w:r>
        <w:t>(dále jen „</w:t>
      </w:r>
      <w:proofErr w:type="spellStart"/>
      <w:r>
        <w:t>půjčitel</w:t>
      </w:r>
      <w:proofErr w:type="spellEnd"/>
      <w:r>
        <w:t>“)</w:t>
      </w:r>
    </w:p>
    <w:p w:rsidR="0074449C" w:rsidRDefault="00FD6F62">
      <w:pPr>
        <w:pStyle w:val="Zkladntext1"/>
        <w:numPr>
          <w:ilvl w:val="0"/>
          <w:numId w:val="1"/>
        </w:numPr>
        <w:shd w:val="clear" w:color="auto" w:fill="auto"/>
        <w:tabs>
          <w:tab w:val="left" w:pos="1990"/>
        </w:tabs>
        <w:spacing w:after="0"/>
      </w:pPr>
      <w:proofErr w:type="gramStart"/>
      <w:r>
        <w:rPr>
          <w:b/>
          <w:bCs/>
        </w:rPr>
        <w:t>Vypůjčitel :</w:t>
      </w:r>
      <w:r>
        <w:rPr>
          <w:b/>
          <w:bCs/>
        </w:rPr>
        <w:tab/>
        <w:t>Nemocnice</w:t>
      </w:r>
      <w:proofErr w:type="gramEnd"/>
      <w:r>
        <w:rPr>
          <w:b/>
          <w:bCs/>
        </w:rPr>
        <w:t xml:space="preserve"> Nové Město na Moravě, příspěvková</w:t>
      </w:r>
    </w:p>
    <w:p w:rsidR="0074449C" w:rsidRDefault="00FD6F62">
      <w:pPr>
        <w:pStyle w:val="Zkladntext1"/>
        <w:shd w:val="clear" w:color="auto" w:fill="auto"/>
        <w:spacing w:after="0"/>
        <w:ind w:left="2140"/>
      </w:pPr>
      <w:r>
        <w:rPr>
          <w:b/>
          <w:bCs/>
        </w:rPr>
        <w:t>organizace</w:t>
      </w:r>
    </w:p>
    <w:p w:rsidR="00FD6F62" w:rsidRDefault="00FD6F62">
      <w:pPr>
        <w:pStyle w:val="Zkladntext1"/>
        <w:shd w:val="clear" w:color="auto" w:fill="auto"/>
        <w:spacing w:after="0"/>
        <w:ind w:left="2140"/>
        <w:rPr>
          <w:b/>
          <w:bCs/>
        </w:rPr>
      </w:pPr>
      <w:bookmarkStart w:id="0" w:name="bookmark0"/>
      <w:r>
        <w:rPr>
          <w:b/>
          <w:bCs/>
        </w:rPr>
        <w:t>se sídlem: Žďárská 610, 592 31 Nové Město na Moravě Zapsaná v obchodním rejstříku vedeného Krajským soudem v Brně, oddí</w:t>
      </w:r>
      <w:r>
        <w:rPr>
          <w:b/>
          <w:bCs/>
        </w:rPr>
        <w:t xml:space="preserve">l </w:t>
      </w:r>
      <w:proofErr w:type="spellStart"/>
      <w:r>
        <w:rPr>
          <w:b/>
          <w:bCs/>
        </w:rPr>
        <w:t>Pr</w:t>
      </w:r>
      <w:proofErr w:type="spellEnd"/>
      <w:r>
        <w:rPr>
          <w:b/>
          <w:bCs/>
        </w:rPr>
        <w:t xml:space="preserve">, vložka 1446 </w:t>
      </w:r>
    </w:p>
    <w:p w:rsidR="00FD6F62" w:rsidRDefault="00FD6F62">
      <w:pPr>
        <w:pStyle w:val="Zkladntext1"/>
        <w:shd w:val="clear" w:color="auto" w:fill="auto"/>
        <w:spacing w:after="0"/>
        <w:ind w:left="2140"/>
        <w:rPr>
          <w:rFonts w:ascii="Arial" w:eastAsia="Arial" w:hAnsi="Arial" w:cs="Arial"/>
          <w:b/>
          <w:bCs/>
          <w:sz w:val="14"/>
          <w:szCs w:val="14"/>
        </w:rPr>
      </w:pPr>
      <w:r>
        <w:rPr>
          <w:b/>
          <w:bCs/>
        </w:rPr>
        <w:t xml:space="preserve">Zastoupená: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,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FD6F62" w:rsidRDefault="00FD6F62">
      <w:pPr>
        <w:pStyle w:val="Zkladntext1"/>
        <w:shd w:val="clear" w:color="auto" w:fill="auto"/>
        <w:spacing w:after="0"/>
        <w:ind w:left="2140"/>
        <w:rPr>
          <w:b/>
          <w:bCs/>
        </w:rPr>
      </w:pPr>
      <w:r>
        <w:rPr>
          <w:b/>
          <w:bCs/>
        </w:rPr>
        <w:t xml:space="preserve">IČO: 00842001 </w:t>
      </w:r>
    </w:p>
    <w:p w:rsidR="0074449C" w:rsidRDefault="00FD6F62">
      <w:pPr>
        <w:pStyle w:val="Zkladntext1"/>
        <w:shd w:val="clear" w:color="auto" w:fill="auto"/>
        <w:spacing w:after="0"/>
        <w:ind w:left="2140"/>
      </w:pPr>
      <w:r>
        <w:rPr>
          <w:b/>
          <w:bCs/>
        </w:rPr>
        <w:t>DIČ: CZ00842001</w:t>
      </w:r>
      <w:bookmarkEnd w:id="0"/>
    </w:p>
    <w:p w:rsidR="00FD6F62" w:rsidRDefault="00FD6F62" w:rsidP="00FD6F62">
      <w:pPr>
        <w:pStyle w:val="Zkladntext1"/>
        <w:shd w:val="clear" w:color="auto" w:fill="auto"/>
        <w:spacing w:after="0"/>
        <w:ind w:left="2140"/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rPr>
          <w:b/>
          <w:bCs/>
        </w:rPr>
        <w:t xml:space="preserve"> </w:t>
      </w:r>
    </w:p>
    <w:p w:rsidR="0074449C" w:rsidRDefault="00FD6F62" w:rsidP="00FD6F62">
      <w:pPr>
        <w:pStyle w:val="Zkladntext1"/>
        <w:shd w:val="clear" w:color="auto" w:fill="auto"/>
        <w:spacing w:after="0"/>
        <w:ind w:left="2140"/>
        <w:rPr>
          <w:rFonts w:ascii="Arial" w:eastAsia="Arial" w:hAnsi="Arial" w:cs="Arial"/>
          <w:b/>
          <w:bCs/>
          <w:sz w:val="14"/>
          <w:szCs w:val="14"/>
        </w:rPr>
      </w:pPr>
      <w:r>
        <w:rPr>
          <w:b/>
          <w:bCs/>
        </w:rPr>
        <w:t xml:space="preserve">účtu: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FD6F62" w:rsidRDefault="00FD6F62" w:rsidP="00FD6F62">
      <w:pPr>
        <w:pStyle w:val="Zkladntext1"/>
        <w:shd w:val="clear" w:color="auto" w:fill="auto"/>
        <w:spacing w:after="0"/>
        <w:ind w:left="2140"/>
      </w:pPr>
    </w:p>
    <w:p w:rsidR="0074449C" w:rsidRDefault="00FD6F62">
      <w:pPr>
        <w:pStyle w:val="Zkladntext1"/>
        <w:shd w:val="clear" w:color="auto" w:fill="auto"/>
        <w:spacing w:after="240"/>
      </w:pPr>
      <w:r>
        <w:t>(dále jen „vypůjčitel“)</w:t>
      </w:r>
    </w:p>
    <w:p w:rsidR="0074449C" w:rsidRDefault="00FD6F62">
      <w:pPr>
        <w:pStyle w:val="Zkladntext1"/>
        <w:shd w:val="clear" w:color="auto" w:fill="auto"/>
        <w:spacing w:after="240"/>
      </w:pPr>
      <w:r>
        <w:t>(společně pak jako „smluvní strany“, jednotlivě jako „smluvní strana“)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PREAMBULE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426"/>
        </w:tabs>
        <w:spacing w:after="60"/>
        <w:ind w:left="440" w:hanging="440"/>
        <w:jc w:val="both"/>
      </w:pPr>
      <w:r>
        <w:t>Tato smlouva je uzavřena na základě zadávacího řízení k nadlimitní veřejné zakázce „DEZINFEKCE 2“, zadávané v otevřeném řízení podle zákona č. 134/2016 Sb., o zadávání veřejných zakázek, v platném znění a jeho prováděcích předpisů a vedené u cent</w:t>
      </w:r>
      <w:r>
        <w:t>rálního zadavatele - Nemocnice Nové Město na Moravě, příspěvkové organizace pod ev. č. 08/24/VZ a ve Věstníku veřejných zakázek pod ev. č. Z2024-057756 (dále také „veřejná zakázka DEZINFEKCE 2“).</w:t>
      </w:r>
    </w:p>
    <w:p w:rsidR="0074449C" w:rsidRDefault="00FD6F62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Čl. I.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Předmět smlouvy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426"/>
        </w:tabs>
        <w:spacing w:after="240"/>
      </w:pPr>
      <w:r>
        <w:t>Předmětem této smlouvy jsou výpůjčky:</w:t>
      </w:r>
    </w:p>
    <w:p w:rsidR="0074449C" w:rsidRDefault="00FD6F62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80" w:hanging="380"/>
        <w:jc w:val="both"/>
      </w:pPr>
      <w:r>
        <w:rPr>
          <w:b/>
          <w:bCs/>
        </w:rPr>
        <w:t xml:space="preserve">dávkovače a držáky pro používání dezinfekčních prostředků pro dezinfekci rukou a pokožky </w:t>
      </w:r>
      <w:r>
        <w:t xml:space="preserve">v minimálním počtu </w:t>
      </w:r>
      <w:r>
        <w:rPr>
          <w:b/>
          <w:bCs/>
        </w:rPr>
        <w:t xml:space="preserve">800 ks </w:t>
      </w:r>
      <w:r>
        <w:t xml:space="preserve">o objemu 500 ml a </w:t>
      </w:r>
      <w:r>
        <w:rPr>
          <w:b/>
          <w:bCs/>
        </w:rPr>
        <w:lastRenderedPageBreak/>
        <w:t xml:space="preserve">50 ks </w:t>
      </w:r>
      <w:r>
        <w:t>o objemu 1 000ml; podmínkou výpůjčky je nekompatibilita se stávajícími dávkovači a držáky (</w:t>
      </w:r>
      <w:proofErr w:type="spellStart"/>
      <w:r>
        <w:t>půjčitel</w:t>
      </w:r>
      <w:proofErr w:type="spellEnd"/>
      <w:r>
        <w:t xml:space="preserve"> je povinen prově</w:t>
      </w:r>
      <w:r>
        <w:t>řit u vypůjčitele s dostatečným předstihem vhodnost stávajících držáků či dávkovačů pro vložení dodávaných balení);</w:t>
      </w:r>
    </w:p>
    <w:p w:rsidR="0074449C" w:rsidRDefault="00FD6F62">
      <w:pPr>
        <w:pStyle w:val="Zkladntext1"/>
        <w:numPr>
          <w:ilvl w:val="0"/>
          <w:numId w:val="4"/>
        </w:numPr>
        <w:shd w:val="clear" w:color="auto" w:fill="auto"/>
        <w:tabs>
          <w:tab w:val="left" w:pos="361"/>
        </w:tabs>
        <w:ind w:left="380" w:hanging="380"/>
        <w:jc w:val="both"/>
      </w:pPr>
      <w:r>
        <w:rPr>
          <w:b/>
          <w:bCs/>
        </w:rPr>
        <w:t xml:space="preserve">jednokomorové směšovací zařízení pro dezinfekční prostředky na dekontaminaci a dezinfekci chirurgických nástrojů </w:t>
      </w:r>
      <w:r>
        <w:t>s možností nastavení koncen</w:t>
      </w:r>
      <w:r>
        <w:t xml:space="preserve">trace pracovního roztoku v rozmezí od 0,5 - 2%, </w:t>
      </w:r>
      <w:r>
        <w:rPr>
          <w:smallCaps/>
        </w:rPr>
        <w:t>v</w:t>
      </w:r>
      <w:r>
        <w:t xml:space="preserve"> minimálním počtu </w:t>
      </w:r>
      <w:r>
        <w:rPr>
          <w:b/>
          <w:bCs/>
        </w:rPr>
        <w:t>10 ks;</w:t>
      </w:r>
    </w:p>
    <w:p w:rsidR="0074449C" w:rsidRDefault="00FD6F62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80" w:hanging="380"/>
        <w:jc w:val="both"/>
      </w:pPr>
      <w:r>
        <w:rPr>
          <w:b/>
          <w:bCs/>
        </w:rPr>
        <w:t xml:space="preserve">směšovacích zařízení pro dezinfekční prostředky pro dezinfekci velkých ploch, povrchů a předmětů </w:t>
      </w:r>
      <w:r>
        <w:t xml:space="preserve">s možností nastavení koncentrace pracovního roztoku v rozmezí od 0,5 - 2%, a to v minimálním počtu </w:t>
      </w:r>
      <w:r>
        <w:rPr>
          <w:b/>
          <w:bCs/>
        </w:rPr>
        <w:t xml:space="preserve">30 ks </w:t>
      </w:r>
      <w:r>
        <w:t xml:space="preserve">dvoukomorových nebo </w:t>
      </w:r>
      <w:r>
        <w:rPr>
          <w:b/>
          <w:bCs/>
        </w:rPr>
        <w:t xml:space="preserve">60 ks </w:t>
      </w:r>
      <w:r>
        <w:t>jednokomorových.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ind w:left="380" w:hanging="380"/>
        <w:jc w:val="both"/>
      </w:pPr>
      <w:proofErr w:type="spellStart"/>
      <w:r>
        <w:t>Půjčitel</w:t>
      </w:r>
      <w:proofErr w:type="spellEnd"/>
      <w:r>
        <w:t xml:space="preserve"> se zavazuje přenechat vypůjčiteli do bezplatného užívání předměty uvedené v příloze č. 1 a v příloz</w:t>
      </w:r>
      <w:r>
        <w:t xml:space="preserve">e č. 2 </w:t>
      </w:r>
      <w:proofErr w:type="gramStart"/>
      <w:r>
        <w:t>této</w:t>
      </w:r>
      <w:proofErr w:type="gramEnd"/>
      <w:r>
        <w:t xml:space="preserve"> smlouvy (dále jen „předmět výpůjčky“),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80" w:hanging="380"/>
        <w:jc w:val="both"/>
      </w:pPr>
      <w:r>
        <w:t xml:space="preserve">Specifikace a technický popis předmětu výpůjčky jsou uvedeny v příloze č. 2 </w:t>
      </w:r>
      <w:proofErr w:type="gramStart"/>
      <w:r>
        <w:t>této</w:t>
      </w:r>
      <w:proofErr w:type="gramEnd"/>
      <w:r>
        <w:t xml:space="preserve"> smlouvy.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80" w:hanging="380"/>
        <w:jc w:val="both"/>
      </w:pPr>
      <w:r>
        <w:t>Vypůjčitel je po dobu trvání výpůjčky oprávněn užívat předmět výpůjčky na svých pracovištích, to bezúplatně.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80" w:hanging="380"/>
        <w:jc w:val="both"/>
      </w:pPr>
      <w:r>
        <w:t>Součás</w:t>
      </w:r>
      <w:r>
        <w:t xml:space="preserve">tí výpůjčky je doprava předmětu výpůjčky vypůjčiteli včetně instalace, uvedení do provozu, provedení případných potřebných zkoušek, kontrol a kalibrací minimálně 1x ročně, instruktáž obsluhy a provádění bezplatného záručního a event. pozáručního servisu a </w:t>
      </w:r>
      <w:r>
        <w:t>předepsaných bezpečnostně technických prohlídek (pokud je legislativou či výrobcem vyžadováno), a to po celou dobu trvání výpůjčky.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80" w:hanging="380"/>
        <w:jc w:val="both"/>
      </w:pPr>
      <w:proofErr w:type="spellStart"/>
      <w:r>
        <w:t>Půjčitel</w:t>
      </w:r>
      <w:proofErr w:type="spellEnd"/>
      <w:r>
        <w:t xml:space="preserve"> prohlašuje, že předmět výpůjčky splňuje z pohledu kvality všechny příslušné předepsané normy a v případě, že někter</w:t>
      </w:r>
      <w:r>
        <w:t>ý z vypůjčených předmětů je zdravotnickým prostředkem (dále také „ZP“), bude v souladu s platnou legislativou pro tuto oblast zejména se zákonem č. 375/2022 Sb. o zdravotnických prostředcích a diagnostických zdravotnických prostředcích in vitro, ve znění p</w:t>
      </w:r>
      <w:r>
        <w:t>ozdějších předpisů (dále jen „zákon č. 375/2022 Sb.“) a jeho příslušnými prováděcími předpisy, zákonem č. 102/2001 Sb., o obecné bezpečnosti výrobků, ve znění pozdějších předpisů, zákonem č. 22/1997 Sb., o technických požadavcích na výrobky a o změně a dop</w:t>
      </w:r>
      <w:r>
        <w:t>lnění některých zákonů, ve znění pozdějších předpisů a harmonizovanými českými technickými normami a ostatními ČSN vztahujícími se k předmětu výpůjčky.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366"/>
        </w:tabs>
        <w:ind w:left="380" w:hanging="380"/>
        <w:jc w:val="both"/>
      </w:pPr>
      <w:proofErr w:type="spellStart"/>
      <w:r>
        <w:t>Půjčitel</w:t>
      </w:r>
      <w:proofErr w:type="spellEnd"/>
      <w:r>
        <w:t xml:space="preserve"> prohlašuje, že pokud je některý z vypůjčených předmětů ZP, provedl výrobce stanoveným způsobem </w:t>
      </w:r>
      <w:r>
        <w:t xml:space="preserve">posouzení souladu jeho vlastností s technickými požadavky stanovenými zvláštními právními předpisy s přihlédnutím k určenému účelu použití, a vydal o tom písemné prohlášení o shodě. Kopie prohlášení o shodě předal </w:t>
      </w:r>
      <w:proofErr w:type="spellStart"/>
      <w:r>
        <w:t>půjčitel</w:t>
      </w:r>
      <w:proofErr w:type="spellEnd"/>
      <w:r>
        <w:t xml:space="preserve"> vypůjčiteli při podpisu této smlo</w:t>
      </w:r>
      <w:r>
        <w:t>uvy, což vypůjčitel potvrzuje.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426"/>
        </w:tabs>
        <w:spacing w:after="100"/>
        <w:ind w:left="380" w:hanging="380"/>
        <w:jc w:val="both"/>
      </w:pPr>
      <w:proofErr w:type="spellStart"/>
      <w:r>
        <w:t>Půjčitel</w:t>
      </w:r>
      <w:proofErr w:type="spellEnd"/>
      <w:r>
        <w:t xml:space="preserve"> prohlašuje, že je výhradním vlastníkem předmětu výpůjčky a je oprávněn jej přenechat vypůjčiteli ve smyslu § 2193 a násl. občanského zákoníku. </w:t>
      </w:r>
      <w:proofErr w:type="spellStart"/>
      <w:r>
        <w:t>Půjčitel</w:t>
      </w:r>
      <w:proofErr w:type="spellEnd"/>
      <w:r>
        <w:t xml:space="preserve"> účetně odepisuje pořizovací hodnotu předmětu výpůjčky.</w:t>
      </w:r>
    </w:p>
    <w:p w:rsidR="0074449C" w:rsidRDefault="00FD6F62">
      <w:pPr>
        <w:pStyle w:val="Zkladntext1"/>
        <w:numPr>
          <w:ilvl w:val="0"/>
          <w:numId w:val="3"/>
        </w:numPr>
        <w:shd w:val="clear" w:color="auto" w:fill="auto"/>
        <w:tabs>
          <w:tab w:val="left" w:pos="426"/>
        </w:tabs>
        <w:spacing w:after="340"/>
      </w:pPr>
      <w:r>
        <w:t>Předmět v</w:t>
      </w:r>
      <w:r>
        <w:t xml:space="preserve">ýpůjčky zůstává ve vlastnictví </w:t>
      </w:r>
      <w:proofErr w:type="spellStart"/>
      <w:r>
        <w:t>půjčitele</w:t>
      </w:r>
      <w:proofErr w:type="spellEnd"/>
      <w:r>
        <w:t>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Čl. II.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Místo předání předmětu výpůjčky, kontaktní osoby</w:t>
      </w:r>
    </w:p>
    <w:p w:rsidR="0074449C" w:rsidRDefault="00FD6F62">
      <w:pPr>
        <w:pStyle w:val="Zkladntext1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ind w:left="380" w:hanging="380"/>
        <w:jc w:val="both"/>
      </w:pPr>
      <w:proofErr w:type="spellStart"/>
      <w:r>
        <w:t>Půjčitel</w:t>
      </w:r>
      <w:proofErr w:type="spellEnd"/>
      <w:r>
        <w:t xml:space="preserve"> předá předmět výpůjčky pověřenému pracovišti vypůjčitele po dni nabytí účinnosti této smlouvy dle čl. VIII odst. 2, a to v předem stanoveném a </w:t>
      </w:r>
      <w:r>
        <w:t>oboustranně dohodnutém termínu.</w:t>
      </w:r>
    </w:p>
    <w:p w:rsidR="0074449C" w:rsidRDefault="00FD6F62">
      <w:pPr>
        <w:pStyle w:val="Zkladntext1"/>
        <w:numPr>
          <w:ilvl w:val="0"/>
          <w:numId w:val="5"/>
        </w:numPr>
        <w:shd w:val="clear" w:color="auto" w:fill="auto"/>
        <w:tabs>
          <w:tab w:val="left" w:pos="426"/>
        </w:tabs>
        <w:spacing w:after="100"/>
        <w:jc w:val="both"/>
      </w:pPr>
      <w:r>
        <w:t>Pověřené pracoviště vypůjčitele stanoví kontaktní osoba.</w:t>
      </w:r>
    </w:p>
    <w:p w:rsidR="0074449C" w:rsidRDefault="00FD6F62">
      <w:pPr>
        <w:pStyle w:val="Zkladntext1"/>
        <w:numPr>
          <w:ilvl w:val="0"/>
          <w:numId w:val="5"/>
        </w:numPr>
        <w:shd w:val="clear" w:color="auto" w:fill="auto"/>
        <w:tabs>
          <w:tab w:val="left" w:pos="426"/>
        </w:tabs>
        <w:spacing w:after="100"/>
        <w:jc w:val="both"/>
      </w:pPr>
      <w:r>
        <w:t>Kontaktní osoba za vypůjčitele (vč. tel. čísla):</w:t>
      </w:r>
    </w:p>
    <w:p w:rsidR="0074449C" w:rsidRDefault="00FD6F62">
      <w:pPr>
        <w:pStyle w:val="Zkladntext1"/>
        <w:shd w:val="clear" w:color="auto" w:fill="auto"/>
        <w:spacing w:after="100"/>
        <w:ind w:firstLine="540"/>
        <w:jc w:val="both"/>
      </w:pP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t>, tel. +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74449C" w:rsidRDefault="00FD6F62">
      <w:pPr>
        <w:pStyle w:val="Zkladntext1"/>
        <w:shd w:val="clear" w:color="auto" w:fill="auto"/>
        <w:spacing w:after="140"/>
        <w:ind w:firstLine="760"/>
        <w:jc w:val="both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r>
        <w:rPr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74449C" w:rsidRDefault="00FD6F62">
      <w:pPr>
        <w:pStyle w:val="Zkladntext1"/>
        <w:shd w:val="clear" w:color="auto" w:fill="auto"/>
        <w:spacing w:after="220"/>
        <w:ind w:left="380" w:firstLine="60"/>
      </w:pPr>
      <w:r>
        <w:rPr>
          <w:lang w:val="en-US" w:eastAsia="en-US" w:bidi="en-US"/>
        </w:rPr>
        <w:t xml:space="preserve">- </w:t>
      </w:r>
      <w:proofErr w:type="gramStart"/>
      <w:r>
        <w:t>za</w:t>
      </w:r>
      <w:proofErr w:type="gramEnd"/>
      <w:r>
        <w:t xml:space="preserve"> </w:t>
      </w:r>
      <w:proofErr w:type="spellStart"/>
      <w:r>
        <w:t>půjčitele</w:t>
      </w:r>
      <w:proofErr w:type="spellEnd"/>
      <w:r>
        <w:t xml:space="preserve"> - osoba odpovědná za instalaci a za zajištění servisu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t xml:space="preserve">, tel.: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t>, email:</w:t>
      </w:r>
      <w:hyperlink r:id="rId8" w:history="1">
        <w:r>
          <w:t xml:space="preserve"> </w:t>
        </w:r>
        <w:r>
          <w:rPr>
            <w:rFonts w:ascii="Arial" w:eastAsia="Arial" w:hAnsi="Arial" w:cs="Arial"/>
            <w:b/>
            <w:bCs/>
            <w:sz w:val="14"/>
            <w:szCs w:val="14"/>
            <w:highlight w:val="yellow"/>
          </w:rPr>
          <w:t>XXXX</w:t>
        </w:r>
      </w:hyperlink>
      <w:r>
        <w:rPr>
          <w:color w:val="0000FF"/>
          <w:u w:val="single"/>
          <w:lang w:val="en-US" w:eastAsia="en-US" w:bidi="en-US"/>
        </w:rPr>
        <w:t xml:space="preserve"> </w:t>
      </w:r>
      <w:r>
        <w:t>(jméno a příjmení, tel. a email)</w:t>
      </w:r>
    </w:p>
    <w:p w:rsidR="0074449C" w:rsidRDefault="00FD6F6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Čl. III.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Doba výpůjčky a dodání výpů</w:t>
      </w:r>
      <w:r>
        <w:rPr>
          <w:b/>
          <w:bCs/>
        </w:rPr>
        <w:t>jčky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after="0"/>
        <w:ind w:left="380" w:hanging="380"/>
        <w:jc w:val="both"/>
      </w:pPr>
      <w:r>
        <w:t>Výpůjčka se sjednává na dobu trvání platnosti a účinnosti současně uzavírané kupní smlouvy na dílčí dodávky dezinfekčních přípravků.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387"/>
        </w:tabs>
        <w:spacing w:after="0"/>
        <w:ind w:left="380" w:hanging="380"/>
        <w:jc w:val="both"/>
      </w:pPr>
      <w:proofErr w:type="spellStart"/>
      <w:r>
        <w:t>Půjčitel</w:t>
      </w:r>
      <w:proofErr w:type="spellEnd"/>
      <w:r>
        <w:t xml:space="preserve"> je povinen vyzvat vypůjčitele k převzetí výpůjčky nejméně 3 pracovní dny před dodáním předmětu výpůjčky. </w:t>
      </w:r>
      <w:r>
        <w:t>Kontaktní osobou je pracovník technického oddělení vypůjčitele (viz kontaktní údaje výše).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392"/>
        </w:tabs>
        <w:spacing w:after="0"/>
        <w:ind w:left="380" w:hanging="380"/>
        <w:jc w:val="both"/>
      </w:pPr>
      <w:r>
        <w:t>Výpůjčka zaniká, je-li předmět výpůjčky zničen anebo poškozen tak, že se stane nezpůsobilým k použití ke stanovenému účelu a nelze jej obvyklým způsobem opravit; nár</w:t>
      </w:r>
      <w:r>
        <w:t xml:space="preserve">ok </w:t>
      </w:r>
      <w:proofErr w:type="spellStart"/>
      <w:r>
        <w:t>půjčitele</w:t>
      </w:r>
      <w:proofErr w:type="spellEnd"/>
      <w:r>
        <w:t xml:space="preserve"> na náhradu škody tím není dotčen.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392"/>
        </w:tabs>
        <w:spacing w:after="100"/>
        <w:ind w:left="380" w:hanging="380"/>
        <w:jc w:val="both"/>
      </w:pPr>
      <w:proofErr w:type="spellStart"/>
      <w:r>
        <w:rPr>
          <w:u w:val="single"/>
        </w:rPr>
        <w:t>Půjčitel</w:t>
      </w:r>
      <w:proofErr w:type="spellEnd"/>
      <w:r>
        <w:t xml:space="preserve"> je oprávněn před skončením sjednané doby výpůjčky písemně vypovědět tuto smlouvu:</w:t>
      </w:r>
    </w:p>
    <w:p w:rsidR="0074449C" w:rsidRDefault="00FD6F62">
      <w:pPr>
        <w:pStyle w:val="Zkladntext1"/>
        <w:numPr>
          <w:ilvl w:val="0"/>
          <w:numId w:val="7"/>
        </w:numPr>
        <w:shd w:val="clear" w:color="auto" w:fill="auto"/>
        <w:tabs>
          <w:tab w:val="left" w:pos="1202"/>
        </w:tabs>
        <w:spacing w:after="100"/>
        <w:ind w:left="1180" w:hanging="380"/>
        <w:jc w:val="both"/>
      </w:pPr>
      <w:r>
        <w:t>pokud je předmět výpůjčky užíván v rozporu s touto smlouvou anebo s návodem k použití,</w:t>
      </w:r>
    </w:p>
    <w:p w:rsidR="0074449C" w:rsidRDefault="00FD6F62">
      <w:pPr>
        <w:pStyle w:val="Zkladntext1"/>
        <w:numPr>
          <w:ilvl w:val="0"/>
          <w:numId w:val="7"/>
        </w:numPr>
        <w:shd w:val="clear" w:color="auto" w:fill="auto"/>
        <w:tabs>
          <w:tab w:val="left" w:pos="1161"/>
        </w:tabs>
        <w:spacing w:after="100" w:line="276" w:lineRule="auto"/>
        <w:ind w:left="380" w:firstLine="420"/>
        <w:jc w:val="both"/>
      </w:pPr>
      <w:r>
        <w:t>pokud vypůjčitel nesplní podmín</w:t>
      </w:r>
      <w:r>
        <w:t>ky a povinnosti dle čl. V této smlouvy Výpovědní doba se v obou případech sjednává v trvání 30 kalendářních dnů a začíná běžet dnem doručení písemné výpovědi vypůjčiteli. Smlouva zaniká uplynutím výpovědní doby.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392"/>
        </w:tabs>
        <w:spacing w:after="100"/>
        <w:ind w:left="380" w:hanging="380"/>
        <w:jc w:val="both"/>
      </w:pPr>
      <w:r>
        <w:rPr>
          <w:u w:val="single"/>
        </w:rPr>
        <w:t>Vypůjčitel</w:t>
      </w:r>
      <w:r>
        <w:t xml:space="preserve"> je oprávněn před skončením sjedna</w:t>
      </w:r>
      <w:r>
        <w:t>né doby výpůjčky písemně vypovědět tuto smlouvu:</w:t>
      </w:r>
    </w:p>
    <w:p w:rsidR="0074449C" w:rsidRDefault="00FD6F62">
      <w:pPr>
        <w:pStyle w:val="Zkladntext1"/>
        <w:numPr>
          <w:ilvl w:val="0"/>
          <w:numId w:val="8"/>
        </w:numPr>
        <w:shd w:val="clear" w:color="auto" w:fill="auto"/>
        <w:tabs>
          <w:tab w:val="left" w:pos="1162"/>
        </w:tabs>
        <w:spacing w:after="100"/>
        <w:ind w:firstLine="760"/>
        <w:jc w:val="both"/>
      </w:pPr>
      <w:r>
        <w:t xml:space="preserve">pokud </w:t>
      </w:r>
      <w:proofErr w:type="spellStart"/>
      <w:r>
        <w:t>půjčitel</w:t>
      </w:r>
      <w:proofErr w:type="spellEnd"/>
      <w:r>
        <w:t xml:space="preserve"> nesplní podmínky a povinnosti dle č. IV. této smlouvy,</w:t>
      </w:r>
    </w:p>
    <w:p w:rsidR="0074449C" w:rsidRDefault="00FD6F62">
      <w:pPr>
        <w:pStyle w:val="Zkladntext1"/>
        <w:numPr>
          <w:ilvl w:val="0"/>
          <w:numId w:val="8"/>
        </w:numPr>
        <w:shd w:val="clear" w:color="auto" w:fill="auto"/>
        <w:tabs>
          <w:tab w:val="left" w:pos="1166"/>
        </w:tabs>
        <w:spacing w:after="100"/>
        <w:ind w:firstLine="760"/>
        <w:jc w:val="both"/>
      </w:pPr>
      <w:r>
        <w:t>i bez uvedení důvodu.</w:t>
      </w:r>
    </w:p>
    <w:p w:rsidR="0074449C" w:rsidRDefault="00FD6F62">
      <w:pPr>
        <w:pStyle w:val="Zkladntext1"/>
        <w:shd w:val="clear" w:color="auto" w:fill="auto"/>
        <w:spacing w:after="100"/>
        <w:ind w:left="380" w:firstLine="60"/>
        <w:jc w:val="both"/>
      </w:pPr>
      <w:r>
        <w:t xml:space="preserve">Výpovědní doba se v obou případech sjednává v trvání 30 kalendářních dnů a začíná běžet dnem doručení písemné </w:t>
      </w:r>
      <w:r>
        <w:t xml:space="preserve">výpovědi </w:t>
      </w:r>
      <w:proofErr w:type="spellStart"/>
      <w:r>
        <w:t>půjčiteli</w:t>
      </w:r>
      <w:proofErr w:type="spellEnd"/>
      <w:r>
        <w:t>. Smlouva zaniká uplynutím výpovědní doby.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403"/>
        </w:tabs>
        <w:spacing w:after="0"/>
        <w:ind w:left="320" w:hanging="320"/>
        <w:jc w:val="both"/>
      </w:pPr>
      <w:r>
        <w:t xml:space="preserve">Vypůjčitel je oprávněn vypovědět tuto smlouvu také v případě, že v souvislosti s plněním účelu této smlouvy dojde ke spáchání trestného činu. Výpovědní doba činí 3 dny a začíná běžet dnem </w:t>
      </w:r>
      <w:r>
        <w:t xml:space="preserve">následujícím po dni, kdy bylo písemné vyhotovení výpovědi doručeno </w:t>
      </w:r>
      <w:proofErr w:type="spellStart"/>
      <w:r>
        <w:t>půjčiteli</w:t>
      </w:r>
      <w:proofErr w:type="spellEnd"/>
      <w:r>
        <w:t>.</w:t>
      </w:r>
    </w:p>
    <w:p w:rsidR="0074449C" w:rsidRDefault="00FD6F62">
      <w:pPr>
        <w:pStyle w:val="Zkladntext1"/>
        <w:numPr>
          <w:ilvl w:val="0"/>
          <w:numId w:val="6"/>
        </w:numPr>
        <w:shd w:val="clear" w:color="auto" w:fill="auto"/>
        <w:tabs>
          <w:tab w:val="left" w:pos="403"/>
        </w:tabs>
        <w:spacing w:after="220"/>
        <w:jc w:val="both"/>
      </w:pPr>
      <w:r>
        <w:t>Smlouvu lze ukončit i dohodou smluvních stran.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Čl. IV.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Práva a povinnosti </w:t>
      </w:r>
      <w:proofErr w:type="spellStart"/>
      <w:r>
        <w:rPr>
          <w:b/>
          <w:bCs/>
        </w:rPr>
        <w:t>půjčitele</w:t>
      </w:r>
      <w:proofErr w:type="spellEnd"/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362"/>
        </w:tabs>
        <w:spacing w:after="0"/>
        <w:jc w:val="both"/>
      </w:pPr>
      <w:proofErr w:type="spellStart"/>
      <w:r>
        <w:rPr>
          <w:u w:val="single"/>
        </w:rPr>
        <w:t>Půjčitel</w:t>
      </w:r>
      <w:proofErr w:type="spellEnd"/>
      <w:r>
        <w:rPr>
          <w:u w:val="single"/>
        </w:rPr>
        <w:t xml:space="preserve"> se zavazuje:</w:t>
      </w:r>
    </w:p>
    <w:p w:rsidR="0074449C" w:rsidRDefault="00FD6F62">
      <w:pPr>
        <w:pStyle w:val="Zkladntext1"/>
        <w:numPr>
          <w:ilvl w:val="0"/>
          <w:numId w:val="10"/>
        </w:numPr>
        <w:shd w:val="clear" w:color="auto" w:fill="auto"/>
        <w:tabs>
          <w:tab w:val="left" w:pos="763"/>
        </w:tabs>
        <w:spacing w:after="0"/>
        <w:ind w:left="660" w:hanging="280"/>
        <w:jc w:val="both"/>
      </w:pPr>
      <w:r>
        <w:t>předat vypůjčiteli předmět výpůjčky i s příslušenstvím ve stavu způsobil</w:t>
      </w:r>
      <w:r>
        <w:t xml:space="preserve">ém k </w:t>
      </w:r>
      <w:r>
        <w:lastRenderedPageBreak/>
        <w:t>řádnému užívání;</w:t>
      </w:r>
    </w:p>
    <w:p w:rsidR="0074449C" w:rsidRDefault="00FD6F62">
      <w:pPr>
        <w:pStyle w:val="Zkladntext1"/>
        <w:numPr>
          <w:ilvl w:val="0"/>
          <w:numId w:val="10"/>
        </w:numPr>
        <w:shd w:val="clear" w:color="auto" w:fill="auto"/>
        <w:tabs>
          <w:tab w:val="left" w:pos="773"/>
        </w:tabs>
        <w:spacing w:after="0"/>
        <w:ind w:left="660" w:hanging="280"/>
        <w:jc w:val="both"/>
      </w:pPr>
      <w:r>
        <w:t>nainstalovat jednotlivé předměty výpůjčky v souladu se zákonem č. 375/2022 Sb., pokud se jedná o zdravotnický prostředek;</w:t>
      </w:r>
    </w:p>
    <w:p w:rsidR="0074449C" w:rsidRDefault="00FD6F62">
      <w:pPr>
        <w:pStyle w:val="Zkladntext1"/>
        <w:numPr>
          <w:ilvl w:val="0"/>
          <w:numId w:val="10"/>
        </w:numPr>
        <w:shd w:val="clear" w:color="auto" w:fill="auto"/>
        <w:tabs>
          <w:tab w:val="left" w:pos="773"/>
        </w:tabs>
        <w:spacing w:after="0"/>
        <w:ind w:left="660" w:hanging="280"/>
        <w:jc w:val="both"/>
      </w:pPr>
      <w:r>
        <w:t xml:space="preserve">instruovat vypůjčitele o řádném užívání předmětu výpůjčky (obsluha, nastavení, požadavky na pravidelnou údržbu </w:t>
      </w:r>
      <w:r>
        <w:t>atd.); protokol o zaškolení bude přiložen ke smlouvě;</w:t>
      </w:r>
    </w:p>
    <w:p w:rsidR="0074449C" w:rsidRDefault="00FD6F62">
      <w:pPr>
        <w:pStyle w:val="Zkladntext1"/>
        <w:numPr>
          <w:ilvl w:val="0"/>
          <w:numId w:val="10"/>
        </w:numPr>
        <w:shd w:val="clear" w:color="auto" w:fill="auto"/>
        <w:tabs>
          <w:tab w:val="left" w:pos="773"/>
        </w:tabs>
        <w:spacing w:after="0"/>
        <w:ind w:left="660" w:hanging="280"/>
        <w:jc w:val="both"/>
      </w:pPr>
      <w:r>
        <w:t>provádět na svoje náklady servis, opravy a bezpečnostně technické prohlídky předmětu výpůjčky v době trvání výpůjčky prostřednictvím pověřené autorizované osoby, pokud toto legislativa či výrobce vyžadu</w:t>
      </w:r>
      <w:r>
        <w:t>je;</w:t>
      </w:r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364"/>
        </w:tabs>
        <w:spacing w:after="0"/>
        <w:jc w:val="both"/>
      </w:pPr>
      <w:proofErr w:type="spellStart"/>
      <w:r>
        <w:rPr>
          <w:u w:val="single"/>
        </w:rPr>
        <w:t>Půjčitel</w:t>
      </w:r>
      <w:proofErr w:type="spellEnd"/>
      <w:r>
        <w:rPr>
          <w:u w:val="single"/>
        </w:rPr>
        <w:t xml:space="preserve"> se zavazuje, že spolu s předmětem výpůjčky předá vypůjčiteli:</w:t>
      </w:r>
    </w:p>
    <w:p w:rsidR="0074449C" w:rsidRDefault="00FD6F62">
      <w:pPr>
        <w:pStyle w:val="Zkladntext1"/>
        <w:numPr>
          <w:ilvl w:val="0"/>
          <w:numId w:val="11"/>
        </w:numPr>
        <w:shd w:val="clear" w:color="auto" w:fill="auto"/>
        <w:tabs>
          <w:tab w:val="left" w:pos="754"/>
        </w:tabs>
        <w:spacing w:after="0"/>
        <w:ind w:left="660" w:hanging="280"/>
        <w:jc w:val="both"/>
      </w:pPr>
      <w:r>
        <w:t>uživatelskou dokumentaci a návod k použití v českém jazyce - v tištěné i elektronické podobě, pokud byl tento dokument k předmětu výpůjčky vydán;</w:t>
      </w:r>
    </w:p>
    <w:p w:rsidR="0074449C" w:rsidRDefault="00FD6F62">
      <w:pPr>
        <w:pStyle w:val="Zkladntext1"/>
        <w:numPr>
          <w:ilvl w:val="0"/>
          <w:numId w:val="11"/>
        </w:numPr>
        <w:shd w:val="clear" w:color="auto" w:fill="auto"/>
        <w:tabs>
          <w:tab w:val="left" w:pos="773"/>
        </w:tabs>
        <w:spacing w:after="0"/>
        <w:ind w:left="660" w:hanging="280"/>
        <w:jc w:val="both"/>
      </w:pPr>
      <w:r>
        <w:t>doklady prokazující způsobilost pře</w:t>
      </w:r>
      <w:r>
        <w:t>dmětu výpůjčky k použití při poskytování zdravotní péče dle platné legislativy ČR, zejména dle zákona č. 375/2022 Sb. (v případě, že se jedná o ZP)</w:t>
      </w:r>
    </w:p>
    <w:p w:rsidR="0074449C" w:rsidRDefault="00FD6F62">
      <w:pPr>
        <w:pStyle w:val="Zkladntext1"/>
        <w:numPr>
          <w:ilvl w:val="0"/>
          <w:numId w:val="11"/>
        </w:numPr>
        <w:shd w:val="clear" w:color="auto" w:fill="auto"/>
        <w:tabs>
          <w:tab w:val="left" w:pos="773"/>
        </w:tabs>
        <w:spacing w:after="0"/>
        <w:ind w:left="660" w:hanging="280"/>
        <w:jc w:val="both"/>
      </w:pPr>
      <w:r>
        <w:t>Prohlášení o shodě s uvedením zařazení do třídy ZP - v tištěné i elektronické podobě;</w:t>
      </w:r>
    </w:p>
    <w:p w:rsidR="0074449C" w:rsidRDefault="00FD6F62">
      <w:pPr>
        <w:pStyle w:val="Zkladntext1"/>
        <w:numPr>
          <w:ilvl w:val="0"/>
          <w:numId w:val="11"/>
        </w:numPr>
        <w:shd w:val="clear" w:color="auto" w:fill="auto"/>
        <w:tabs>
          <w:tab w:val="left" w:pos="713"/>
        </w:tabs>
        <w:spacing w:after="0"/>
        <w:ind w:firstLine="320"/>
        <w:jc w:val="both"/>
      </w:pPr>
      <w:r>
        <w:t>Protokol o zaškolení o</w:t>
      </w:r>
      <w:r>
        <w:t>bsluhy s podpisy školitele a školené obsluhy</w:t>
      </w:r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379"/>
        </w:tabs>
        <w:spacing w:after="0"/>
        <w:ind w:left="320" w:hanging="320"/>
        <w:jc w:val="both"/>
      </w:pPr>
      <w:proofErr w:type="spellStart"/>
      <w:r>
        <w:t>Půjčitel</w:t>
      </w:r>
      <w:proofErr w:type="spellEnd"/>
      <w:r>
        <w:t xml:space="preserve"> garantuje, že po dobu trvání výpůjčky bude předmět výpůjčky plně funkční a bude mít vlastnosti odpovídající obsahu technických norem, eventuálně dalších technických požadavků či norem, např. ISO, které </w:t>
      </w:r>
      <w:r>
        <w:t>má dané zařízení splňovat a které se na dané zařízení vztahují.</w:t>
      </w:r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379"/>
        </w:tabs>
        <w:spacing w:after="0"/>
        <w:ind w:left="320" w:hanging="320"/>
        <w:jc w:val="both"/>
      </w:pPr>
      <w:proofErr w:type="spellStart"/>
      <w:r>
        <w:t>Půjčitel</w:t>
      </w:r>
      <w:proofErr w:type="spellEnd"/>
      <w:r>
        <w:t xml:space="preserve"> se zavazuje, že v případě nefunkčnosti předmětu výpůjčky (např. z důvodu neodstranitelné závady) bude takový předmět nahrazen novým zařízením, které bude mít vlastnosti odpovídající </w:t>
      </w:r>
      <w:r>
        <w:t>obsahu technických norem, eventuálně dalších technických požadavků či norem, např. ISO, které má dané zařízení splňovat a které se na dané zařízení vztahují. V takovém případě jsou smluvní strany povinny uzavřít dodatek k této smlouvě.</w:t>
      </w:r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379"/>
        </w:tabs>
        <w:spacing w:after="0"/>
        <w:ind w:left="320" w:hanging="320"/>
        <w:jc w:val="both"/>
      </w:pPr>
      <w:proofErr w:type="spellStart"/>
      <w:r>
        <w:t>Půjčitel</w:t>
      </w:r>
      <w:proofErr w:type="spellEnd"/>
      <w:r>
        <w:t xml:space="preserve"> se zavazuje</w:t>
      </w:r>
      <w:r>
        <w:t>, že v případě rozšíření či úprav pracovišť vypůjčitele přenechá vypůjčiteli do bezplatného užívání nová zařízení nad rámec minimálních počtů uvedených v čl. I odst. 1 této smlouvy, a to dle objektivních potřeb vypůjčitele. Toto ujednání platí po celou dob</w:t>
      </w:r>
      <w:r>
        <w:t>u trvání této smlouvy.</w:t>
      </w:r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379"/>
        </w:tabs>
        <w:spacing w:after="0"/>
        <w:ind w:left="320" w:hanging="320"/>
        <w:jc w:val="both"/>
      </w:pPr>
      <w:r>
        <w:t xml:space="preserve">V případě ukončení výpůjčky bude </w:t>
      </w:r>
      <w:proofErr w:type="spellStart"/>
      <w:r>
        <w:t>půjčitelem</w:t>
      </w:r>
      <w:proofErr w:type="spellEnd"/>
      <w:r>
        <w:t xml:space="preserve"> a kontaktní (příp. jinou pověřenou) osobou vypůjčitele vyhotoven protokol o převzetí předmětu výpůjčky zpět </w:t>
      </w:r>
      <w:proofErr w:type="spellStart"/>
      <w:r>
        <w:t>půjčitelem</w:t>
      </w:r>
      <w:proofErr w:type="spellEnd"/>
      <w:r>
        <w:t xml:space="preserve">, a to ve dvou vyhotoveních, z nichž po jednom vyhotovení obdrží </w:t>
      </w:r>
      <w:proofErr w:type="spellStart"/>
      <w:r>
        <w:t>půjčit</w:t>
      </w:r>
      <w:r>
        <w:t>el</w:t>
      </w:r>
      <w:proofErr w:type="spellEnd"/>
      <w:r>
        <w:t xml:space="preserve"> i vypůjčitel, kopii protokolu obdrží i pověřené pracoviště vypůjčitele.</w:t>
      </w:r>
    </w:p>
    <w:p w:rsidR="0074449C" w:rsidRDefault="00FD6F62">
      <w:pPr>
        <w:pStyle w:val="Zkladntext1"/>
        <w:numPr>
          <w:ilvl w:val="0"/>
          <w:numId w:val="9"/>
        </w:numPr>
        <w:shd w:val="clear" w:color="auto" w:fill="auto"/>
        <w:tabs>
          <w:tab w:val="left" w:pos="418"/>
        </w:tabs>
        <w:spacing w:after="340"/>
        <w:ind w:left="300" w:hanging="300"/>
        <w:jc w:val="both"/>
      </w:pPr>
      <w:proofErr w:type="spellStart"/>
      <w:r>
        <w:t>Půjčitel</w:t>
      </w:r>
      <w:proofErr w:type="spellEnd"/>
      <w:r>
        <w:t xml:space="preserve"> se zavazuje vypůjčiteli dodávat desinfekční prostředky potřebné pro řádné užívání předmětu výpůjčky v sortimentu a cenách dle kupní smlouvy, uzavřené s </w:t>
      </w:r>
      <w:proofErr w:type="spellStart"/>
      <w:r>
        <w:t>půjčitelem</w:t>
      </w:r>
      <w:proofErr w:type="spellEnd"/>
      <w:r>
        <w:t>, vztahují</w:t>
      </w:r>
      <w:r>
        <w:t>cí se k veřejné zakázce DEZINFEKCE 2.</w:t>
      </w:r>
    </w:p>
    <w:p w:rsidR="0074449C" w:rsidRDefault="00FD6F62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Čl. V.</w:t>
      </w:r>
    </w:p>
    <w:p w:rsidR="0074449C" w:rsidRDefault="00FD6F62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Práva a povinnosti vypůjčitele</w:t>
      </w:r>
    </w:p>
    <w:p w:rsidR="0074449C" w:rsidRDefault="00FD6F62">
      <w:pPr>
        <w:pStyle w:val="Zkladntext1"/>
        <w:numPr>
          <w:ilvl w:val="0"/>
          <w:numId w:val="12"/>
        </w:numPr>
        <w:shd w:val="clear" w:color="auto" w:fill="auto"/>
        <w:tabs>
          <w:tab w:val="left" w:pos="356"/>
        </w:tabs>
        <w:spacing w:after="0"/>
        <w:jc w:val="both"/>
      </w:pPr>
      <w:r>
        <w:rPr>
          <w:u w:val="single"/>
        </w:rPr>
        <w:t>Vypůjčitel se zavazuje: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44"/>
        </w:tabs>
        <w:spacing w:after="0"/>
        <w:ind w:left="660" w:hanging="320"/>
        <w:jc w:val="both"/>
      </w:pPr>
      <w:r>
        <w:t xml:space="preserve">poskytnout </w:t>
      </w:r>
      <w:proofErr w:type="spellStart"/>
      <w:r>
        <w:t>půjčiteli</w:t>
      </w:r>
      <w:proofErr w:type="spellEnd"/>
      <w:r>
        <w:t xml:space="preserve"> potřebnou součinnost při uvedení předmětu výpůjčky do provozu a potvrdit protokolárně jeho převzetí;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53"/>
        </w:tabs>
        <w:spacing w:after="0"/>
        <w:ind w:left="660" w:hanging="320"/>
        <w:jc w:val="both"/>
      </w:pPr>
      <w:r>
        <w:t>předmět výpůjčky užívat řádně a po</w:t>
      </w:r>
      <w:r>
        <w:t>uze k účelu, k jakému je výrobcem určen a dodržovat veškeré pokyny výrobce uvedené v návodu k použití předmětu výpůjčky;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53"/>
        </w:tabs>
        <w:spacing w:after="0"/>
        <w:ind w:left="660" w:hanging="320"/>
        <w:jc w:val="both"/>
      </w:pPr>
      <w:r>
        <w:t xml:space="preserve">provádět čištění a údržbu předmětu výpůjčky pouze v souladu s návodem k </w:t>
      </w:r>
      <w:r>
        <w:lastRenderedPageBreak/>
        <w:t>použití na svůj náklad;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13"/>
        </w:tabs>
        <w:spacing w:after="0"/>
        <w:ind w:firstLine="300"/>
      </w:pPr>
      <w:r>
        <w:t xml:space="preserve">předmět výpůjčky chránit před </w:t>
      </w:r>
      <w:r>
        <w:t>poškozením, zničením a ztrátou;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53"/>
        </w:tabs>
        <w:spacing w:after="0"/>
        <w:ind w:left="660" w:hanging="320"/>
        <w:jc w:val="both"/>
      </w:pPr>
      <w:r>
        <w:t xml:space="preserve">v průběhu doby trvání výpůjčky oznámit bez zbytečného odkladu </w:t>
      </w:r>
      <w:proofErr w:type="spellStart"/>
      <w:r>
        <w:t>půjčiteli</w:t>
      </w:r>
      <w:proofErr w:type="spellEnd"/>
      <w:r>
        <w:t xml:space="preserve"> všechny závady a poruchy předmětu výpůjčky;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53"/>
        </w:tabs>
        <w:spacing w:after="0"/>
        <w:ind w:left="660" w:hanging="320"/>
        <w:jc w:val="both"/>
      </w:pPr>
      <w:r>
        <w:t>předložit předmět výpůjčky k provedení pravidelných servisních či jiných kontrol předmětu výpůjčky v souladu</w:t>
      </w:r>
      <w:r>
        <w:t xml:space="preserve"> s pokyny výrobce, a to na základě žádosti </w:t>
      </w:r>
      <w:proofErr w:type="spellStart"/>
      <w:r>
        <w:t>půjčitele</w:t>
      </w:r>
      <w:proofErr w:type="spellEnd"/>
      <w:r>
        <w:t xml:space="preserve"> nejméně 2 dny předem;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53"/>
        </w:tabs>
        <w:spacing w:after="0"/>
        <w:ind w:left="660" w:hanging="320"/>
        <w:jc w:val="both"/>
      </w:pPr>
      <w:r>
        <w:t xml:space="preserve">nezajišťovat servis a opravy prostřednictvím jiného subjektu, než prostřednictvím </w:t>
      </w:r>
      <w:proofErr w:type="spellStart"/>
      <w:r>
        <w:t>půjčitele</w:t>
      </w:r>
      <w:proofErr w:type="spellEnd"/>
      <w:r>
        <w:t xml:space="preserve">. Při porušení tohoto ustanovení je povinen náklady na servis či opravy hradit ze svého a </w:t>
      </w:r>
      <w:r>
        <w:t>odpovídá za případnou škodu, která by tímto na předmětu výpůjčky vznikla;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63"/>
        </w:tabs>
        <w:spacing w:after="0"/>
        <w:ind w:left="660" w:hanging="320"/>
        <w:jc w:val="both"/>
      </w:pPr>
      <w:r>
        <w:t xml:space="preserve">předložit předmět výpůjčky </w:t>
      </w:r>
      <w:proofErr w:type="spellStart"/>
      <w:r>
        <w:t>půjčiteli</w:t>
      </w:r>
      <w:proofErr w:type="spellEnd"/>
      <w:r>
        <w:t xml:space="preserve"> k provedení inventarizace majetku </w:t>
      </w:r>
      <w:proofErr w:type="spellStart"/>
      <w:r>
        <w:t>půjčitele</w:t>
      </w:r>
      <w:proofErr w:type="spellEnd"/>
      <w:r>
        <w:t>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63"/>
        </w:tabs>
        <w:spacing w:after="0"/>
        <w:ind w:left="660" w:hanging="320"/>
        <w:jc w:val="both"/>
      </w:pPr>
      <w:r>
        <w:t>v případě ukončení doby trvání výpůjčky vrátit předmět výpůjčky ve stavu, v jakém jej převzal s přih</w:t>
      </w:r>
      <w:r>
        <w:t>lédnutím k obvyklému opotřebení;</w:t>
      </w:r>
    </w:p>
    <w:p w:rsidR="0074449C" w:rsidRDefault="00FD6F62">
      <w:pPr>
        <w:pStyle w:val="Zkladntext1"/>
        <w:numPr>
          <w:ilvl w:val="0"/>
          <w:numId w:val="13"/>
        </w:numPr>
        <w:shd w:val="clear" w:color="auto" w:fill="auto"/>
        <w:tabs>
          <w:tab w:val="left" w:pos="763"/>
        </w:tabs>
        <w:spacing w:after="0"/>
        <w:ind w:left="660" w:hanging="320"/>
        <w:jc w:val="both"/>
      </w:pPr>
      <w:r>
        <w:t xml:space="preserve">nahradit </w:t>
      </w:r>
      <w:proofErr w:type="spellStart"/>
      <w:r>
        <w:t>půjčiteli</w:t>
      </w:r>
      <w:proofErr w:type="spellEnd"/>
      <w:r>
        <w:t xml:space="preserve"> škodu v případě poškození předmětu výpůjčky, které vzniklo užíváním v rozporu s návodem k použití, nebo v rozporu s instruktáží o použití předmětu výpůjčky, anebo vzniklého jiným zaviněným jednáním, a dál</w:t>
      </w:r>
      <w:r>
        <w:t>e v případě zničení nebo ztráty předmětu výpůjčky.</w:t>
      </w:r>
    </w:p>
    <w:p w:rsidR="0074449C" w:rsidRDefault="00FD6F62">
      <w:pPr>
        <w:pStyle w:val="Zkladntext1"/>
        <w:numPr>
          <w:ilvl w:val="0"/>
          <w:numId w:val="12"/>
        </w:numPr>
        <w:shd w:val="clear" w:color="auto" w:fill="auto"/>
        <w:tabs>
          <w:tab w:val="left" w:pos="399"/>
        </w:tabs>
        <w:spacing w:after="0"/>
      </w:pPr>
      <w:r>
        <w:t>Vypůjčitel není povinen předmět výpůjčky pojistit.</w:t>
      </w:r>
    </w:p>
    <w:p w:rsidR="0074449C" w:rsidRDefault="00FD6F62">
      <w:pPr>
        <w:pStyle w:val="Zkladntext1"/>
        <w:numPr>
          <w:ilvl w:val="0"/>
          <w:numId w:val="12"/>
        </w:numPr>
        <w:shd w:val="clear" w:color="auto" w:fill="auto"/>
        <w:tabs>
          <w:tab w:val="left" w:pos="399"/>
        </w:tabs>
        <w:spacing w:after="0"/>
        <w:ind w:left="300" w:hanging="300"/>
        <w:jc w:val="both"/>
      </w:pPr>
      <w:r>
        <w:t>V případě vzniku škody na předmětu výpůjčky z důvodu zanedbání povinností vypůjčitele je tento povinen uhradit vzniklou škodu. Výše náhrady celkové škody,</w:t>
      </w:r>
      <w:r>
        <w:t xml:space="preserve"> požadovaná </w:t>
      </w:r>
      <w:proofErr w:type="spellStart"/>
      <w:r>
        <w:t>půjčitelem</w:t>
      </w:r>
      <w:proofErr w:type="spellEnd"/>
      <w:r>
        <w:t>, může dosahovat maximálně účetní zůstatkové hodnoty předmětu výpůjčky.</w:t>
      </w:r>
    </w:p>
    <w:p w:rsidR="0074449C" w:rsidRDefault="00FD6F62">
      <w:pPr>
        <w:pStyle w:val="Zkladntext1"/>
        <w:shd w:val="clear" w:color="auto" w:fill="auto"/>
        <w:spacing w:after="0"/>
        <w:ind w:left="300" w:firstLine="40"/>
        <w:jc w:val="both"/>
      </w:pPr>
      <w:r>
        <w:t>Za opotřebení předmětu výpůjčky způsobené jeho řádným používáním vypůjčitel neodpovídá.</w:t>
      </w:r>
    </w:p>
    <w:p w:rsidR="0074449C" w:rsidRDefault="00FD6F62">
      <w:pPr>
        <w:pStyle w:val="Zkladntext1"/>
        <w:numPr>
          <w:ilvl w:val="0"/>
          <w:numId w:val="12"/>
        </w:numPr>
        <w:shd w:val="clear" w:color="auto" w:fill="auto"/>
        <w:tabs>
          <w:tab w:val="left" w:pos="399"/>
        </w:tabs>
        <w:spacing w:after="0"/>
        <w:ind w:left="300" w:hanging="300"/>
        <w:jc w:val="both"/>
      </w:pPr>
      <w:r>
        <w:t xml:space="preserve">Během sjednané doby výpůjčky není vypůjčitel oprávněn přenechat předmět </w:t>
      </w:r>
      <w:r>
        <w:t xml:space="preserve">výpůjčky k užívání třetí osobě. Porušení tohoto zákazu zakládá právo </w:t>
      </w:r>
      <w:proofErr w:type="spellStart"/>
      <w:r>
        <w:t>půjčitele</w:t>
      </w:r>
      <w:proofErr w:type="spellEnd"/>
      <w:r>
        <w:t xml:space="preserve"> žádat vrácení předmětu výpůjčky před skončením stanovené doby zapůjčení.</w:t>
      </w:r>
    </w:p>
    <w:p w:rsidR="0074449C" w:rsidRDefault="00FD6F62">
      <w:pPr>
        <w:pStyle w:val="Zkladntext1"/>
        <w:numPr>
          <w:ilvl w:val="0"/>
          <w:numId w:val="12"/>
        </w:numPr>
        <w:shd w:val="clear" w:color="auto" w:fill="auto"/>
        <w:tabs>
          <w:tab w:val="left" w:pos="399"/>
        </w:tabs>
        <w:spacing w:after="0"/>
        <w:ind w:left="300" w:hanging="300"/>
        <w:jc w:val="both"/>
      </w:pPr>
      <w:r>
        <w:t>Vypůjčitel je povinen v rámci používání předmětu výpůjčky používat pouze provozní materiály určené a sch</w:t>
      </w:r>
      <w:r>
        <w:t xml:space="preserve">válené výrobcem (po vzájemné dohodě obou smluvních stran lze používat i jiné), určit pracovníky zodpovědné za provoz předmětu výpůjčky a umožnit </w:t>
      </w:r>
      <w:proofErr w:type="spellStart"/>
      <w:r>
        <w:t>půjčiteli</w:t>
      </w:r>
      <w:proofErr w:type="spellEnd"/>
      <w:r>
        <w:t xml:space="preserve"> na jeho vyžádání přístup za účelem výkonu servisu a ověření stavu zařízení.</w:t>
      </w:r>
    </w:p>
    <w:p w:rsidR="0074449C" w:rsidRDefault="00FD6F62">
      <w:pPr>
        <w:pStyle w:val="Zkladntext1"/>
        <w:numPr>
          <w:ilvl w:val="0"/>
          <w:numId w:val="12"/>
        </w:numPr>
        <w:shd w:val="clear" w:color="auto" w:fill="auto"/>
        <w:tabs>
          <w:tab w:val="left" w:pos="416"/>
        </w:tabs>
        <w:spacing w:after="0"/>
        <w:ind w:left="380" w:hanging="380"/>
        <w:jc w:val="both"/>
      </w:pPr>
      <w:r>
        <w:t>Podpisem této smlouvy vyp</w:t>
      </w:r>
      <w:r>
        <w:t>ůjčitel stvrzuje, že se seznámil s technickým stavem předmětu výpůjčky a že byl seznámen s požadavky na jeho obsluhu a údržbu.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Čl. VI.</w:t>
      </w:r>
    </w:p>
    <w:p w:rsidR="0074449C" w:rsidRDefault="00FD6F62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Provoz a údržba předmětu výpůjčky</w:t>
      </w:r>
    </w:p>
    <w:p w:rsidR="0074449C" w:rsidRDefault="00FD6F62">
      <w:pPr>
        <w:pStyle w:val="Zkladntext1"/>
        <w:numPr>
          <w:ilvl w:val="0"/>
          <w:numId w:val="14"/>
        </w:numPr>
        <w:shd w:val="clear" w:color="auto" w:fill="auto"/>
        <w:tabs>
          <w:tab w:val="left" w:pos="416"/>
        </w:tabs>
        <w:spacing w:after="0"/>
        <w:ind w:left="380" w:hanging="380"/>
        <w:jc w:val="both"/>
      </w:pPr>
      <w:proofErr w:type="spellStart"/>
      <w:r>
        <w:t>Půjčitel</w:t>
      </w:r>
      <w:proofErr w:type="spellEnd"/>
      <w:r>
        <w:t xml:space="preserve"> poskytuje vypůjčiteli na předmět výpůjčky záruku po dobu min. 24 měsíců od pro</w:t>
      </w:r>
      <w:r>
        <w:t xml:space="preserve">tokolárního předání vypůjčiteli, během níž má vypůjčitel nárok na plné bezplatné servisní zabezpečení ze strany </w:t>
      </w:r>
      <w:proofErr w:type="spellStart"/>
      <w:r>
        <w:t>půjčitele</w:t>
      </w:r>
      <w:proofErr w:type="spellEnd"/>
      <w:r>
        <w:t>.</w:t>
      </w:r>
    </w:p>
    <w:p w:rsidR="0074449C" w:rsidRDefault="00FD6F62">
      <w:pPr>
        <w:pStyle w:val="Zkladntext1"/>
        <w:numPr>
          <w:ilvl w:val="0"/>
          <w:numId w:val="14"/>
        </w:numPr>
        <w:shd w:val="clear" w:color="auto" w:fill="auto"/>
        <w:tabs>
          <w:tab w:val="left" w:pos="416"/>
        </w:tabs>
        <w:spacing w:after="260"/>
        <w:ind w:left="380" w:hanging="380"/>
        <w:jc w:val="both"/>
      </w:pPr>
      <w:r>
        <w:t xml:space="preserve">V pozáruční době se </w:t>
      </w:r>
      <w:proofErr w:type="spellStart"/>
      <w:r>
        <w:t>půjčitel</w:t>
      </w:r>
      <w:proofErr w:type="spellEnd"/>
      <w:r>
        <w:t xml:space="preserve"> zavazuje po celou dobu výpůjčky poskytovat vypůjčiteli k předmětu výpůjčky tyto následné služby: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050"/>
        <w:gridCol w:w="2059"/>
        <w:gridCol w:w="2117"/>
      </w:tblGrid>
      <w:tr w:rsidR="0074449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Druh sl</w:t>
            </w:r>
            <w:r>
              <w:rPr>
                <w:b/>
                <w:bCs/>
              </w:rPr>
              <w:t>užby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Sjednává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Službu poskytuje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Na náklady/účet</w:t>
            </w: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</w:pPr>
            <w:r>
              <w:t>PBTK, validace*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</w:pPr>
            <w:proofErr w:type="spellStart"/>
            <w:r>
              <w:t>půjčitel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půjčitel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půjčitele</w:t>
            </w:r>
            <w:proofErr w:type="spellEnd"/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</w:pPr>
            <w:r>
              <w:lastRenderedPageBreak/>
              <w:t>Opravy, servis, dopravné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</w:pPr>
            <w:r>
              <w:t>vypůjčitel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půjčitel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půjčitele</w:t>
            </w:r>
            <w:proofErr w:type="spellEnd"/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</w:pPr>
            <w:r>
              <w:t>Náhradní díly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</w:pPr>
            <w:r>
              <w:t>vypůjčitel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půjčitel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půjčitele</w:t>
            </w:r>
            <w:proofErr w:type="spellEnd"/>
          </w:p>
        </w:tc>
      </w:tr>
    </w:tbl>
    <w:p w:rsidR="0074449C" w:rsidRDefault="0074449C">
      <w:pPr>
        <w:spacing w:after="259" w:line="1" w:lineRule="exact"/>
      </w:pPr>
    </w:p>
    <w:p w:rsidR="0074449C" w:rsidRDefault="00FD6F62">
      <w:pPr>
        <w:pStyle w:val="Zkladntext1"/>
        <w:shd w:val="clear" w:color="auto" w:fill="auto"/>
        <w:spacing w:after="0"/>
        <w:ind w:left="800" w:hanging="280"/>
        <w:jc w:val="both"/>
      </w:pPr>
      <w:r>
        <w:t xml:space="preserve">* PBTK = periodické bezpečnostně technické kontroly na </w:t>
      </w:r>
      <w:r>
        <w:t>předmětu výpůjčky ve smyslu zákona č. 375/2022 Sb.,</w:t>
      </w:r>
    </w:p>
    <w:p w:rsidR="0074449C" w:rsidRDefault="00FD6F62">
      <w:pPr>
        <w:pStyle w:val="Zkladntext1"/>
        <w:shd w:val="clear" w:color="auto" w:fill="auto"/>
        <w:spacing w:after="260"/>
        <w:ind w:left="800" w:hanging="280"/>
        <w:jc w:val="both"/>
      </w:pPr>
      <w:r>
        <w:t xml:space="preserve">** v případě poruchy předmětu musí </w:t>
      </w:r>
      <w:proofErr w:type="spellStart"/>
      <w:r>
        <w:t>půjčitel</w:t>
      </w:r>
      <w:proofErr w:type="spellEnd"/>
      <w:r>
        <w:t xml:space="preserve"> zajistit servis. Opětovné uvedení zařízení do provozu (provedení opravy a předání funkčního zařízení) bude zajištěno co nejdříve. Ve vhodných případech se </w:t>
      </w:r>
      <w:proofErr w:type="spellStart"/>
      <w:r>
        <w:t>půjči</w:t>
      </w:r>
      <w:r>
        <w:t>tel</w:t>
      </w:r>
      <w:proofErr w:type="spellEnd"/>
      <w:r>
        <w:t xml:space="preserve"> zavazuje zapůjčit vypůjčiteli po dobu opravy jiné zařízení odpovídající kvality (případně jeho část).</w:t>
      </w:r>
    </w:p>
    <w:p w:rsidR="0074449C" w:rsidRDefault="00FD6F62">
      <w:pPr>
        <w:pStyle w:val="Zkladntext1"/>
        <w:numPr>
          <w:ilvl w:val="0"/>
          <w:numId w:val="14"/>
        </w:numPr>
        <w:shd w:val="clear" w:color="auto" w:fill="auto"/>
        <w:tabs>
          <w:tab w:val="left" w:pos="416"/>
        </w:tabs>
        <w:ind w:left="380" w:hanging="380"/>
        <w:jc w:val="both"/>
      </w:pPr>
      <w:proofErr w:type="spellStart"/>
      <w:r>
        <w:t>Půjčitel</w:t>
      </w:r>
      <w:proofErr w:type="spellEnd"/>
      <w:r>
        <w:t xml:space="preserve"> prohlašuje, že splňuje z hlediska kvalifikace a věcného vybavení veškeré podmínky pro výkon servisní činnosti pro předmět výpůjčky a je-li te</w:t>
      </w:r>
      <w:r>
        <w:t>nto zdravotnickým prostředkem, pak včetně smyslu zák. č. 375/2022 Sb., ve znění pozdějších předpisů. Tím je míněno, mimo jiné, že:</w:t>
      </w:r>
    </w:p>
    <w:p w:rsidR="0074449C" w:rsidRDefault="00FD6F62">
      <w:pPr>
        <w:pStyle w:val="Zkladntext1"/>
        <w:shd w:val="clear" w:color="auto" w:fill="auto"/>
        <w:ind w:left="800" w:hanging="420"/>
        <w:jc w:val="both"/>
      </w:pPr>
      <w:r>
        <w:t>a) má příslušné certifikace a registrace k odborným činnostem, ke kterým se touto smlouvou zavazuje;</w:t>
      </w:r>
    </w:p>
    <w:p w:rsidR="0074449C" w:rsidRDefault="00FD6F62">
      <w:pPr>
        <w:pStyle w:val="Zkladntext1"/>
        <w:shd w:val="clear" w:color="auto" w:fill="auto"/>
        <w:ind w:left="800" w:hanging="420"/>
        <w:jc w:val="both"/>
      </w:pPr>
      <w:r>
        <w:t xml:space="preserve">b) má dostatečnou </w:t>
      </w:r>
      <w:r>
        <w:t>kapacitu materiální i odbornou, aby mohl řádně dostát svým závazkům.</w:t>
      </w:r>
    </w:p>
    <w:p w:rsidR="0074449C" w:rsidRDefault="00FD6F62">
      <w:pPr>
        <w:pStyle w:val="Zkladntext1"/>
        <w:numPr>
          <w:ilvl w:val="0"/>
          <w:numId w:val="14"/>
        </w:numPr>
        <w:shd w:val="clear" w:color="auto" w:fill="auto"/>
        <w:tabs>
          <w:tab w:val="left" w:pos="416"/>
        </w:tabs>
        <w:ind w:left="380" w:hanging="380"/>
        <w:jc w:val="both"/>
      </w:pPr>
      <w:proofErr w:type="spellStart"/>
      <w:r>
        <w:t>Půjčitel</w:t>
      </w:r>
      <w:proofErr w:type="spellEnd"/>
      <w:r>
        <w:t xml:space="preserve"> se zavazuje vypůjčiteli uhradit veškeré škody, které utrpí jako následek skutečnosti, že toto prohlášení se ukáže jako nepravdivé.</w:t>
      </w:r>
    </w:p>
    <w:p w:rsidR="0074449C" w:rsidRDefault="00FD6F62">
      <w:pPr>
        <w:pStyle w:val="Zkladntext1"/>
        <w:shd w:val="clear" w:color="auto" w:fill="auto"/>
        <w:spacing w:after="180"/>
        <w:ind w:left="380"/>
        <w:jc w:val="both"/>
      </w:pPr>
      <w:r>
        <w:t>Pokud nebude moci některý ze závazků plnit sám,</w:t>
      </w:r>
      <w:r>
        <w:t xml:space="preserve"> je povinen zajistit jeho plnění třetí stranou, oprávněnou k dané činnosti. </w:t>
      </w:r>
      <w:proofErr w:type="spellStart"/>
      <w:r>
        <w:t>Půjčitel</w:t>
      </w:r>
      <w:proofErr w:type="spellEnd"/>
      <w:r>
        <w:t xml:space="preserve"> přejímá na sebe odpovědnost za provedení činností třetí osobou.</w:t>
      </w:r>
    </w:p>
    <w:p w:rsidR="0074449C" w:rsidRDefault="00FD6F6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Čl. VII</w:t>
      </w:r>
      <w:r>
        <w:rPr>
          <w:b/>
          <w:bCs/>
        </w:rPr>
        <w:br/>
        <w:t>Mlčenlivost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373"/>
        </w:tabs>
        <w:spacing w:after="100" w:line="269" w:lineRule="auto"/>
        <w:jc w:val="both"/>
      </w:pPr>
      <w:r>
        <w:t>V průběhu plnění předmětu této smlouvy může prodávající přijít do styku s důvěrnými inf</w:t>
      </w:r>
      <w:r>
        <w:t xml:space="preserve">ormacemi týkající se kupujícího, jeho zaměstnanců či pacientů </w:t>
      </w:r>
      <w:r>
        <w:rPr>
          <w:rFonts w:ascii="Arial" w:eastAsia="Arial" w:hAnsi="Arial" w:cs="Arial"/>
          <w:sz w:val="22"/>
          <w:szCs w:val="22"/>
        </w:rPr>
        <w:t xml:space="preserve">• </w:t>
      </w:r>
      <w:r>
        <w:t>mající povahu osobních údajů identifikovatelných fyzických osob, obchodních údajů, či údajů o jiných právních a faktických vztazích kupujícího,</w:t>
      </w:r>
    </w:p>
    <w:p w:rsidR="0074449C" w:rsidRDefault="00FD6F62">
      <w:pPr>
        <w:pStyle w:val="Zkladntext1"/>
        <w:shd w:val="clear" w:color="auto" w:fill="auto"/>
        <w:spacing w:after="100"/>
        <w:ind w:left="660" w:hanging="280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• </w:t>
      </w:r>
      <w:r>
        <w:t>které</w:t>
      </w:r>
      <w:proofErr w:type="gramEnd"/>
      <w:r>
        <w:t xml:space="preserve"> prodávající obdržel či obdrží, a to ať </w:t>
      </w:r>
      <w:r>
        <w:t>již písemně, ústně, v elektronické či jiné formě, a to na jakémkoli nosiči, na němž takováto informace může být nahrána nebo uložena.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373"/>
        </w:tabs>
        <w:spacing w:after="100"/>
        <w:ind w:left="300" w:hanging="300"/>
        <w:jc w:val="both"/>
      </w:pPr>
      <w:r>
        <w:t xml:space="preserve">Za důvěrné informace se nepovažují informace, které jsou či se stanou veřejně přístupnými a mohou být kýmkoli získány bez </w:t>
      </w:r>
      <w:r>
        <w:t>nutnosti vyvinout větší úsilí za předpokladu, že nejsou získány jako důsledek protiprávního jednání.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373"/>
        </w:tabs>
        <w:spacing w:after="100"/>
        <w:ind w:left="300" w:hanging="300"/>
        <w:jc w:val="both"/>
      </w:pPr>
      <w:r>
        <w:t xml:space="preserve">V případě pochybností sdělí kupující na žádost prodávajícího, zda informaci považuje za důvěrnou. Nepožádal-li prodávající o toto sdělení, má se v případě </w:t>
      </w:r>
      <w:r>
        <w:t>pochybností za to, že informace je důvěrná.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373"/>
        </w:tabs>
        <w:spacing w:after="100"/>
        <w:ind w:left="300" w:hanging="300"/>
        <w:jc w:val="both"/>
      </w:pPr>
      <w:r>
        <w:t>Prodávající zajistí zachování mlčenlivosti o veškerých důvěrných informacích a zajistí přenesení povinnosti mlčenlivosti v plném rozsahu této smlouvy na své zaměstnance i jakékoli další osoby v právním či faktick</w:t>
      </w:r>
      <w:r>
        <w:t>ém vztahu ke kupujícímu, které se budou na realizaci předmětu smlouvy podílet. To platí i pro ostatní povinnosti uložené touto smlouvou.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373"/>
        </w:tabs>
        <w:spacing w:after="100"/>
        <w:ind w:left="300" w:hanging="300"/>
        <w:jc w:val="both"/>
      </w:pPr>
      <w:r>
        <w:lastRenderedPageBreak/>
        <w:t xml:space="preserve">Prodávající se dále zavazuje dodržovat pravidla a zásady zpracování a ochrany osobních údajů identifikovatelných </w:t>
      </w:r>
      <w:r>
        <w:t>fyzických osob podle zákona č. 110/2019 Sb., o zpracování osobních údajů a Obecného nařízení Evropského parlamentu a rady (EU) č. 2016/679 o ochraně fyzických osob v souvislosti se zpracováním osobních údajů a o volném pohybu těchto údajů a o zrušení směrn</w:t>
      </w:r>
      <w:r>
        <w:t>ice 95/46/ES, zákona č. 372/2011 Sb., zákon o zdravotních službách, zákona č. 373/2011 Sb., o specifických zdravotních službách a vyhlášky č. 98/2012 Sb., o zdravotnické dokumentaci.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673"/>
        </w:tabs>
        <w:spacing w:after="100"/>
        <w:ind w:firstLine="300"/>
      </w:pPr>
      <w:r>
        <w:t>Prodávající prohlašuje, že v předmětu dodávky:</w:t>
      </w:r>
    </w:p>
    <w:p w:rsidR="0074449C" w:rsidRDefault="00FD6F62">
      <w:pPr>
        <w:pStyle w:val="Zkladntext1"/>
        <w:shd w:val="clear" w:color="auto" w:fill="auto"/>
        <w:spacing w:after="260"/>
        <w:ind w:left="300" w:firstLine="80"/>
        <w:jc w:val="both"/>
      </w:pPr>
      <w:r>
        <w:t>□ jsou uchovávány osobní ú</w:t>
      </w:r>
      <w:r>
        <w:t>daje a údaje zvláštní kategorie kupujícího, jeho zaměstnanců či pacientů.</w:t>
      </w:r>
    </w:p>
    <w:p w:rsidR="0074449C" w:rsidRDefault="00FD6F62">
      <w:pPr>
        <w:pStyle w:val="Zkladntext1"/>
        <w:shd w:val="clear" w:color="auto" w:fill="auto"/>
        <w:spacing w:after="100"/>
        <w:ind w:left="1080"/>
      </w:pPr>
      <w:r>
        <w:t>O Jméno, příjmení, rodné číslo</w:t>
      </w:r>
    </w:p>
    <w:p w:rsidR="0074449C" w:rsidRDefault="00FD6F62">
      <w:pPr>
        <w:pStyle w:val="Zkladntext1"/>
        <w:shd w:val="clear" w:color="auto" w:fill="auto"/>
        <w:spacing w:after="100"/>
        <w:ind w:left="1080"/>
      </w:pPr>
      <w:r>
        <w:t>O Údaje o zdravotním stavu</w:t>
      </w:r>
    </w:p>
    <w:p w:rsidR="0074449C" w:rsidRDefault="00FD6F62">
      <w:pPr>
        <w:pStyle w:val="Zkladntext1"/>
        <w:shd w:val="clear" w:color="auto" w:fill="auto"/>
        <w:spacing w:after="100"/>
        <w:ind w:left="1080"/>
        <w:jc w:val="both"/>
      </w:pPr>
      <w:r>
        <w:t>O Jiné:</w:t>
      </w:r>
    </w:p>
    <w:p w:rsidR="0074449C" w:rsidRDefault="00FD6F62">
      <w:pPr>
        <w:pStyle w:val="Zkladntext1"/>
        <w:shd w:val="clear" w:color="auto" w:fill="auto"/>
        <w:spacing w:after="100"/>
        <w:ind w:left="300" w:firstLine="80"/>
        <w:jc w:val="both"/>
      </w:pPr>
      <w:proofErr w:type="gramStart"/>
      <w:r>
        <w:t>O nejsou uchovávány</w:t>
      </w:r>
      <w:proofErr w:type="gramEnd"/>
      <w:r>
        <w:t xml:space="preserve"> osobní údaje a údaje zvláštní kategorie kupujícího, jeho zaměstnanců či pacientů.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373"/>
        </w:tabs>
        <w:spacing w:after="100"/>
        <w:ind w:left="300" w:hanging="300"/>
        <w:jc w:val="both"/>
      </w:pPr>
      <w:r>
        <w:t xml:space="preserve">V případě, že </w:t>
      </w:r>
      <w:r>
        <w:t>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</w:t>
      </w:r>
      <w:r>
        <w:t>cí údaje apod.) Tyto údaje současně předá kupujícímu při převzetí zdravotnických prostředků.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568"/>
        </w:tabs>
        <w:ind w:left="580" w:hanging="400"/>
        <w:jc w:val="both"/>
      </w:pPr>
      <w:r>
        <w:t>Kupující prohlašuje, že v souvislosti se zajištěním servisních služeb poskytovaných prodávajícím v záruční době nepožaduje, zpracování dat (osobních údajů). V příp</w:t>
      </w:r>
      <w:r>
        <w:t>adě, že by v rámci zajištění servisních služeb muselo být zpracování dat (osobních údajů) provedeno, je prodávající povinen na tuto skutečnost kupujícího upozornit a uzavřít bez zbytečného odkladu zpracovatelskou smlouvu.</w:t>
      </w:r>
    </w:p>
    <w:p w:rsidR="0074449C" w:rsidRDefault="00FD6F62">
      <w:pPr>
        <w:pStyle w:val="Zkladntext1"/>
        <w:numPr>
          <w:ilvl w:val="0"/>
          <w:numId w:val="15"/>
        </w:numPr>
        <w:shd w:val="clear" w:color="auto" w:fill="auto"/>
        <w:tabs>
          <w:tab w:val="left" w:pos="568"/>
        </w:tabs>
        <w:spacing w:after="340"/>
        <w:ind w:left="580" w:hanging="400"/>
        <w:jc w:val="both"/>
      </w:pPr>
      <w:r>
        <w:t xml:space="preserve">Ustanovení tohoto článku se </w:t>
      </w:r>
      <w:r>
        <w:t>vztahují jak na období platnosti této smlouvy, tak na období po jejím ukončení.</w:t>
      </w:r>
    </w:p>
    <w:p w:rsidR="0074449C" w:rsidRDefault="00FD6F6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Čl. VIII.</w:t>
      </w:r>
    </w:p>
    <w:p w:rsidR="0074449C" w:rsidRDefault="00FD6F62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74449C" w:rsidRDefault="00FD6F62">
      <w:pPr>
        <w:pStyle w:val="Zkladntext1"/>
        <w:shd w:val="clear" w:color="auto" w:fill="auto"/>
        <w:ind w:left="580" w:hanging="400"/>
        <w:jc w:val="both"/>
      </w:pPr>
      <w:r>
        <w:t xml:space="preserve">1. Tato smlouva je uzavírána na základě výsledku veřejné zakázky DEZINFEKCE 2. Kupní smlouva na dílčí dodávky dezinfekčních prostředků je s </w:t>
      </w:r>
      <w:proofErr w:type="spellStart"/>
      <w:r>
        <w:t>půjči</w:t>
      </w:r>
      <w:r>
        <w:t>telem</w:t>
      </w:r>
      <w:proofErr w:type="spellEnd"/>
      <w:r>
        <w:t xml:space="preserve"> uzavírána současně s touto smlouvou o výpůjčce.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400"/>
        <w:jc w:val="both"/>
      </w:pPr>
      <w:r>
        <w:t>Tato smlouva nabývá platnosti dnem podpisu obou smluvních stran a účinnosti dnem uveřejnění v informačním systému veřejné správy - Registru smluv.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line="233" w:lineRule="auto"/>
        <w:ind w:left="580" w:hanging="400"/>
        <w:jc w:val="both"/>
      </w:pPr>
      <w:proofErr w:type="spellStart"/>
      <w:r>
        <w:t>Půjčitel</w:t>
      </w:r>
      <w:proofErr w:type="spellEnd"/>
      <w:r>
        <w:t xml:space="preserve"> výslovně souhlasí se zveřejněním celého textu </w:t>
      </w:r>
      <w:r>
        <w:t>této smlouvy v informačním systému veřejné správy - Registru smluv.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40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</w:t>
      </w:r>
      <w:r>
        <w:t xml:space="preserve">kon o registru smluv) splní vypůjčitel a splnění této povinnosti doloží </w:t>
      </w:r>
      <w:proofErr w:type="spellStart"/>
      <w:r>
        <w:t>půjčiteli</w:t>
      </w:r>
      <w:proofErr w:type="spellEnd"/>
      <w:r>
        <w:t xml:space="preserve">. Současně berou smluvní strany na vědomí, že v případě nesplnění zákonné povinnosti je smlouva do tří </w:t>
      </w:r>
      <w:r>
        <w:lastRenderedPageBreak/>
        <w:t>měsíců od jejího uzavření bez dalšího zrušena od samého počátku.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firstLine="160"/>
        <w:jc w:val="both"/>
      </w:pPr>
      <w:r>
        <w:t>Nedílno</w:t>
      </w:r>
      <w:r>
        <w:t>u součástí této smlouvy jsou příloha č. 1 a příloha č. 2.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400"/>
        <w:jc w:val="both"/>
      </w:pPr>
      <w:proofErr w:type="spellStart"/>
      <w:r>
        <w:t>Půjčitel</w:t>
      </w:r>
      <w:proofErr w:type="spellEnd"/>
      <w:r>
        <w:t xml:space="preserve"> prohlašuje, že se před uzavřením smlouvy nedopustil v souvislosti se zadávacím řízením sám nebo prostřednictvím jiné osoby žádného jednání, jež by odporovalo zákonu nebo dobrým mravům nebo </w:t>
      </w:r>
      <w:r>
        <w:t>by zákon obcházelo, zejména, že nenabízel žádné výhody osobám podílejícím se na zadání veřejné zakázky, na kterou s ním zadavatel uzavřel smlouvu, a že se zejména ve vztahu k ostatním účastníkům nedopustil žádného jednání narušujícího hospodářskou soutěž.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400"/>
        <w:jc w:val="both"/>
      </w:pPr>
      <w:r>
        <w:t>Smluvní strany prohlašují, že projev vůle byl svobodný a vážný a tato smlouva je pro ně srozumitelná ve všech ustanoveních a jejich důsledcích. Smluvní strany se zavazují tuto smlouvu bezvýhradně a přesně dodržovat a na důkaz toho stvrzují tuto smlouvu vla</w:t>
      </w:r>
      <w:r>
        <w:t>stnoručními podpisy.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400"/>
        <w:jc w:val="both"/>
      </w:pPr>
      <w:r>
        <w:t>Případné změny a doplňky této smlouvy mohou být provedeny pouze písemnými dodatky a po vzájemné dohodě a podpisu obou smluvních stran. Dodatky k této smlouvě budou číslovány a řazeny chronologicky za sebou. Veškeré dodatky a přílohy se</w:t>
      </w:r>
      <w:r>
        <w:t xml:space="preserve"> stávají nedílnou součástí této smlouvy.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ind w:left="580" w:hanging="580"/>
        <w:jc w:val="both"/>
      </w:pPr>
      <w:proofErr w:type="spellStart"/>
      <w:r>
        <w:t>Půjčitel</w:t>
      </w:r>
      <w:proofErr w:type="spellEnd"/>
      <w:r>
        <w:t xml:space="preserve"> a jeho zaměstnanci se zavazují k zajištění ochrany informací, citlivých dat a osobních údajů vypůjčitele nebo jeho pacientů, se kterými při plnění této smlouvy přijde do styku. </w:t>
      </w:r>
      <w:proofErr w:type="spellStart"/>
      <w:r>
        <w:t>Půjčitel</w:t>
      </w:r>
      <w:proofErr w:type="spellEnd"/>
      <w:r>
        <w:t xml:space="preserve"> se zavazuje k zabezp</w:t>
      </w:r>
      <w:r>
        <w:t>ečení mlčenlivosti všech jeho zaměstnanců o těchto údajích i o dalších bezpečnostních opatřeních, vedoucí k ochraně těchto údajů, aby zabránili jakémukoli zneužití dat a osobních údajů. Smluvní strany se zavazují k dodržení veškerých ujednání tohoto článku</w:t>
      </w:r>
      <w:r>
        <w:t xml:space="preserve"> smlouvy i po ukončení účinnosti tohoto smluvního vztahu. Tento závazek o mlčenlivosti podléhá požadavkům zákona č. 110/2019 Sb., o zpracování osobních údajů, zákona č. 372/2011 Sb., zákon o zdravotních službách a podmínkách jejich poskytování, ve znění po</w:t>
      </w:r>
      <w:r>
        <w:t>zdějších předpisů, zákona č. 373/2011 Sb., o specifických zdravotních službách ve znění pozdějších předpisů a vyhlášky č. 98/2012 Sb. o zdravotnické dokumentaci.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ind w:left="560" w:hanging="420"/>
        <w:jc w:val="both"/>
      </w:pPr>
      <w:r>
        <w:t>Smluvní strany se zavazují vyvinout maximální úsilí k odstranění vzájemných sporů vzniklých na</w:t>
      </w:r>
      <w:r>
        <w:t xml:space="preserve"> základě této smlouvy nebo v souvislosti s ní a k jejich vyřešení smírnou cestou, zejména prostřednictvím jednání oprávněných osob, příp. statutárních orgánů či jejích členů. Nedojde-li ke smírnému vyřešení sporů mezi smluvními stranami, smluvní strany se </w:t>
      </w:r>
      <w:r>
        <w:t>dohodly, že všechny spory, vznikající z této smlouvy a v souvislosti s ní, budou řešeny prostřednictvím věcně příslušných soudů. Smluvní strany se dále dle § 89a zákona č. 99/1963 Sb., občanský soudní řád, v platném znění, dohodly, že k řešení případných s</w:t>
      </w:r>
      <w:r>
        <w:t>porů mezi smluvními stranami plynoucích z této smlouvy je místně příslušným soudem soud, jehož místní příslušnost se řídí obecným soudem vypůjčitele.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ind w:left="560" w:hanging="420"/>
        <w:jc w:val="both"/>
      </w:pPr>
      <w:r>
        <w:t xml:space="preserve">Výpůjčka zařízení byla schválena usnesením Rady Kraje Vysočina č. 1520/27/2024/RK ze dne </w:t>
      </w:r>
      <w:proofErr w:type="gramStart"/>
      <w:r>
        <w:t>3.9.2024</w:t>
      </w:r>
      <w:proofErr w:type="gramEnd"/>
      <w:r>
        <w:t>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ind w:left="560" w:hanging="420"/>
        <w:jc w:val="both"/>
      </w:pPr>
      <w:r>
        <w:t>Tato sm</w:t>
      </w:r>
      <w:r>
        <w:t>louva je vyhotovena ve dvou stejnopisech s platností originálu, z nichž každá ze smluvních stran obdrží jedno vyhotovení.</w:t>
      </w:r>
    </w:p>
    <w:p w:rsidR="0074449C" w:rsidRDefault="00FD6F62">
      <w:pPr>
        <w:pStyle w:val="Zkladntext1"/>
        <w:numPr>
          <w:ilvl w:val="0"/>
          <w:numId w:val="2"/>
        </w:numPr>
        <w:shd w:val="clear" w:color="auto" w:fill="auto"/>
        <w:tabs>
          <w:tab w:val="left" w:pos="654"/>
        </w:tabs>
        <w:ind w:firstLine="140"/>
        <w:jc w:val="both"/>
      </w:pPr>
      <w:r>
        <w:t>Nedílnou součástí této smlouvy jsou její přílohy:</w:t>
      </w:r>
    </w:p>
    <w:p w:rsidR="0074449C" w:rsidRDefault="00FD6F62">
      <w:pPr>
        <w:pStyle w:val="Zkladntext1"/>
        <w:shd w:val="clear" w:color="auto" w:fill="auto"/>
        <w:spacing w:after="0"/>
        <w:ind w:firstLine="560"/>
        <w:jc w:val="both"/>
      </w:pPr>
      <w:r>
        <w:t>Příloha č. 1- Specifikace předmětu výpůjčky</w:t>
      </w:r>
    </w:p>
    <w:p w:rsidR="0074449C" w:rsidRDefault="00FD6F62">
      <w:pPr>
        <w:pStyle w:val="Zkladntext1"/>
        <w:shd w:val="clear" w:color="auto" w:fill="auto"/>
        <w:spacing w:after="520"/>
        <w:ind w:firstLine="560"/>
        <w:jc w:val="both"/>
      </w:pPr>
      <w:r>
        <w:lastRenderedPageBreak/>
        <w:t xml:space="preserve">Příloha č. 2 - Technický popis předmětu </w:t>
      </w:r>
      <w:r>
        <w:t xml:space="preserve">výpůjčky /vyhotoví </w:t>
      </w:r>
      <w:proofErr w:type="spellStart"/>
      <w:r>
        <w:t>půjčitel</w:t>
      </w:r>
      <w:proofErr w:type="spellEnd"/>
      <w:r>
        <w:t>/</w:t>
      </w:r>
    </w:p>
    <w:p w:rsidR="0074449C" w:rsidRDefault="00FD6F62">
      <w:pPr>
        <w:pStyle w:val="Titulektabulky0"/>
        <w:shd w:val="clear" w:color="auto" w:fill="auto"/>
        <w:tabs>
          <w:tab w:val="left" w:leader="dot" w:pos="4584"/>
        </w:tabs>
        <w:ind w:left="130"/>
      </w:pPr>
      <w:r>
        <w:t xml:space="preserve">V Novém Městě na Moravě, dne </w:t>
      </w:r>
      <w:proofErr w:type="gramStart"/>
      <w:r>
        <w:t>04.02.2025</w:t>
      </w:r>
      <w:proofErr w:type="gramEnd"/>
      <w:r>
        <w:t xml:space="preserve"> V </w:t>
      </w:r>
      <w:r>
        <w:t>Praze dne 30.01.2025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2712"/>
        <w:gridCol w:w="2414"/>
      </w:tblGrid>
      <w:tr w:rsidR="0074449C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4301" w:type="dxa"/>
            <w:shd w:val="clear" w:color="auto" w:fill="FFFFFF"/>
          </w:tcPr>
          <w:p w:rsidR="0074449C" w:rsidRDefault="00FD6F62">
            <w:pPr>
              <w:pStyle w:val="Jin0"/>
              <w:shd w:val="clear" w:color="auto" w:fill="auto"/>
              <w:spacing w:after="0"/>
              <w:ind w:firstLine="140"/>
            </w:pPr>
            <w:r>
              <w:t>Za vypůjčitele:</w:t>
            </w:r>
          </w:p>
        </w:tc>
        <w:tc>
          <w:tcPr>
            <w:tcW w:w="2712" w:type="dxa"/>
            <w:shd w:val="clear" w:color="auto" w:fill="FFFFFF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Za </w:t>
            </w:r>
            <w:proofErr w:type="spellStart"/>
            <w:r>
              <w:t>půjčitele</w:t>
            </w:r>
            <w:proofErr w:type="spellEnd"/>
            <w:r>
              <w:t>:</w:t>
            </w:r>
          </w:p>
        </w:tc>
        <w:tc>
          <w:tcPr>
            <w:tcW w:w="2414" w:type="dxa"/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4301" w:type="dxa"/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 w:line="115" w:lineRule="exact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 w:line="223" w:lineRule="auto"/>
              <w:ind w:left="1440"/>
              <w:rPr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 w:line="286" w:lineRule="auto"/>
              <w:ind w:firstLine="14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3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51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</w:tr>
    </w:tbl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FD6F62" w:rsidRDefault="00FD6F62">
      <w:pPr>
        <w:pStyle w:val="Zkladntext1"/>
        <w:shd w:val="clear" w:color="auto" w:fill="auto"/>
        <w:spacing w:after="260"/>
        <w:ind w:hanging="240"/>
        <w:rPr>
          <w:rFonts w:ascii="Arial" w:eastAsia="Arial" w:hAnsi="Arial" w:cs="Arial"/>
          <w:b/>
          <w:bCs/>
          <w:sz w:val="14"/>
          <w:szCs w:val="14"/>
        </w:rPr>
      </w:pPr>
    </w:p>
    <w:p w:rsidR="0074449C" w:rsidRDefault="00FD6F62">
      <w:pPr>
        <w:pStyle w:val="Zkladntext1"/>
        <w:shd w:val="clear" w:color="auto" w:fill="auto"/>
        <w:spacing w:after="260"/>
        <w:ind w:hanging="240"/>
      </w:pPr>
      <w:r>
        <w:lastRenderedPageBreak/>
        <w:t>Příloha č. 1</w:t>
      </w:r>
    </w:p>
    <w:p w:rsidR="0074449C" w:rsidRDefault="00FD6F62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Specifikace předmětu výpůjčky - základní údaje k předmětům výpůjčky</w:t>
      </w:r>
      <w:r>
        <w:rPr>
          <w:b/>
          <w:bCs/>
        </w:rPr>
        <w:br/>
      </w:r>
      <w:r>
        <w:t xml:space="preserve">/vyplní </w:t>
      </w:r>
      <w:proofErr w:type="spellStart"/>
      <w:r>
        <w:t>půjčitel</w:t>
      </w:r>
      <w:proofErr w:type="spellEnd"/>
      <w:r>
        <w:t>/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997"/>
        <w:gridCol w:w="2126"/>
        <w:gridCol w:w="1416"/>
        <w:gridCol w:w="2011"/>
        <w:gridCol w:w="984"/>
      </w:tblGrid>
      <w:tr w:rsidR="0074449C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lang w:val="en-US" w:eastAsia="en-US" w:bidi="en-US"/>
              </w:rPr>
              <w:t>Pol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Název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Výrobce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 xml:space="preserve">výr.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DADADA"/>
            <w:vAlign w:val="bottom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pořizovací cena v Kč bez DPH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DA"/>
            <w:vAlign w:val="center"/>
          </w:tcPr>
          <w:p w:rsidR="0074449C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ks</w:t>
            </w:r>
          </w:p>
        </w:tc>
      </w:tr>
      <w:tr w:rsidR="00FD6F62" w:rsidTr="009D1F5B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62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F62" w:rsidRDefault="00FD6F62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 xml:space="preserve">Manuální dávkovač dezinfekce, pro láhve </w:t>
            </w:r>
            <w:r>
              <w:rPr>
                <w:b/>
                <w:bCs/>
                <w:lang w:val="en-US" w:eastAsia="en-US" w:bidi="en-US"/>
              </w:rPr>
              <w:t>500ml/1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62" w:rsidRDefault="00FD6F62">
            <w:pPr>
              <w:pStyle w:val="Jin0"/>
              <w:shd w:val="clear" w:color="auto" w:fill="auto"/>
              <w:spacing w:after="0"/>
            </w:pPr>
            <w:r>
              <w:t>Hartmann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r w:rsidRPr="0081749E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r w:rsidRPr="00B553F0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62" w:rsidRDefault="00FD6F62">
            <w:r w:rsidRPr="00B553F0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</w:tr>
      <w:tr w:rsidR="00FD6F62" w:rsidTr="009D1F5B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62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pPr>
              <w:pStyle w:val="Jin0"/>
              <w:shd w:val="clear" w:color="auto" w:fill="auto"/>
              <w:spacing w:after="0"/>
              <w:ind w:firstLine="160"/>
            </w:pPr>
            <w:r>
              <w:rPr>
                <w:b/>
                <w:bCs/>
              </w:rPr>
              <w:t>Směšovač</w:t>
            </w:r>
          </w:p>
          <w:p w:rsidR="00FD6F62" w:rsidRDefault="00FD6F6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  <w:lang w:val="en-US" w:eastAsia="en-US" w:bidi="en-US"/>
              </w:rPr>
              <w:t>ECOMULTI</w:t>
            </w:r>
          </w:p>
          <w:p w:rsidR="00FD6F62" w:rsidRDefault="00FD6F6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  <w:lang w:val="en-US" w:eastAsia="en-US" w:bidi="en-US"/>
              </w:rPr>
              <w:t>EN single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62" w:rsidRDefault="00FD6F62">
            <w:pPr>
              <w:pStyle w:val="Jin0"/>
              <w:shd w:val="clear" w:color="auto" w:fill="auto"/>
              <w:spacing w:after="0"/>
              <w:ind w:firstLine="160"/>
            </w:pPr>
            <w:proofErr w:type="spellStart"/>
            <w:r>
              <w:t>Schulke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r w:rsidRPr="0081749E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r w:rsidRPr="00B553F0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62" w:rsidRDefault="00FD6F62">
            <w:r w:rsidRPr="00B553F0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</w:tr>
      <w:tr w:rsidR="00FD6F62" w:rsidTr="009D1F5B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62" w:rsidRDefault="00FD6F6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Směšovač</w:t>
            </w:r>
          </w:p>
          <w:p w:rsidR="00FD6F62" w:rsidRDefault="00FD6F6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  <w:lang w:val="en-US" w:eastAsia="en-US" w:bidi="en-US"/>
              </w:rPr>
              <w:t>ECOMULTI</w:t>
            </w:r>
          </w:p>
          <w:p w:rsidR="00FD6F62" w:rsidRDefault="00FD6F6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  <w:lang w:val="en-US" w:eastAsia="en-US" w:bidi="en-US"/>
              </w:rPr>
              <w:t>COMPACT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F62" w:rsidRDefault="00FD6F62">
            <w:pPr>
              <w:pStyle w:val="Jin0"/>
              <w:shd w:val="clear" w:color="auto" w:fill="auto"/>
              <w:spacing w:after="0"/>
              <w:ind w:firstLine="160"/>
            </w:pPr>
            <w:proofErr w:type="spellStart"/>
            <w:r>
              <w:t>Schulke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r w:rsidRPr="0081749E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62" w:rsidRDefault="00FD6F62">
            <w:r w:rsidRPr="00B553F0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62" w:rsidRDefault="00FD6F62">
            <w:r w:rsidRPr="00B553F0">
              <w:rPr>
                <w:rFonts w:ascii="Arial" w:eastAsia="Arial" w:hAnsi="Arial" w:cs="Arial"/>
                <w:b/>
                <w:bCs/>
                <w:sz w:val="14"/>
                <w:szCs w:val="14"/>
                <w:highlight w:val="yellow"/>
              </w:rPr>
              <w:t>XXXX</w:t>
            </w: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</w:tr>
      <w:tr w:rsidR="0074449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49C" w:rsidRDefault="0074449C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49C" w:rsidRDefault="0074449C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49C" w:rsidRDefault="0074449C"/>
        </w:tc>
      </w:tr>
    </w:tbl>
    <w:p w:rsidR="0074449C" w:rsidRDefault="0074449C">
      <w:pPr>
        <w:sectPr w:rsidR="0074449C">
          <w:footerReference w:type="default" r:id="rId9"/>
          <w:footerReference w:type="first" r:id="rId10"/>
          <w:pgSz w:w="12142" w:h="16838"/>
          <w:pgMar w:top="1313" w:right="1099" w:bottom="1275" w:left="1447" w:header="0" w:footer="3" w:gutter="0"/>
          <w:pgNumType w:start="1"/>
          <w:cols w:space="720"/>
          <w:noEndnote/>
          <w:titlePg/>
          <w:docGrid w:linePitch="360"/>
        </w:sectPr>
      </w:pPr>
    </w:p>
    <w:p w:rsidR="0074449C" w:rsidRDefault="00FD6F6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74295</wp:posOffset>
            </wp:positionH>
            <wp:positionV relativeFrom="margin">
              <wp:posOffset>0</wp:posOffset>
            </wp:positionV>
            <wp:extent cx="7559040" cy="50050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55904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after="681" w:line="1" w:lineRule="exact"/>
      </w:pPr>
    </w:p>
    <w:p w:rsidR="0074449C" w:rsidRDefault="0074449C">
      <w:pPr>
        <w:spacing w:line="1" w:lineRule="exact"/>
        <w:sectPr w:rsidR="0074449C">
          <w:footerReference w:type="default" r:id="rId12"/>
          <w:pgSz w:w="12142" w:h="16838"/>
          <w:pgMar w:top="24" w:right="122" w:bottom="1043" w:left="117" w:header="0" w:footer="3" w:gutter="0"/>
          <w:cols w:space="720"/>
          <w:noEndnote/>
          <w:docGrid w:linePitch="360"/>
        </w:sectPr>
      </w:pPr>
    </w:p>
    <w:p w:rsidR="0074449C" w:rsidRDefault="00FD6F62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525145</wp:posOffset>
            </wp:positionH>
            <wp:positionV relativeFrom="paragraph">
              <wp:posOffset>1283335</wp:posOffset>
            </wp:positionV>
            <wp:extent cx="3096895" cy="329819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9689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49C" w:rsidRDefault="00FD6F62">
      <w:pPr>
        <w:pStyle w:val="Jin0"/>
        <w:shd w:val="clear" w:color="auto" w:fill="auto"/>
        <w:spacing w:after="0" w:line="216" w:lineRule="auto"/>
        <w:ind w:hanging="4820"/>
        <w:rPr>
          <w:sz w:val="44"/>
          <w:szCs w:val="44"/>
        </w:rPr>
      </w:pPr>
      <w:r>
        <w:rPr>
          <w:rFonts w:ascii="Calibri" w:eastAsia="Calibri" w:hAnsi="Calibri" w:cs="Calibri"/>
          <w:color w:val="001685"/>
          <w:sz w:val="44"/>
          <w:szCs w:val="44"/>
        </w:rPr>
        <w:t>Manuální dávkovač</w:t>
      </w:r>
    </w:p>
    <w:p w:rsidR="0074449C" w:rsidRDefault="00FD6F62">
      <w:pPr>
        <w:pStyle w:val="Jin0"/>
        <w:shd w:val="clear" w:color="auto" w:fill="auto"/>
        <w:spacing w:after="480"/>
        <w:ind w:left="-4820"/>
        <w:rPr>
          <w:sz w:val="40"/>
          <w:szCs w:val="40"/>
        </w:rPr>
      </w:pPr>
      <w:r>
        <w:rPr>
          <w:rFonts w:ascii="Calibri" w:eastAsia="Calibri" w:hAnsi="Calibri" w:cs="Calibri"/>
          <w:color w:val="0045FF"/>
          <w:sz w:val="40"/>
          <w:szCs w:val="40"/>
        </w:rPr>
        <w:t>Robustní dávkovač pro aplikaci dezinfekčních a mycích přípravků na ruce v 500ml a 1l lahvích</w:t>
      </w:r>
    </w:p>
    <w:p w:rsidR="0074449C" w:rsidRDefault="00FD6F62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spacing w:after="200" w:line="216" w:lineRule="auto"/>
        <w:ind w:firstLine="1000"/>
        <w:rPr>
          <w:sz w:val="24"/>
          <w:szCs w:val="24"/>
        </w:rPr>
      </w:pPr>
      <w:r>
        <w:rPr>
          <w:b/>
          <w:bCs/>
          <w:color w:val="001685"/>
          <w:sz w:val="24"/>
          <w:szCs w:val="24"/>
        </w:rPr>
        <w:t>Hlavní výhody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Hygienické dávkování dezinfekčních a mycích přípravků na ruce.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 xml:space="preserve">Kompatibilní se všemi komerčně </w:t>
      </w:r>
      <w:r>
        <w:t xml:space="preserve">dostupnými </w:t>
      </w:r>
      <w:proofErr w:type="spellStart"/>
      <w:r>
        <w:t>Eurolahvemi</w:t>
      </w:r>
      <w:proofErr w:type="spellEnd"/>
      <w:r>
        <w:t>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 xml:space="preserve">Pohyblivá základová destička umožňuje použití 500 ml a 1 l </w:t>
      </w:r>
      <w:proofErr w:type="spellStart"/>
      <w:r>
        <w:t>Eurolahví</w:t>
      </w:r>
      <w:proofErr w:type="spellEnd"/>
      <w:r>
        <w:t>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Multifunkční použití jako nástěnný i jako samostatně stojící dávkovač.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Množství dávky nastavitelné na 0,8 ml, 1,2 ml a 1,8 ml na jeden stisk.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Snadná výměn</w:t>
      </w:r>
      <w:r>
        <w:t>a láhve a pumpičky.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Vyrobeno z robustního materiálu ABS.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Snadno připevnitelná odkapávací miska.</w:t>
      </w:r>
    </w:p>
    <w:p w:rsidR="0074449C" w:rsidRDefault="00FD6F62">
      <w:pPr>
        <w:pStyle w:val="Zkladntext20"/>
        <w:shd w:val="clear" w:color="auto" w:fill="auto"/>
        <w:ind w:left="1180" w:hanging="360"/>
      </w:pPr>
      <w:r>
        <w:rPr>
          <w:color w:val="0045FF"/>
        </w:rPr>
        <w:t xml:space="preserve">• </w:t>
      </w:r>
      <w:r>
        <w:t>Snadná instalace i v omezeném prostoru.</w:t>
      </w:r>
    </w:p>
    <w:p w:rsidR="0074449C" w:rsidRDefault="00FD6F62">
      <w:pPr>
        <w:pStyle w:val="Zkladntext20"/>
        <w:shd w:val="clear" w:color="auto" w:fill="auto"/>
        <w:ind w:left="1180" w:hanging="360"/>
        <w:sectPr w:rsidR="0074449C">
          <w:type w:val="continuous"/>
          <w:pgSz w:w="12142" w:h="16838"/>
          <w:pgMar w:top="24" w:right="808" w:bottom="24" w:left="5699" w:header="0" w:footer="3" w:gutter="0"/>
          <w:cols w:space="720"/>
          <w:noEndnote/>
          <w:docGrid w:linePitch="360"/>
        </w:sectPr>
      </w:pPr>
      <w:r>
        <w:rPr>
          <w:color w:val="0045FF"/>
        </w:rPr>
        <w:t xml:space="preserve">• </w:t>
      </w:r>
      <w:r>
        <w:t xml:space="preserve">Tělo dávkovače se snadno udržuje pomocí šetrného čisticího prostředku nebo alkoholového </w:t>
      </w:r>
      <w:r>
        <w:t xml:space="preserve">dezinfekčního přípravku na povrchy (např. </w:t>
      </w:r>
      <w:proofErr w:type="spellStart"/>
      <w:r>
        <w:t>Bacillol</w:t>
      </w:r>
      <w:proofErr w:type="spellEnd"/>
      <w:r>
        <w:t xml:space="preserve">® AF </w:t>
      </w:r>
      <w:proofErr w:type="spellStart"/>
      <w:r>
        <w:t>Tissues</w:t>
      </w:r>
      <w:proofErr w:type="spellEnd"/>
      <w:r>
        <w:t>).</w:t>
      </w:r>
    </w:p>
    <w:p w:rsidR="0074449C" w:rsidRDefault="00FD6F62">
      <w:pPr>
        <w:pStyle w:val="Jin0"/>
        <w:framePr w:w="3562" w:h="586" w:wrap="none" w:hAnchor="page" w:x="996" w:y="1"/>
        <w:shd w:val="clear" w:color="auto" w:fill="auto"/>
        <w:spacing w:after="0"/>
        <w:rPr>
          <w:sz w:val="44"/>
          <w:szCs w:val="44"/>
        </w:rPr>
      </w:pPr>
      <w:r>
        <w:rPr>
          <w:rFonts w:ascii="Calibri" w:eastAsia="Calibri" w:hAnsi="Calibri" w:cs="Calibri"/>
          <w:color w:val="001685"/>
          <w:sz w:val="44"/>
          <w:szCs w:val="44"/>
        </w:rPr>
        <w:lastRenderedPageBreak/>
        <w:t>Manuální dávkovač</w:t>
      </w:r>
    </w:p>
    <w:p w:rsidR="0074449C" w:rsidRDefault="00FD6F62">
      <w:pPr>
        <w:pStyle w:val="Zkladntext20"/>
        <w:framePr w:w="4781" w:h="4570" w:wrap="none" w:hAnchor="page" w:x="1169" w:y="1374"/>
        <w:shd w:val="clear" w:color="auto" w:fill="auto"/>
        <w:spacing w:after="200" w:line="233" w:lineRule="auto"/>
        <w:ind w:firstLine="140"/>
        <w:rPr>
          <w:sz w:val="24"/>
          <w:szCs w:val="24"/>
        </w:rPr>
      </w:pPr>
      <w:r>
        <w:rPr>
          <w:b/>
          <w:bCs/>
          <w:color w:val="001685"/>
          <w:sz w:val="24"/>
          <w:szCs w:val="24"/>
        </w:rPr>
        <w:t>Obsah balení</w:t>
      </w:r>
    </w:p>
    <w:p w:rsidR="0074449C" w:rsidRDefault="00FD6F62">
      <w:pPr>
        <w:pStyle w:val="Zkladntext20"/>
        <w:framePr w:w="4781" w:h="4570" w:wrap="none" w:hAnchor="page" w:x="1169" w:y="1374"/>
        <w:numPr>
          <w:ilvl w:val="0"/>
          <w:numId w:val="16"/>
        </w:numPr>
        <w:shd w:val="clear" w:color="auto" w:fill="auto"/>
        <w:tabs>
          <w:tab w:val="left" w:pos="360"/>
        </w:tabs>
        <w:spacing w:line="254" w:lineRule="auto"/>
      </w:pPr>
      <w:r>
        <w:t xml:space="preserve">Manuální dávkovač pro 500 ml a 1 l </w:t>
      </w:r>
      <w:proofErr w:type="spellStart"/>
      <w:r>
        <w:t>Eurolahve</w:t>
      </w:r>
      <w:proofErr w:type="spellEnd"/>
    </w:p>
    <w:p w:rsidR="0074449C" w:rsidRDefault="00FD6F62">
      <w:pPr>
        <w:pStyle w:val="Zkladntext20"/>
        <w:framePr w:w="4781" w:h="4570" w:wrap="none" w:hAnchor="page" w:x="1169" w:y="1374"/>
        <w:numPr>
          <w:ilvl w:val="0"/>
          <w:numId w:val="16"/>
        </w:numPr>
        <w:shd w:val="clear" w:color="auto" w:fill="auto"/>
        <w:tabs>
          <w:tab w:val="left" w:pos="360"/>
        </w:tabs>
        <w:spacing w:line="254" w:lineRule="auto"/>
        <w:ind w:left="380" w:hanging="380"/>
      </w:pPr>
      <w:r>
        <w:t>Upevňovací deska na zeď, loketní páka a odkapávací miska</w:t>
      </w:r>
    </w:p>
    <w:p w:rsidR="0074449C" w:rsidRDefault="00FD6F62">
      <w:pPr>
        <w:pStyle w:val="Zkladntext20"/>
        <w:framePr w:w="4781" w:h="4570" w:wrap="none" w:hAnchor="page" w:x="1169" w:y="1374"/>
        <w:numPr>
          <w:ilvl w:val="0"/>
          <w:numId w:val="16"/>
        </w:numPr>
        <w:shd w:val="clear" w:color="auto" w:fill="auto"/>
        <w:tabs>
          <w:tab w:val="left" w:pos="360"/>
        </w:tabs>
        <w:spacing w:line="254" w:lineRule="auto"/>
      </w:pPr>
      <w:r>
        <w:t xml:space="preserve">Jednorázová pumpička na 500 ml a 1 l </w:t>
      </w:r>
      <w:proofErr w:type="spellStart"/>
      <w:r>
        <w:t>Eurolahve</w:t>
      </w:r>
      <w:proofErr w:type="spellEnd"/>
    </w:p>
    <w:p w:rsidR="0074449C" w:rsidRDefault="00FD6F62">
      <w:pPr>
        <w:pStyle w:val="Zkladntext20"/>
        <w:framePr w:w="4781" w:h="4570" w:wrap="none" w:hAnchor="page" w:x="1169" w:y="1374"/>
        <w:numPr>
          <w:ilvl w:val="0"/>
          <w:numId w:val="16"/>
        </w:numPr>
        <w:shd w:val="clear" w:color="auto" w:fill="auto"/>
        <w:tabs>
          <w:tab w:val="left" w:pos="360"/>
        </w:tabs>
        <w:spacing w:line="254" w:lineRule="auto"/>
      </w:pPr>
      <w:r>
        <w:t xml:space="preserve">Návod k </w:t>
      </w:r>
      <w:r>
        <w:t>obsluze a k montáži</w:t>
      </w:r>
    </w:p>
    <w:p w:rsidR="0074449C" w:rsidRDefault="00FD6F62">
      <w:pPr>
        <w:pStyle w:val="Zkladntext20"/>
        <w:framePr w:w="4781" w:h="4570" w:wrap="none" w:hAnchor="page" w:x="1169" w:y="1374"/>
        <w:numPr>
          <w:ilvl w:val="0"/>
          <w:numId w:val="16"/>
        </w:numPr>
        <w:shd w:val="clear" w:color="auto" w:fill="auto"/>
        <w:tabs>
          <w:tab w:val="left" w:pos="360"/>
        </w:tabs>
        <w:spacing w:after="300" w:line="254" w:lineRule="auto"/>
      </w:pPr>
      <w:r>
        <w:t>Montážní materiál</w:t>
      </w:r>
    </w:p>
    <w:p w:rsidR="0074449C" w:rsidRDefault="00FD6F62">
      <w:pPr>
        <w:pStyle w:val="Zkladntext20"/>
        <w:framePr w:w="4781" w:h="4570" w:wrap="none" w:hAnchor="page" w:x="1169" w:y="1374"/>
        <w:pBdr>
          <w:top w:val="single" w:sz="4" w:space="0" w:color="auto"/>
          <w:bottom w:val="single" w:sz="4" w:space="0" w:color="auto"/>
        </w:pBdr>
        <w:shd w:val="clear" w:color="auto" w:fill="auto"/>
        <w:spacing w:after="200" w:line="233" w:lineRule="auto"/>
        <w:ind w:firstLine="140"/>
        <w:rPr>
          <w:sz w:val="24"/>
          <w:szCs w:val="24"/>
        </w:rPr>
      </w:pPr>
      <w:r>
        <w:rPr>
          <w:b/>
          <w:bCs/>
          <w:color w:val="001685"/>
          <w:sz w:val="24"/>
          <w:szCs w:val="24"/>
        </w:rPr>
        <w:t>Technická data</w:t>
      </w:r>
    </w:p>
    <w:p w:rsidR="0074449C" w:rsidRDefault="00FD6F62">
      <w:pPr>
        <w:pStyle w:val="Obsah0"/>
        <w:framePr w:w="4781" w:h="4570" w:wrap="none" w:hAnchor="page" w:x="1169" w:y="1374"/>
        <w:shd w:val="clear" w:color="auto" w:fill="auto"/>
        <w:tabs>
          <w:tab w:val="right" w:pos="2290"/>
          <w:tab w:val="right" w:pos="2291"/>
        </w:tabs>
      </w:pPr>
      <w:r>
        <w:t>Výška:</w:t>
      </w:r>
      <w:r>
        <w:tab/>
        <w:t>350</w:t>
      </w:r>
      <w:r>
        <w:tab/>
        <w:t>mm</w:t>
      </w:r>
    </w:p>
    <w:p w:rsidR="0074449C" w:rsidRDefault="00FD6F62">
      <w:pPr>
        <w:pStyle w:val="Obsah0"/>
        <w:framePr w:w="4781" w:h="4570" w:wrap="none" w:hAnchor="page" w:x="1169" w:y="1374"/>
        <w:shd w:val="clear" w:color="auto" w:fill="auto"/>
        <w:tabs>
          <w:tab w:val="right" w:pos="2290"/>
          <w:tab w:val="right" w:pos="2291"/>
        </w:tabs>
      </w:pPr>
      <w:r>
        <w:t>Hloubka:</w:t>
      </w:r>
      <w:r>
        <w:tab/>
        <w:t>100</w:t>
      </w:r>
      <w:r>
        <w:tab/>
        <w:t>mm</w:t>
      </w:r>
    </w:p>
    <w:p w:rsidR="0074449C" w:rsidRDefault="00FD6F62">
      <w:pPr>
        <w:pStyle w:val="Obsah0"/>
        <w:framePr w:w="4781" w:h="4570" w:wrap="none" w:hAnchor="page" w:x="1169" w:y="1374"/>
        <w:shd w:val="clear" w:color="auto" w:fill="auto"/>
        <w:ind w:left="1540" w:firstLine="0"/>
      </w:pPr>
      <w:r>
        <w:t>150 mm s odkapávací miskou</w:t>
      </w:r>
    </w:p>
    <w:p w:rsidR="0074449C" w:rsidRDefault="00FD6F62">
      <w:pPr>
        <w:pStyle w:val="Obsah0"/>
        <w:framePr w:w="4781" w:h="4570" w:wrap="none" w:hAnchor="page" w:x="1169" w:y="1374"/>
        <w:shd w:val="clear" w:color="auto" w:fill="auto"/>
        <w:tabs>
          <w:tab w:val="right" w:pos="2290"/>
          <w:tab w:val="right" w:pos="2291"/>
        </w:tabs>
      </w:pPr>
      <w:r>
        <w:t>Šířka:</w:t>
      </w:r>
      <w:r>
        <w:tab/>
        <w:t>180</w:t>
      </w:r>
      <w:r>
        <w:tab/>
        <w:t>mm</w:t>
      </w:r>
    </w:p>
    <w:p w:rsidR="0074449C" w:rsidRDefault="00FD6F62">
      <w:pPr>
        <w:pStyle w:val="Zkladntext20"/>
        <w:framePr w:w="4781" w:h="4570" w:wrap="none" w:hAnchor="page" w:x="1169" w:y="1374"/>
        <w:shd w:val="clear" w:color="auto" w:fill="auto"/>
        <w:spacing w:line="254" w:lineRule="auto"/>
        <w:ind w:left="1540"/>
      </w:pPr>
      <w:r>
        <w:t>220 mm s odkapávací miskou</w:t>
      </w:r>
    </w:p>
    <w:p w:rsidR="0074449C" w:rsidRDefault="00FD6F62">
      <w:pPr>
        <w:pStyle w:val="Titulekobrzku0"/>
        <w:framePr w:w="6202" w:h="259" w:wrap="none" w:hAnchor="page" w:x="4807" w:y="8257"/>
        <w:shd w:val="clear" w:color="auto" w:fill="auto"/>
        <w:tabs>
          <w:tab w:val="left" w:pos="3816"/>
          <w:tab w:val="left" w:pos="5866"/>
        </w:tabs>
      </w:pPr>
      <w:r>
        <w:t>Manuální dávkovač 500 ml / 1 l</w:t>
      </w:r>
      <w:r>
        <w:tab/>
        <w:t>981 795</w:t>
      </w:r>
      <w:r>
        <w:tab/>
        <w:t>1 ks</w:t>
      </w:r>
    </w:p>
    <w:p w:rsidR="0074449C" w:rsidRDefault="00FD6F62">
      <w:pPr>
        <w:pStyle w:val="Jin0"/>
        <w:framePr w:w="4478" w:h="259" w:wrap="none" w:hAnchor="page" w:x="4793" w:y="8809"/>
        <w:shd w:val="clear" w:color="auto" w:fill="auto"/>
        <w:tabs>
          <w:tab w:val="left" w:pos="3797"/>
        </w:tabs>
        <w:spacing w:after="0"/>
        <w:rPr>
          <w:sz w:val="18"/>
          <w:szCs w:val="18"/>
        </w:rPr>
      </w:pPr>
      <w:r>
        <w:rPr>
          <w:rFonts w:ascii="Calibri" w:eastAsia="Calibri" w:hAnsi="Calibri" w:cs="Calibri"/>
          <w:color w:val="767171"/>
          <w:sz w:val="18"/>
          <w:szCs w:val="18"/>
        </w:rPr>
        <w:t>Jednorázová pumpička pro dávkovač, 500 ml</w:t>
      </w:r>
      <w:r>
        <w:rPr>
          <w:rFonts w:ascii="Calibri" w:eastAsia="Calibri" w:hAnsi="Calibri" w:cs="Calibri"/>
          <w:color w:val="767171"/>
          <w:sz w:val="18"/>
          <w:szCs w:val="18"/>
        </w:rPr>
        <w:tab/>
        <w:t>981 796</w:t>
      </w:r>
    </w:p>
    <w:p w:rsidR="0074449C" w:rsidRDefault="00FD6F62">
      <w:pPr>
        <w:pStyle w:val="Jin0"/>
        <w:framePr w:w="4478" w:h="259" w:wrap="none" w:hAnchor="page" w:x="4793" w:y="9332"/>
        <w:shd w:val="clear" w:color="auto" w:fill="auto"/>
        <w:tabs>
          <w:tab w:val="left" w:pos="3782"/>
        </w:tabs>
        <w:spacing w:after="0"/>
        <w:rPr>
          <w:sz w:val="18"/>
          <w:szCs w:val="18"/>
        </w:rPr>
      </w:pPr>
      <w:r>
        <w:rPr>
          <w:rFonts w:ascii="Calibri" w:eastAsia="Calibri" w:hAnsi="Calibri" w:cs="Calibri"/>
          <w:color w:val="767171"/>
          <w:sz w:val="18"/>
          <w:szCs w:val="18"/>
        </w:rPr>
        <w:t>Jednorázová</w:t>
      </w:r>
      <w:r>
        <w:rPr>
          <w:rFonts w:ascii="Calibri" w:eastAsia="Calibri" w:hAnsi="Calibri" w:cs="Calibri"/>
          <w:color w:val="767171"/>
          <w:sz w:val="18"/>
          <w:szCs w:val="18"/>
        </w:rPr>
        <w:t xml:space="preserve"> pumpička pro dávkovač, 1 l</w:t>
      </w:r>
      <w:r>
        <w:rPr>
          <w:rFonts w:ascii="Calibri" w:eastAsia="Calibri" w:hAnsi="Calibri" w:cs="Calibri"/>
          <w:color w:val="767171"/>
          <w:sz w:val="18"/>
          <w:szCs w:val="18"/>
        </w:rPr>
        <w:tab/>
        <w:t>981 797</w:t>
      </w:r>
    </w:p>
    <w:p w:rsidR="0074449C" w:rsidRDefault="00FD6F62">
      <w:pPr>
        <w:pStyle w:val="Jin0"/>
        <w:framePr w:w="413" w:h="259" w:wrap="none" w:hAnchor="page" w:x="10682" w:y="8809"/>
        <w:shd w:val="clear" w:color="auto" w:fill="auto"/>
        <w:spacing w:after="0"/>
        <w:rPr>
          <w:sz w:val="18"/>
          <w:szCs w:val="18"/>
        </w:rPr>
      </w:pPr>
      <w:r>
        <w:rPr>
          <w:rFonts w:ascii="Calibri" w:eastAsia="Calibri" w:hAnsi="Calibri" w:cs="Calibri"/>
          <w:color w:val="767171"/>
          <w:sz w:val="18"/>
          <w:szCs w:val="18"/>
        </w:rPr>
        <w:t>10 ks</w:t>
      </w:r>
    </w:p>
    <w:p w:rsidR="0074449C" w:rsidRDefault="00FD6F62">
      <w:pPr>
        <w:pStyle w:val="Jin0"/>
        <w:framePr w:w="413" w:h="259" w:wrap="none" w:hAnchor="page" w:x="10682" w:y="9332"/>
        <w:shd w:val="clear" w:color="auto" w:fill="auto"/>
        <w:spacing w:after="0"/>
        <w:rPr>
          <w:sz w:val="18"/>
          <w:szCs w:val="18"/>
        </w:rPr>
      </w:pPr>
      <w:r>
        <w:rPr>
          <w:rFonts w:ascii="Calibri" w:eastAsia="Calibri" w:hAnsi="Calibri" w:cs="Calibri"/>
          <w:color w:val="767171"/>
          <w:sz w:val="18"/>
          <w:szCs w:val="18"/>
        </w:rPr>
        <w:t>10 ks</w:t>
      </w:r>
    </w:p>
    <w:p w:rsidR="0074449C" w:rsidRDefault="00FD6F62">
      <w:pPr>
        <w:pStyle w:val="Jin0"/>
        <w:framePr w:w="6403" w:h="955" w:wrap="none" w:hAnchor="page" w:x="4788" w:y="10124"/>
        <w:shd w:val="clear" w:color="auto" w:fill="auto"/>
        <w:spacing w:after="140" w:line="259" w:lineRule="auto"/>
        <w:rPr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Vhodnost použití si ověřte u příslušného výrobce dezinfekčního přípravku na ruce.</w:t>
      </w:r>
    </w:p>
    <w:p w:rsidR="0074449C" w:rsidRDefault="00FD6F62">
      <w:pPr>
        <w:pStyle w:val="Jin0"/>
        <w:framePr w:w="6403" w:h="955" w:wrap="none" w:hAnchor="page" w:x="4788" w:y="10124"/>
        <w:shd w:val="clear" w:color="auto" w:fill="auto"/>
        <w:spacing w:after="0" w:line="259" w:lineRule="auto"/>
        <w:rPr>
          <w:sz w:val="19"/>
          <w:szCs w:val="19"/>
        </w:rPr>
      </w:pPr>
      <w:r>
        <w:rPr>
          <w:rFonts w:ascii="Calibri" w:eastAsia="Calibri" w:hAnsi="Calibri" w:cs="Calibri"/>
          <w:i/>
          <w:iCs/>
          <w:sz w:val="19"/>
          <w:szCs w:val="19"/>
        </w:rPr>
        <w:t>Používejte dezinfekční přípravky bezpečně. Před použitím si vždy přečtěte etiketu a informace o produktu.</w:t>
      </w:r>
    </w:p>
    <w:p w:rsidR="0074449C" w:rsidRDefault="00FD6F62">
      <w:pPr>
        <w:pStyle w:val="Zkladntext20"/>
        <w:framePr w:w="2342" w:h="1382" w:wrap="none" w:hAnchor="page" w:x="1169" w:y="12711"/>
        <w:shd w:val="clear" w:color="auto" w:fill="auto"/>
      </w:pPr>
      <w:r>
        <w:rPr>
          <w:color w:val="001685"/>
        </w:rPr>
        <w:t>HARTMANN-RICO a.s.</w:t>
      </w:r>
    </w:p>
    <w:p w:rsidR="0074449C" w:rsidRDefault="00FD6F62">
      <w:pPr>
        <w:pStyle w:val="Zkladntext20"/>
        <w:framePr w:w="2342" w:h="1382" w:wrap="none" w:hAnchor="page" w:x="1169" w:y="12711"/>
        <w:shd w:val="clear" w:color="auto" w:fill="auto"/>
      </w:pPr>
      <w:r>
        <w:rPr>
          <w:color w:val="001685"/>
        </w:rPr>
        <w:t>Masarykovo nám. 77 664 71 Veverská Bítýška Tel.: 800 150 100</w:t>
      </w:r>
    </w:p>
    <w:p w:rsidR="0074449C" w:rsidRDefault="00FD6F62">
      <w:pPr>
        <w:pStyle w:val="Zkladntext20"/>
        <w:framePr w:w="2342" w:h="1382" w:wrap="none" w:hAnchor="page" w:x="1169" w:y="12711"/>
        <w:shd w:val="clear" w:color="auto" w:fill="auto"/>
      </w:pPr>
      <w:r>
        <w:rPr>
          <w:color w:val="001685"/>
        </w:rPr>
        <w:t xml:space="preserve">Email: </w:t>
      </w:r>
      <w:hyperlink r:id="rId14" w:history="1">
        <w:r>
          <w:rPr>
            <w:color w:val="001685"/>
          </w:rPr>
          <w:t>info@hartmann.cz</w:t>
        </w:r>
      </w:hyperlink>
    </w:p>
    <w:p w:rsidR="0074449C" w:rsidRDefault="00FD6F62">
      <w:pPr>
        <w:pStyle w:val="Zkladntext20"/>
        <w:framePr w:w="1723" w:h="307" w:wrap="none" w:hAnchor="page" w:x="1169" w:y="14324"/>
        <w:shd w:val="clear" w:color="auto" w:fill="auto"/>
      </w:pPr>
      <w:hyperlink r:id="rId15" w:history="1">
        <w:r>
          <w:rPr>
            <w:color w:val="001685"/>
          </w:rPr>
          <w:t>www.hartmann.cz</w:t>
        </w:r>
      </w:hyperlink>
    </w:p>
    <w:p w:rsidR="0074449C" w:rsidRDefault="00FD6F62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3999865</wp:posOffset>
            </wp:positionH>
            <wp:positionV relativeFrom="margin">
              <wp:posOffset>829310</wp:posOffset>
            </wp:positionV>
            <wp:extent cx="3151505" cy="27978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15150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567690</wp:posOffset>
            </wp:positionH>
            <wp:positionV relativeFrom="margin">
              <wp:posOffset>4685030</wp:posOffset>
            </wp:positionV>
            <wp:extent cx="2243455" cy="26885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43455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252730" distL="3175" distR="0" simplePos="0" relativeHeight="62914695" behindDoc="1" locked="0" layoutInCell="1" allowOverlap="1">
            <wp:simplePos x="0" y="0"/>
            <wp:positionH relativeFrom="page">
              <wp:posOffset>3054985</wp:posOffset>
            </wp:positionH>
            <wp:positionV relativeFrom="margin">
              <wp:posOffset>4849495</wp:posOffset>
            </wp:positionV>
            <wp:extent cx="4151630" cy="3048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1516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2759075</wp:posOffset>
            </wp:positionH>
            <wp:positionV relativeFrom="margin">
              <wp:posOffset>7818120</wp:posOffset>
            </wp:positionV>
            <wp:extent cx="4870450" cy="19386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48704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line="360" w:lineRule="exact"/>
      </w:pPr>
    </w:p>
    <w:p w:rsidR="0074449C" w:rsidRDefault="0074449C">
      <w:pPr>
        <w:spacing w:after="599" w:line="1" w:lineRule="exact"/>
      </w:pPr>
    </w:p>
    <w:p w:rsidR="0074449C" w:rsidRDefault="0074449C">
      <w:pPr>
        <w:spacing w:line="1" w:lineRule="exact"/>
        <w:sectPr w:rsidR="0074449C">
          <w:pgSz w:w="12142" w:h="16838"/>
          <w:pgMar w:top="1278" w:right="126" w:bottom="0" w:left="894" w:header="0" w:footer="3" w:gutter="0"/>
          <w:cols w:space="720"/>
          <w:noEndnote/>
          <w:docGrid w:linePitch="360"/>
        </w:sectPr>
      </w:pPr>
    </w:p>
    <w:p w:rsidR="0074449C" w:rsidRDefault="00FD6F62">
      <w:pPr>
        <w:pStyle w:val="Jin0"/>
        <w:shd w:val="clear" w:color="auto" w:fill="auto"/>
        <w:spacing w:after="800"/>
        <w:ind w:left="5040"/>
        <w:rPr>
          <w:sz w:val="66"/>
          <w:szCs w:val="66"/>
        </w:rPr>
      </w:pPr>
      <w:proofErr w:type="spellStart"/>
      <w:r>
        <w:rPr>
          <w:rFonts w:ascii="Arial" w:eastAsia="Arial" w:hAnsi="Arial" w:cs="Arial"/>
          <w:color w:val="0284CB"/>
          <w:sz w:val="66"/>
          <w:szCs w:val="66"/>
        </w:rPr>
        <w:lastRenderedPageBreak/>
        <w:t>schúlke</w:t>
      </w:r>
      <w:proofErr w:type="spellEnd"/>
      <w:r>
        <w:rPr>
          <w:rFonts w:ascii="Arial" w:eastAsia="Arial" w:hAnsi="Arial" w:cs="Arial"/>
          <w:color w:val="0284CB"/>
          <w:sz w:val="66"/>
          <w:szCs w:val="66"/>
        </w:rPr>
        <w:t xml:space="preserve"> -&gt;</w:t>
      </w:r>
    </w:p>
    <w:p w:rsidR="0074449C" w:rsidRDefault="00FD6F62">
      <w:pPr>
        <w:pStyle w:val="Jin0"/>
        <w:shd w:val="clear" w:color="auto" w:fill="auto"/>
        <w:spacing w:after="180"/>
        <w:rPr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Ecomix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Compact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2</w:t>
      </w:r>
    </w:p>
    <w:p w:rsidR="0074449C" w:rsidRDefault="00FD6F62">
      <w:pPr>
        <w:pStyle w:val="Zkladntext20"/>
        <w:shd w:val="clear" w:color="auto" w:fill="auto"/>
        <w:spacing w:line="254" w:lineRule="auto"/>
      </w:pPr>
      <w:r>
        <w:t>ECOMIX COMPACT 2 zajišťuje ředění dvou chemikálií z jednoho dávkovače. Je připojen na vodu a produkt, stiskem tlačítka začne do láhve, dřezu nebo kbelíku vytékat hotový pracovní roztok ve Vámi požadované koncentraci. Poměr ředění vody s c</w:t>
      </w:r>
      <w:r>
        <w:t>hemií se nastavuje natočením prstence ředění a to přehledně a bez použití nářadí.</w:t>
      </w:r>
    </w:p>
    <w:p w:rsidR="0074449C" w:rsidRDefault="00FD6F62">
      <w:pPr>
        <w:spacing w:line="1" w:lineRule="exact"/>
        <w:sectPr w:rsidR="0074449C">
          <w:pgSz w:w="12142" w:h="16838"/>
          <w:pgMar w:top="677" w:right="1639" w:bottom="208" w:left="177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5400" distB="0" distL="0" distR="0" simplePos="0" relativeHeight="125829379" behindDoc="0" locked="0" layoutInCell="1" allowOverlap="1">
            <wp:simplePos x="0" y="0"/>
            <wp:positionH relativeFrom="page">
              <wp:posOffset>1153160</wp:posOffset>
            </wp:positionH>
            <wp:positionV relativeFrom="paragraph">
              <wp:posOffset>25400</wp:posOffset>
            </wp:positionV>
            <wp:extent cx="2523490" cy="250571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52349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48615" distB="1987550" distL="0" distR="0" simplePos="0" relativeHeight="125829380" behindDoc="0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348615</wp:posOffset>
                </wp:positionV>
                <wp:extent cx="2002790" cy="1949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49C" w:rsidRDefault="00FD6F6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85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Tlak vody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2 - 5 BAR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50.5pt;margin-top:27.449999999999999pt;width:157.69999999999999pt;height:15.35pt;z-index:-125829373;mso-wrap-distance-left:0;mso-wrap-distance-top:27.449999999999999pt;mso-wrap-distance-right:0;mso-wrap-distance-bottom:156.5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8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Tlak vody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2 - 5 BAR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5335" distB="1560830" distL="0" distR="0" simplePos="0" relativeHeight="125829382" behindDoc="0" locked="0" layoutInCell="1" allowOverlap="1">
                <wp:simplePos x="0" y="0"/>
                <wp:positionH relativeFrom="page">
                  <wp:posOffset>4463415</wp:posOffset>
                </wp:positionH>
                <wp:positionV relativeFrom="paragraph">
                  <wp:posOffset>775335</wp:posOffset>
                </wp:positionV>
                <wp:extent cx="829310" cy="1949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49C" w:rsidRDefault="00FD6F6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Poměr ředění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51.44999999999999pt;margin-top:61.049999999999997pt;width:65.299999999999997pt;height:15.35pt;z-index:-125829371;mso-wrap-distance-left:0;mso-wrap-distance-top:61.049999999999997pt;mso-wrap-distance-right:0;mso-wrap-distance-bottom:122.9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Poměr ředění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5335" distB="1560830" distL="0" distR="0" simplePos="0" relativeHeight="125829384" behindDoc="0" locked="0" layoutInCell="1" allowOverlap="1">
                <wp:simplePos x="0" y="0"/>
                <wp:positionH relativeFrom="page">
                  <wp:posOffset>5895975</wp:posOffset>
                </wp:positionH>
                <wp:positionV relativeFrom="paragraph">
                  <wp:posOffset>775335</wp:posOffset>
                </wp:positionV>
                <wp:extent cx="655320" cy="19494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49C" w:rsidRDefault="00FD6F62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t>6:1 - 350:1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64.25pt;margin-top:61.049999999999997pt;width:51.600000000000001pt;height:15.35pt;z-index:-125829369;mso-wrap-distance-left:0;mso-wrap-distance-top:61.049999999999997pt;mso-wrap-distance-right:0;mso-wrap-distance-bottom:122.9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6:1 - 350:1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5230" distB="1130935" distL="0" distR="0" simplePos="0" relativeHeight="125829386" behindDoc="0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1205230</wp:posOffset>
                </wp:positionV>
                <wp:extent cx="1965960" cy="19494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49C" w:rsidRDefault="00FD6F6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80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Teplota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5 - 65 °C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50.5pt;margin-top:94.900000000000006pt;width:154.80000000000001pt;height:15.35pt;z-index:-125829367;mso-wrap-distance-left:0;mso-wrap-distance-top:94.900000000000006pt;mso-wrap-distance-right:0;mso-wrap-distance-bottom:89.049999999999997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8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Teplota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5 - 65 °C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31950" distB="704215" distL="0" distR="0" simplePos="0" relativeHeight="125829388" behindDoc="0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1631950</wp:posOffset>
                </wp:positionV>
                <wp:extent cx="2045335" cy="1949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49C" w:rsidRDefault="00FD6F6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7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Číslo položky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70002227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350.94999999999999pt;margin-top:128.5pt;width:161.05000000000001pt;height:15.35pt;z-index:-125829365;mso-wrap-distance-left:0;mso-wrap-distance-top:128.5pt;mso-wrap-distance-right:0;mso-wrap-distance-bottom:55.450000000000003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Číslo položky</w:t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70002227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449C" w:rsidRDefault="0074449C">
      <w:pPr>
        <w:spacing w:line="57" w:lineRule="exact"/>
        <w:rPr>
          <w:sz w:val="5"/>
          <w:szCs w:val="5"/>
        </w:rPr>
      </w:pPr>
    </w:p>
    <w:p w:rsidR="0074449C" w:rsidRDefault="0074449C">
      <w:pPr>
        <w:spacing w:line="1" w:lineRule="exact"/>
        <w:sectPr w:rsidR="0074449C">
          <w:type w:val="continuous"/>
          <w:pgSz w:w="12142" w:h="16838"/>
          <w:pgMar w:top="677" w:right="0" w:bottom="208" w:left="0" w:header="0" w:footer="3" w:gutter="0"/>
          <w:cols w:space="720"/>
          <w:noEndnote/>
          <w:docGrid w:linePitch="360"/>
        </w:sectPr>
      </w:pPr>
    </w:p>
    <w:p w:rsidR="0074449C" w:rsidRDefault="00FD6F62">
      <w:pPr>
        <w:pStyle w:val="Zkladntext20"/>
        <w:shd w:val="clear" w:color="auto" w:fill="auto"/>
        <w:spacing w:after="160" w:line="254" w:lineRule="auto"/>
      </w:pPr>
      <w:r>
        <w:rPr>
          <w:b/>
          <w:bCs/>
        </w:rPr>
        <w:lastRenderedPageBreak/>
        <w:t>Informace o produktu</w:t>
      </w:r>
    </w:p>
    <w:p w:rsidR="0074449C" w:rsidRDefault="00FD6F62">
      <w:pPr>
        <w:pStyle w:val="Zkladntext20"/>
        <w:shd w:val="clear" w:color="auto" w:fill="auto"/>
        <w:spacing w:line="254" w:lineRule="auto"/>
      </w:pPr>
      <w:r>
        <w:t>ECOMIX COMPACT 2 dodáván s průtokem 14L/min pro plnění dřezů a kbelíků a podlahových mycích strojů.</w:t>
      </w:r>
    </w:p>
    <w:p w:rsidR="0074449C" w:rsidRDefault="00FD6F62">
      <w:pPr>
        <w:pStyle w:val="Zkladntext20"/>
        <w:shd w:val="clear" w:color="auto" w:fill="auto"/>
        <w:spacing w:after="160" w:line="254" w:lineRule="auto"/>
      </w:pPr>
      <w:r>
        <w:t>Systém ECOMIX COMPACT 2 nasává chemii z kanystru jakékoliv velikosti</w:t>
      </w:r>
    </w:p>
    <w:p w:rsidR="0074449C" w:rsidRDefault="00FD6F62">
      <w:pPr>
        <w:pStyle w:val="Zkladntext20"/>
        <w:shd w:val="clear" w:color="auto" w:fill="auto"/>
        <w:spacing w:after="160" w:line="254" w:lineRule="auto"/>
      </w:pPr>
      <w:r>
        <w:t>Vlastnosti: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tvorba roztoku do láhve nebo kbelíku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76" w:lineRule="auto"/>
        <w:ind w:firstLine="400"/>
      </w:pPr>
      <w:r>
        <w:t>průtok (14l/min)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 xml:space="preserve">rychlá instalace a </w:t>
      </w:r>
      <w:r>
        <w:t>obsluha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možnost aretace tlačítka pro objemnější dávkování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snadná změna poměru dávkování bez nutnosti použití jakéhokoliv nářadí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sání z kanystru nebo barelu libovolné velikosti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možnost připojení uzamykacího boxu na chemii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místo pro vaše logo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after="160" w:line="254" w:lineRule="auto"/>
        <w:ind w:firstLine="400"/>
      </w:pPr>
      <w:r>
        <w:t>odlišení barevn</w:t>
      </w:r>
      <w:r>
        <w:t>ým kroužkem (šedý, modrý, zelený, červený, černý, žlutý)</w:t>
      </w:r>
    </w:p>
    <w:p w:rsidR="0074449C" w:rsidRDefault="00FD6F62">
      <w:pPr>
        <w:pStyle w:val="Zkladntext20"/>
        <w:numPr>
          <w:ilvl w:val="0"/>
          <w:numId w:val="17"/>
        </w:numPr>
        <w:shd w:val="clear" w:color="auto" w:fill="auto"/>
        <w:tabs>
          <w:tab w:val="left" w:pos="759"/>
        </w:tabs>
        <w:spacing w:line="254" w:lineRule="auto"/>
        <w:ind w:firstLine="400"/>
        <w:sectPr w:rsidR="0074449C">
          <w:type w:val="continuous"/>
          <w:pgSz w:w="12142" w:h="16838"/>
          <w:pgMar w:top="677" w:right="1639" w:bottom="208" w:left="1773" w:header="0" w:footer="3" w:gutter="0"/>
          <w:cols w:space="720"/>
          <w:noEndnote/>
          <w:docGrid w:linePitch="360"/>
        </w:sectPr>
      </w:pPr>
      <w:r>
        <w:t>chemicky a mechanicky odolný</w:t>
      </w:r>
    </w:p>
    <w:p w:rsidR="0074449C" w:rsidRDefault="0074449C">
      <w:pPr>
        <w:spacing w:line="240" w:lineRule="exact"/>
        <w:rPr>
          <w:sz w:val="19"/>
          <w:szCs w:val="19"/>
        </w:rPr>
      </w:pPr>
    </w:p>
    <w:p w:rsidR="0074449C" w:rsidRDefault="0074449C">
      <w:pPr>
        <w:spacing w:line="240" w:lineRule="exact"/>
        <w:rPr>
          <w:sz w:val="19"/>
          <w:szCs w:val="19"/>
        </w:rPr>
      </w:pPr>
    </w:p>
    <w:p w:rsidR="0074449C" w:rsidRDefault="0074449C">
      <w:pPr>
        <w:spacing w:before="70" w:after="70" w:line="240" w:lineRule="exact"/>
        <w:rPr>
          <w:sz w:val="19"/>
          <w:szCs w:val="19"/>
        </w:rPr>
      </w:pPr>
    </w:p>
    <w:p w:rsidR="0074449C" w:rsidRDefault="0074449C">
      <w:pPr>
        <w:spacing w:line="1" w:lineRule="exact"/>
        <w:sectPr w:rsidR="0074449C">
          <w:type w:val="continuous"/>
          <w:pgSz w:w="12142" w:h="16838"/>
          <w:pgMar w:top="677" w:right="0" w:bottom="208" w:left="0" w:header="0" w:footer="3" w:gutter="0"/>
          <w:cols w:space="720"/>
          <w:noEndnote/>
          <w:docGrid w:linePitch="360"/>
        </w:sectPr>
      </w:pPr>
    </w:p>
    <w:p w:rsidR="0074449C" w:rsidRDefault="00FD6F6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6782435</wp:posOffset>
                </wp:positionH>
                <wp:positionV relativeFrom="paragraph">
                  <wp:posOffset>283210</wp:posOffset>
                </wp:positionV>
                <wp:extent cx="478790" cy="14922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49C" w:rsidRDefault="00FD6F62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rbel" w:eastAsia="Corbel" w:hAnsi="Corbel" w:cs="Corbel"/>
                                <w:color w:val="2163B0"/>
                                <w:sz w:val="12"/>
                                <w:szCs w:val="12"/>
                              </w:rPr>
                              <w:t xml:space="preserve">(•) </w:t>
                            </w:r>
                            <w:proofErr w:type="spellStart"/>
                            <w:r>
                              <w:rPr>
                                <w:rFonts w:ascii="Corbel" w:eastAsia="Corbel" w:hAnsi="Corbel" w:cs="Corbel"/>
                                <w:color w:val="DF282F"/>
                                <w:sz w:val="12"/>
                                <w:szCs w:val="12"/>
                              </w:rPr>
                              <w:t>flir</w:t>
                            </w:r>
                            <w:proofErr w:type="spellEnd"/>
                            <w:r>
                              <w:rPr>
                                <w:rFonts w:ascii="Corbel" w:eastAsia="Corbel" w:hAnsi="Corbel" w:cs="Corbel"/>
                                <w:color w:val="DF282F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rbel" w:eastAsia="Corbel" w:hAnsi="Corbel" w:cs="Corbel"/>
                                <w:color w:val="DF282F"/>
                                <w:sz w:val="12"/>
                                <w:szCs w:val="12"/>
                              </w:rPr>
                              <w:t>Liquide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34.04999999999995pt;margin-top:22.300000000000001pt;width:37.700000000000003pt;height:11.75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Corbel" w:eastAsia="Corbel" w:hAnsi="Corbel" w:cs="Corbel"/>
                          <w:color w:val="2163B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 xml:space="preserve">(•) </w:t>
                      </w:r>
                      <w:r>
                        <w:rPr>
                          <w:rFonts w:ascii="Corbel" w:eastAsia="Corbel" w:hAnsi="Corbel" w:cs="Corbel"/>
                          <w:color w:val="DF282F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flir Liquide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4449C" w:rsidRDefault="00FD6F62">
      <w:pPr>
        <w:pStyle w:val="Jin0"/>
        <w:shd w:val="clear" w:color="auto" w:fill="auto"/>
        <w:spacing w:after="0" w:line="228" w:lineRule="auto"/>
        <w:rPr>
          <w:sz w:val="12"/>
          <w:szCs w:val="12"/>
        </w:rPr>
      </w:pPr>
      <w:proofErr w:type="spellStart"/>
      <w:r>
        <w:rPr>
          <w:rFonts w:ascii="Corbel" w:eastAsia="Corbel" w:hAnsi="Corbel" w:cs="Corbel"/>
          <w:b/>
          <w:bCs/>
          <w:sz w:val="12"/>
          <w:szCs w:val="12"/>
        </w:rPr>
        <w:t>Schulke</w:t>
      </w:r>
      <w:proofErr w:type="spellEnd"/>
      <w:r>
        <w:rPr>
          <w:rFonts w:ascii="Corbel" w:eastAsia="Corbel" w:hAnsi="Corbel" w:cs="Corbel"/>
          <w:b/>
          <w:bCs/>
          <w:sz w:val="12"/>
          <w:szCs w:val="12"/>
        </w:rPr>
        <w:t xml:space="preserve"> CZ, s.r.o.</w:t>
      </w:r>
    </w:p>
    <w:p w:rsidR="00FD6F62" w:rsidRDefault="00FD6F62">
      <w:pPr>
        <w:pStyle w:val="Jin0"/>
        <w:shd w:val="clear" w:color="auto" w:fill="auto"/>
        <w:spacing w:after="0" w:line="228" w:lineRule="auto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sz w:val="12"/>
          <w:szCs w:val="12"/>
        </w:rPr>
        <w:t xml:space="preserve">Lidická 445, 735 81 Bohumín, Česká republika IČ: 24301779, DIČ: CZ24301779 </w:t>
      </w:r>
    </w:p>
    <w:p w:rsidR="00FD6F62" w:rsidRDefault="00FD6F62">
      <w:pPr>
        <w:pStyle w:val="Jin0"/>
        <w:shd w:val="clear" w:color="auto" w:fill="auto"/>
        <w:spacing w:after="0" w:line="228" w:lineRule="auto"/>
        <w:rPr>
          <w:rFonts w:ascii="Corbel" w:eastAsia="Corbel" w:hAnsi="Corbel" w:cs="Corbel"/>
          <w:sz w:val="12"/>
          <w:szCs w:val="12"/>
        </w:rPr>
      </w:pP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rPr>
          <w:rFonts w:ascii="Corbel" w:eastAsia="Corbel" w:hAnsi="Corbel" w:cs="Corbel"/>
          <w:sz w:val="12"/>
          <w:szCs w:val="12"/>
        </w:rPr>
        <w:t xml:space="preserve"> </w:t>
      </w:r>
    </w:p>
    <w:p w:rsidR="0074449C" w:rsidRDefault="00FD6F62">
      <w:pPr>
        <w:pStyle w:val="Jin0"/>
        <w:shd w:val="clear" w:color="auto" w:fill="auto"/>
        <w:spacing w:after="0" w:line="228" w:lineRule="auto"/>
        <w:rPr>
          <w:sz w:val="12"/>
          <w:szCs w:val="12"/>
        </w:rPr>
      </w:pPr>
      <w:r>
        <w:rPr>
          <w:rFonts w:ascii="Corbel" w:eastAsia="Corbel" w:hAnsi="Corbel" w:cs="Corbel"/>
          <w:sz w:val="12"/>
          <w:szCs w:val="12"/>
        </w:rPr>
        <w:t xml:space="preserve">Zákaznický servis: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</w:p>
    <w:p w:rsidR="0074449C" w:rsidRDefault="00FD6F62">
      <w:pPr>
        <w:pStyle w:val="Jin0"/>
        <w:shd w:val="clear" w:color="auto" w:fill="auto"/>
        <w:spacing w:after="0" w:line="230" w:lineRule="auto"/>
        <w:rPr>
          <w:sz w:val="12"/>
          <w:szCs w:val="12"/>
        </w:rPr>
      </w:pPr>
      <w:proofErr w:type="spellStart"/>
      <w:r>
        <w:rPr>
          <w:rFonts w:ascii="Corbel" w:eastAsia="Corbel" w:hAnsi="Corbel" w:cs="Corbel"/>
          <w:b/>
          <w:bCs/>
          <w:sz w:val="12"/>
          <w:szCs w:val="12"/>
        </w:rPr>
        <w:lastRenderedPageBreak/>
        <w:t>Schulke</w:t>
      </w:r>
      <w:proofErr w:type="spellEnd"/>
      <w:r>
        <w:rPr>
          <w:rFonts w:ascii="Corbel" w:eastAsia="Corbel" w:hAnsi="Corbel" w:cs="Corbel"/>
          <w:b/>
          <w:bCs/>
          <w:sz w:val="12"/>
          <w:szCs w:val="12"/>
        </w:rPr>
        <w:t xml:space="preserve"> SK, s.r.o.</w:t>
      </w:r>
    </w:p>
    <w:p w:rsidR="00FD6F62" w:rsidRDefault="00FD6F62">
      <w:pPr>
        <w:pStyle w:val="Jin0"/>
        <w:shd w:val="clear" w:color="auto" w:fill="auto"/>
        <w:spacing w:after="0" w:line="230" w:lineRule="auto"/>
        <w:rPr>
          <w:rFonts w:ascii="Corbel" w:eastAsia="Corbel" w:hAnsi="Corbel" w:cs="Corbel"/>
          <w:sz w:val="12"/>
          <w:szCs w:val="12"/>
        </w:rPr>
      </w:pPr>
      <w:proofErr w:type="spellStart"/>
      <w:r>
        <w:rPr>
          <w:rFonts w:ascii="Corbel" w:eastAsia="Corbel" w:hAnsi="Corbel" w:cs="Corbel"/>
          <w:sz w:val="12"/>
          <w:szCs w:val="12"/>
        </w:rPr>
        <w:t>Moštenická</w:t>
      </w:r>
      <w:proofErr w:type="spellEnd"/>
      <w:r>
        <w:rPr>
          <w:rFonts w:ascii="Corbel" w:eastAsia="Corbel" w:hAnsi="Corbel" w:cs="Corbel"/>
          <w:sz w:val="12"/>
          <w:szCs w:val="12"/>
        </w:rPr>
        <w:t xml:space="preserve"> 3, 971 01 Prievidza, Slovenská repu</w:t>
      </w:r>
      <w:r>
        <w:rPr>
          <w:rFonts w:ascii="Corbel" w:eastAsia="Corbel" w:hAnsi="Corbel" w:cs="Corbel"/>
          <w:sz w:val="12"/>
          <w:szCs w:val="12"/>
        </w:rPr>
        <w:t xml:space="preserve">blika IČ: 48001708, DIČ: SK2024175725 </w:t>
      </w:r>
    </w:p>
    <w:p w:rsidR="00FD6F62" w:rsidRDefault="00FD6F62">
      <w:pPr>
        <w:pStyle w:val="Jin0"/>
        <w:shd w:val="clear" w:color="auto" w:fill="auto"/>
        <w:spacing w:after="0" w:line="230" w:lineRule="auto"/>
        <w:rPr>
          <w:rFonts w:ascii="Corbel" w:eastAsia="Corbel" w:hAnsi="Corbel" w:cs="Corbel"/>
          <w:sz w:val="12"/>
          <w:szCs w:val="12"/>
        </w:rPr>
      </w:pP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r>
        <w:rPr>
          <w:rFonts w:ascii="Corbel" w:eastAsia="Corbel" w:hAnsi="Corbel" w:cs="Corbel"/>
          <w:sz w:val="12"/>
          <w:szCs w:val="12"/>
        </w:rPr>
        <w:t xml:space="preserve"> </w:t>
      </w:r>
    </w:p>
    <w:p w:rsidR="0074449C" w:rsidRDefault="00FD6F62">
      <w:pPr>
        <w:pStyle w:val="Jin0"/>
        <w:shd w:val="clear" w:color="auto" w:fill="auto"/>
        <w:spacing w:after="0" w:line="230" w:lineRule="auto"/>
        <w:rPr>
          <w:sz w:val="12"/>
          <w:szCs w:val="12"/>
        </w:rPr>
        <w:sectPr w:rsidR="0074449C">
          <w:type w:val="continuous"/>
          <w:pgSz w:w="12142" w:h="16838"/>
          <w:pgMar w:top="677" w:right="4926" w:bottom="208" w:left="1816" w:header="0" w:footer="3" w:gutter="0"/>
          <w:cols w:num="2" w:space="720" w:equalWidth="0">
            <w:col w:w="2290" w:space="514"/>
            <w:col w:w="2597"/>
          </w:cols>
          <w:noEndnote/>
          <w:docGrid w:linePitch="360"/>
        </w:sectPr>
      </w:pPr>
      <w:proofErr w:type="spellStart"/>
      <w:r>
        <w:rPr>
          <w:rFonts w:ascii="Corbel" w:eastAsia="Corbel" w:hAnsi="Corbel" w:cs="Corbel"/>
          <w:sz w:val="12"/>
          <w:szCs w:val="12"/>
        </w:rPr>
        <w:t>Zákaznícky</w:t>
      </w:r>
      <w:proofErr w:type="spellEnd"/>
      <w:r>
        <w:rPr>
          <w:rFonts w:ascii="Corbel" w:eastAsia="Corbel" w:hAnsi="Corbel" w:cs="Corbel"/>
          <w:sz w:val="12"/>
          <w:szCs w:val="12"/>
        </w:rPr>
        <w:t xml:space="preserve"> servis: </w:t>
      </w:r>
      <w:r>
        <w:rPr>
          <w:rFonts w:ascii="Arial" w:eastAsia="Arial" w:hAnsi="Arial" w:cs="Arial"/>
          <w:b/>
          <w:bCs/>
          <w:sz w:val="14"/>
          <w:szCs w:val="14"/>
          <w:highlight w:val="yellow"/>
        </w:rPr>
        <w:t>XXXX</w:t>
      </w:r>
      <w:bookmarkStart w:id="1" w:name="_GoBack"/>
      <w:bookmarkEnd w:id="1"/>
    </w:p>
    <w:p w:rsidR="00000000" w:rsidRDefault="00FD6F62"/>
    <w:sectPr w:rsidR="00000000">
      <w:type w:val="continuous"/>
      <w:pgSz w:w="12142" w:h="16838"/>
      <w:pgMar w:top="677" w:right="4926" w:bottom="208" w:left="1816" w:header="0" w:footer="3" w:gutter="0"/>
      <w:cols w:num="2" w:space="720" w:equalWidth="0">
        <w:col w:w="2290" w:space="514"/>
        <w:col w:w="259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6F62">
      <w:r>
        <w:separator/>
      </w:r>
    </w:p>
  </w:endnote>
  <w:endnote w:type="continuationSeparator" w:id="0">
    <w:p w:rsidR="00000000" w:rsidRDefault="00FD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9C" w:rsidRDefault="00FD6F6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6506210</wp:posOffset>
              </wp:positionH>
              <wp:positionV relativeFrom="page">
                <wp:posOffset>9946005</wp:posOffset>
              </wp:positionV>
              <wp:extent cx="14351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49C" w:rsidRDefault="00FD6F6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D6F6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2" type="#_x0000_t202" style="position:absolute;margin-left:512.3pt;margin-top:783.15pt;width:11.3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BHT2P2&#10;4AAAAA8BAAAPAAAAZHJzL2Rvd25yZXYueG1sTI/NTsMwEITvSLyDtUjcqE0obpTGqVAlLtwoFRI3&#10;N97GUf0T2W6avD3OCW47u6PZb+rdZA0ZMcTeOwHPKwYEXetV7zoBx6/3pxJITNIpabxDATNG2DX3&#10;d7WslL+5TxwPqSM5xMVKCtApDRWlsdVoZVz5AV2+nX2wMmUZOqqCvOVwa2jBGKdW9i5/0HLAvcb2&#10;crhaAZvp2+MQcY8/57ENup9L8zEL8fgwvW2BJJzSnxkW/IwOTWY6+atTkZisWbHm2ZunV85fgCwe&#10;tt4UQE7LruQMaFPT/z2aXwAAAP//AwBQSwECLQAUAAYACAAAACEAtoM4kv4AAADhAQAAEwAAAAAA&#10;AAAAAAAAAAAAAAAAW0NvbnRlbnRfVHlwZXNdLnhtbFBLAQItABQABgAIAAAAIQA4/SH/1gAAAJQB&#10;AAALAAAAAAAAAAAAAAAAAC8BAABfcmVscy8ucmVsc1BLAQItABQABgAIAAAAIQBc6oKSlgEAACED&#10;AAAOAAAAAAAAAAAAAAAAAC4CAABkcnMvZTJvRG9jLnhtbFBLAQItABQABgAIAAAAIQBHT2P24AAA&#10;AA8BAAAPAAAAAAAAAAAAAAAAAPADAABkcnMvZG93bnJldi54bWxQSwUGAAAAAAQABADzAAAA/QQA&#10;AAAA&#10;" filled="f" stroked="f">
              <v:textbox style="mso-fit-shape-to-text:t" inset="0,0,0,0">
                <w:txbxContent>
                  <w:p w:rsidR="0074449C" w:rsidRDefault="00FD6F6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D6F6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9C" w:rsidRDefault="0074449C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9C" w:rsidRDefault="0074449C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9C" w:rsidRDefault="0074449C"/>
  </w:footnote>
  <w:footnote w:type="continuationSeparator" w:id="0">
    <w:p w:rsidR="0074449C" w:rsidRDefault="007444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B66"/>
    <w:multiLevelType w:val="multilevel"/>
    <w:tmpl w:val="3912BC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465CF"/>
    <w:multiLevelType w:val="multilevel"/>
    <w:tmpl w:val="1F8CAB1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16F6C"/>
    <w:multiLevelType w:val="multilevel"/>
    <w:tmpl w:val="A63CDC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8406F"/>
    <w:multiLevelType w:val="multilevel"/>
    <w:tmpl w:val="477029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7355B"/>
    <w:multiLevelType w:val="multilevel"/>
    <w:tmpl w:val="2312C9B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4071E"/>
    <w:multiLevelType w:val="multilevel"/>
    <w:tmpl w:val="65F291D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DF1015"/>
    <w:multiLevelType w:val="multilevel"/>
    <w:tmpl w:val="68C4AD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170F80"/>
    <w:multiLevelType w:val="multilevel"/>
    <w:tmpl w:val="934E826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B402E9"/>
    <w:multiLevelType w:val="multilevel"/>
    <w:tmpl w:val="81E6FDA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C4639A"/>
    <w:multiLevelType w:val="multilevel"/>
    <w:tmpl w:val="D116C23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45FF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DD0C44"/>
    <w:multiLevelType w:val="multilevel"/>
    <w:tmpl w:val="9A2C309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20A45F4"/>
    <w:multiLevelType w:val="multilevel"/>
    <w:tmpl w:val="E7564A3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B114C0"/>
    <w:multiLevelType w:val="multilevel"/>
    <w:tmpl w:val="770C6B40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562180"/>
    <w:multiLevelType w:val="multilevel"/>
    <w:tmpl w:val="D4520B9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6F3CD6"/>
    <w:multiLevelType w:val="multilevel"/>
    <w:tmpl w:val="620832E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A540D9"/>
    <w:multiLevelType w:val="multilevel"/>
    <w:tmpl w:val="292857A6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EF5D9F"/>
    <w:multiLevelType w:val="multilevel"/>
    <w:tmpl w:val="C3C619E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6"/>
  </w:num>
  <w:num w:numId="13">
    <w:abstractNumId w:val="15"/>
  </w:num>
  <w:num w:numId="14">
    <w:abstractNumId w:val="3"/>
  </w:num>
  <w:num w:numId="15">
    <w:abstractNumId w:val="1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449C"/>
    <w:rsid w:val="0074449C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67171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Bookman Old Style" w:eastAsia="Bookman Old Style" w:hAnsi="Bookman Old Style" w:cs="Bookman Old Sty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Bookman Old Style" w:eastAsia="Bookman Old Style" w:hAnsi="Bookman Old Style" w:cs="Bookman Old Sty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Bookman Old Style" w:eastAsia="Bookman Old Style" w:hAnsi="Bookman Old Style" w:cs="Bookman Old Sty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4" w:lineRule="auto"/>
      <w:ind w:firstLine="140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76717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67171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Bookman Old Style" w:eastAsia="Bookman Old Style" w:hAnsi="Bookman Old Style" w:cs="Bookman Old Sty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Bookman Old Style" w:eastAsia="Bookman Old Style" w:hAnsi="Bookman Old Style" w:cs="Bookman Old Sty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Bookman Old Style" w:eastAsia="Bookman Old Style" w:hAnsi="Bookman Old Style" w:cs="Bookman Old Sty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54" w:lineRule="auto"/>
      <w:ind w:firstLine="140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76717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rkova@promedica-praha.cz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hartmann.cz" TargetMode="External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hartmann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3577</Words>
  <Characters>21109</Characters>
  <Application>Microsoft Office Word</Application>
  <DocSecurity>0</DocSecurity>
  <Lines>175</Lines>
  <Paragraphs>49</Paragraphs>
  <ScaleCrop>false</ScaleCrop>
  <Company/>
  <LinksUpToDate>false</LinksUpToDate>
  <CharactersWithSpaces>24637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Alena Ševčíková</dc:creator>
  <cp:keywords/>
  <cp:lastModifiedBy>Uživatel systému Windows</cp:lastModifiedBy>
  <cp:revision>2</cp:revision>
  <dcterms:created xsi:type="dcterms:W3CDTF">2025-02-07T09:45:00Z</dcterms:created>
  <dcterms:modified xsi:type="dcterms:W3CDTF">2025-02-07T09:49:00Z</dcterms:modified>
</cp:coreProperties>
</file>