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00C74A41"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585C9FB9"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364875">
        <w:rPr>
          <w:rFonts w:ascii="Arial" w:hAnsi="Arial" w:cs="Arial"/>
          <w:color w:val="000000"/>
          <w:sz w:val="22"/>
          <w:szCs w:val="22"/>
        </w:rPr>
        <w:t>Ing. Bc. Jana Pivoňková</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78785077"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p>
    <w:p w14:paraId="2ACC1B23" w14:textId="3AB3CF8E"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0081651F" w:rsidRPr="00905E80">
        <w:rPr>
          <w:rFonts w:ascii="Arial" w:hAnsi="Arial" w:cs="Arial"/>
          <w:color w:val="000000"/>
          <w:sz w:val="22"/>
          <w:szCs w:val="22"/>
        </w:rPr>
        <w:t xml:space="preserve"> </w:t>
      </w:r>
    </w:p>
    <w:p w14:paraId="7339CCCD" w14:textId="4FB467E8"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r w:rsidRPr="00905E80">
        <w:rPr>
          <w:rFonts w:ascii="Arial" w:hAnsi="Arial" w:cs="Arial"/>
          <w:color w:val="000000"/>
          <w:sz w:val="22"/>
          <w:szCs w:val="22"/>
        </w:rPr>
        <w:tab/>
      </w:r>
    </w:p>
    <w:p w14:paraId="0B72D26E" w14:textId="1F2E5660"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Pr="00905E80">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r w:rsidR="000F64FF">
        <w:rPr>
          <w:rFonts w:cs="Arial"/>
          <w:b w:val="0"/>
          <w:i/>
          <w:color w:val="000000"/>
          <w:sz w:val="22"/>
          <w:szCs w:val="22"/>
          <w:lang w:val="cs-CZ"/>
        </w:rPr>
        <w:t>best practice</w:t>
      </w:r>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21C767AA"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3E4DF3">
        <w:rPr>
          <w:rFonts w:cs="Arial"/>
          <w:b w:val="0"/>
          <w:color w:val="000000"/>
          <w:sz w:val="22"/>
          <w:szCs w:val="22"/>
          <w:lang w:val="cs-CZ"/>
        </w:rPr>
        <w:t>VIII</w:t>
      </w:r>
      <w:r w:rsidR="00351A18">
        <w:rPr>
          <w:rFonts w:cs="Arial"/>
          <w:b w:val="0"/>
          <w:color w:val="000000"/>
          <w:sz w:val="22"/>
          <w:szCs w:val="22"/>
        </w:rPr>
        <w:t xml:space="preserve">. odst. </w:t>
      </w:r>
      <w:r w:rsidR="003E4DF3">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29EC1888"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6175D708"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364875">
        <w:rPr>
          <w:rFonts w:cs="Arial"/>
          <w:b w:val="0"/>
          <w:color w:val="000000"/>
          <w:sz w:val="22"/>
          <w:szCs w:val="22"/>
        </w:rPr>
        <w:t>Ing. Bc. Jana Pivoňková</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1D5D9364"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44265F">
        <w:rPr>
          <w:rFonts w:cs="Arial"/>
          <w:b w:val="0"/>
          <w:color w:val="000000"/>
          <w:sz w:val="22"/>
          <w:szCs w:val="22"/>
          <w:lang w:val="cs-CZ"/>
        </w:rPr>
        <w:t>u</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26D79E8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83532A">
        <w:rPr>
          <w:rFonts w:ascii="Arial" w:hAnsi="Arial" w:cs="Arial"/>
          <w:color w:val="000000"/>
          <w:sz w:val="22"/>
          <w:szCs w:val="22"/>
        </w:rPr>
        <w:t>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72214331"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44265F">
        <w:rPr>
          <w:rFonts w:ascii="Arial" w:hAnsi="Arial" w:cs="Arial"/>
          <w:b/>
          <w:bCs/>
          <w:color w:val="000000"/>
          <w:sz w:val="22"/>
          <w:szCs w:val="22"/>
        </w:rPr>
        <w:t xml:space="preserve">                                   </w:t>
      </w:r>
      <w:r w:rsidR="0044265F">
        <w:rPr>
          <w:rFonts w:ascii="Arial" w:hAnsi="Arial" w:cs="Arial"/>
          <w:color w:val="000000"/>
          <w:sz w:val="22"/>
          <w:szCs w:val="22"/>
        </w:rPr>
        <w:t>Ing. Bc. Jana Pivoňková</w:t>
      </w:r>
      <w:r w:rsidR="0044265F" w:rsidRPr="00905E80">
        <w:rPr>
          <w:rFonts w:ascii="Arial" w:hAnsi="Arial" w:cs="Arial"/>
          <w:color w:val="000000"/>
          <w:sz w:val="22"/>
          <w:szCs w:val="22"/>
        </w:rPr>
        <w:tab/>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1F3B49"/>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57A"/>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2A7E"/>
    <w:rsid w:val="00353075"/>
    <w:rsid w:val="00354841"/>
    <w:rsid w:val="00360407"/>
    <w:rsid w:val="0036153A"/>
    <w:rsid w:val="00362971"/>
    <w:rsid w:val="00364875"/>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4DF3"/>
    <w:rsid w:val="003E5189"/>
    <w:rsid w:val="003E572E"/>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265F"/>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0F7"/>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34727"/>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A6D6E"/>
    <w:rsid w:val="00BB008E"/>
    <w:rsid w:val="00BB0E48"/>
    <w:rsid w:val="00BB1509"/>
    <w:rsid w:val="00BB1EB9"/>
    <w:rsid w:val="00BB495C"/>
    <w:rsid w:val="00BC2302"/>
    <w:rsid w:val="00BD5C79"/>
    <w:rsid w:val="00BE1340"/>
    <w:rsid w:val="00BE1C5C"/>
    <w:rsid w:val="00BE4710"/>
    <w:rsid w:val="00BE548F"/>
    <w:rsid w:val="00BE5A8A"/>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30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3.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4.xml><?xml version="1.0" encoding="utf-8"?>
<ds:datastoreItem xmlns:ds="http://schemas.openxmlformats.org/officeDocument/2006/customXml" ds:itemID="{1E660BB6-7AE9-4AD7-B0E6-728CBDC5B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2813</Words>
  <Characters>17108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4</cp:revision>
  <cp:lastPrinted>2024-12-12T07:49:00Z</cp:lastPrinted>
  <dcterms:created xsi:type="dcterms:W3CDTF">2025-01-07T09:06:00Z</dcterms:created>
  <dcterms:modified xsi:type="dcterms:W3CDTF">2025-01-24T18:44:00Z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