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8E45A14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7631F0">
        <w:rPr>
          <w:sz w:val="26"/>
          <w:szCs w:val="26"/>
        </w:rPr>
        <w:t>imme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7631F0">
        <w:rPr>
          <w:sz w:val="26"/>
          <w:szCs w:val="26"/>
        </w:rPr>
        <w:t>kalkata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7631F0">
        <w:rPr>
          <w:sz w:val="26"/>
          <w:szCs w:val="26"/>
        </w:rPr>
        <w:t>12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7631F0">
        <w:rPr>
          <w:sz w:val="26"/>
          <w:szCs w:val="26"/>
        </w:rPr>
        <w:t>23</w:t>
      </w:r>
      <w:r w:rsidR="00DE4D87">
        <w:rPr>
          <w:sz w:val="26"/>
          <w:szCs w:val="26"/>
        </w:rPr>
        <w:t xml:space="preserve">. </w:t>
      </w:r>
      <w:r w:rsidR="007631F0">
        <w:rPr>
          <w:sz w:val="26"/>
          <w:szCs w:val="26"/>
        </w:rPr>
        <w:t>10</w:t>
      </w:r>
      <w:r w:rsidR="00DE4D87">
        <w:rPr>
          <w:sz w:val="26"/>
          <w:szCs w:val="26"/>
        </w:rPr>
        <w:t xml:space="preserve">. - </w:t>
      </w:r>
      <w:r w:rsidR="007631F0">
        <w:rPr>
          <w:sz w:val="26"/>
          <w:szCs w:val="26"/>
        </w:rPr>
        <w:t>26</w:t>
      </w:r>
      <w:r w:rsidR="00DE4D87">
        <w:rPr>
          <w:sz w:val="26"/>
          <w:szCs w:val="26"/>
        </w:rPr>
        <w:t xml:space="preserve">. </w:t>
      </w:r>
      <w:r w:rsidR="007631F0">
        <w:rPr>
          <w:sz w:val="26"/>
          <w:szCs w:val="26"/>
        </w:rPr>
        <w:t>10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69E6E0CB" w:rsidR="007A12B1" w:rsidRPr="007A12B1" w:rsidRDefault="00E60DE0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E60DE0">
        <w:rPr>
          <w:rFonts w:ascii="Times New Roman" w:hAnsi="Times New Roman" w:cs="Times New Roman"/>
          <w:b/>
          <w:sz w:val="22"/>
        </w:rPr>
        <w:t>ZAM - SERVIS</w:t>
      </w:r>
      <w:proofErr w:type="gramEnd"/>
      <w:r w:rsidRPr="00E60DE0">
        <w:rPr>
          <w:rFonts w:ascii="Times New Roman" w:hAnsi="Times New Roman" w:cs="Times New Roman"/>
          <w:b/>
          <w:sz w:val="22"/>
        </w:rPr>
        <w:t xml:space="preserve">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0AC843FD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187293" w:rsidRPr="00187293">
        <w:rPr>
          <w:rFonts w:ascii="Times New Roman" w:hAnsi="Times New Roman" w:cs="Times New Roman"/>
          <w:b/>
          <w:sz w:val="22"/>
        </w:rPr>
        <w:t>2410000096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3E774F3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E60DE0" w:rsidRPr="00E60DE0">
        <w:rPr>
          <w:rFonts w:ascii="Times New Roman" w:hAnsi="Times New Roman" w:cs="Times New Roman"/>
          <w:sz w:val="22"/>
        </w:rPr>
        <w:t>Křišťanova 1116/14, Přívoz, 70200 Ostrava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190E3A3C" w:rsidR="007A12B1" w:rsidRPr="007A12B1" w:rsidRDefault="00E60DE0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>IČO: 60775866, DIČ: CZ60775866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47F09161" w:rsidR="007A12B1" w:rsidRPr="00E325CB" w:rsidRDefault="00E60DE0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>zapsaná v obchodním rejstříku vedeném Krajským soudem v Ostravě, oddíl C, vložka 6878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94C2391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</w:t>
      </w:r>
      <w:r w:rsidR="007261C8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7261C8">
        <w:rPr>
          <w:rFonts w:ascii="Times New Roman" w:hAnsi="Times New Roman" w:cs="Times New Roman"/>
          <w:sz w:val="22"/>
        </w:rPr>
        <w:t>10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261C8" w:rsidRPr="007261C8">
        <w:rPr>
          <w:rFonts w:ascii="Times New Roman" w:hAnsi="Times New Roman" w:cs="Times New Roman"/>
          <w:sz w:val="22"/>
        </w:rPr>
        <w:t>28682660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7261C8">
        <w:rPr>
          <w:rFonts w:ascii="Times New Roman" w:hAnsi="Times New Roman" w:cs="Times New Roman"/>
          <w:sz w:val="22"/>
        </w:rPr>
        <w:t>23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7261C8">
        <w:rPr>
          <w:rFonts w:ascii="Times New Roman" w:hAnsi="Times New Roman" w:cs="Times New Roman"/>
          <w:sz w:val="22"/>
        </w:rPr>
        <w:t>10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7261C8">
        <w:rPr>
          <w:rFonts w:ascii="Times New Roman" w:hAnsi="Times New Roman" w:cs="Times New Roman"/>
          <w:sz w:val="22"/>
        </w:rPr>
        <w:t>26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7261C8">
        <w:rPr>
          <w:rFonts w:ascii="Times New Roman" w:hAnsi="Times New Roman" w:cs="Times New Roman"/>
          <w:sz w:val="22"/>
        </w:rPr>
        <w:t>10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7261C8">
        <w:rPr>
          <w:rFonts w:ascii="Times New Roman" w:hAnsi="Times New Roman" w:cs="Times New Roman"/>
          <w:sz w:val="22"/>
        </w:rPr>
        <w:t>Kalkatě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7261C8">
        <w:rPr>
          <w:rFonts w:ascii="Times New Roman" w:hAnsi="Times New Roman" w:cs="Times New Roman"/>
          <w:sz w:val="22"/>
        </w:rPr>
        <w:t>Indie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88B91D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E7F09" w:rsidRPr="00EE7F09">
        <w:rPr>
          <w:rFonts w:ascii="Times New Roman" w:hAnsi="Times New Roman" w:cs="Times New Roman"/>
          <w:sz w:val="22"/>
        </w:rPr>
        <w:t>83</w:t>
      </w:r>
      <w:r w:rsidR="00EE7F09">
        <w:rPr>
          <w:rFonts w:ascii="Times New Roman" w:hAnsi="Times New Roman" w:cs="Times New Roman"/>
          <w:sz w:val="22"/>
        </w:rPr>
        <w:t xml:space="preserve"> </w:t>
      </w:r>
      <w:r w:rsidR="00EE7F09" w:rsidRPr="00EE7F09">
        <w:rPr>
          <w:rFonts w:ascii="Times New Roman" w:hAnsi="Times New Roman" w:cs="Times New Roman"/>
          <w:sz w:val="22"/>
        </w:rPr>
        <w:t>861,89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E7F09" w:rsidRPr="00EE7F09">
        <w:rPr>
          <w:rFonts w:ascii="Times New Roman" w:hAnsi="Times New Roman" w:cs="Times New Roman"/>
          <w:sz w:val="22"/>
        </w:rPr>
        <w:t>osmdesát tři tisíc osm set šedesát jedna korun českých osmdesát devět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74DE2" w:rsidRPr="001F74ED">
        <w:rPr>
          <w:rFonts w:ascii="Times New Roman" w:hAnsi="Times New Roman" w:cs="Times New Roman"/>
          <w:sz w:val="22"/>
        </w:rPr>
        <w:t>2</w:t>
      </w:r>
      <w:r w:rsidR="001F74ED" w:rsidRPr="001F74ED">
        <w:rPr>
          <w:rFonts w:ascii="Times New Roman" w:hAnsi="Times New Roman" w:cs="Times New Roman"/>
          <w:sz w:val="22"/>
        </w:rPr>
        <w:t>7.1.2025</w:t>
      </w:r>
      <w:r w:rsidR="00010AAD" w:rsidRPr="001F74E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20D0B554" w:rsidR="00920FAB" w:rsidRPr="00920FAB" w:rsidRDefault="00E60DE0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E60DE0">
              <w:rPr>
                <w:rFonts w:ascii="Times New Roman" w:eastAsia="Times New Roman" w:hAnsi="Times New Roman" w:cs="Times New Roman"/>
                <w:b/>
                <w:sz w:val="22"/>
              </w:rPr>
              <w:t>ZAM - SERVIS</w:t>
            </w:r>
            <w:proofErr w:type="gramEnd"/>
            <w:r w:rsidRPr="00E60DE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571713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83CE1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  <w:bookmarkStart w:id="0" w:name="_GoBack"/>
            <w:bookmarkEnd w:id="0"/>
          </w:p>
          <w:p w14:paraId="68140360" w14:textId="1CCB113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83CE1">
              <w:rPr>
                <w:rFonts w:ascii="Times New Roman" w:eastAsia="Times New Roman" w:hAnsi="Times New Roman" w:cs="Times New Roman"/>
                <w:sz w:val="22"/>
                <w:szCs w:val="24"/>
              </w:rPr>
              <w:t>31.1.2025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D67A4B2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Milan Odrihocký</w:t>
            </w:r>
            <w:r w:rsidR="00EF4381">
              <w:t xml:space="preserve"> </w:t>
            </w:r>
          </w:p>
          <w:p w14:paraId="2077CFCB" w14:textId="6C51592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7862695" w:rsidR="005F7098" w:rsidRPr="00152985" w:rsidRDefault="007454BA" w:rsidP="004421FD">
      <w:pPr>
        <w:jc w:val="center"/>
        <w:rPr>
          <w:rFonts w:ascii="Times New Roman" w:hAnsi="Times New Roman" w:cs="Times New Roman"/>
          <w:sz w:val="22"/>
        </w:rPr>
      </w:pPr>
      <w:r w:rsidRPr="007454BA">
        <w:rPr>
          <w:noProof/>
        </w:rPr>
        <w:drawing>
          <wp:inline distT="0" distB="0" distL="0" distR="0" wp14:anchorId="410B7193" wp14:editId="56D08A56">
            <wp:extent cx="8892540" cy="4811446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1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08F0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7293"/>
    <w:rsid w:val="001A225A"/>
    <w:rsid w:val="001A6F5C"/>
    <w:rsid w:val="001B2F7F"/>
    <w:rsid w:val="001B5D7A"/>
    <w:rsid w:val="001D1D72"/>
    <w:rsid w:val="001F74ED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3CE1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261C8"/>
    <w:rsid w:val="007338F1"/>
    <w:rsid w:val="007454BA"/>
    <w:rsid w:val="00757E3B"/>
    <w:rsid w:val="0076259C"/>
    <w:rsid w:val="007631F0"/>
    <w:rsid w:val="007706A7"/>
    <w:rsid w:val="00774DE2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0DE0"/>
    <w:rsid w:val="00E65A8F"/>
    <w:rsid w:val="00E65C45"/>
    <w:rsid w:val="00EA25B6"/>
    <w:rsid w:val="00EA325F"/>
    <w:rsid w:val="00EB736C"/>
    <w:rsid w:val="00EC74B0"/>
    <w:rsid w:val="00ED2E9C"/>
    <w:rsid w:val="00EE7F09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www.w3.org/XML/1998/namespace"/>
    <ds:schemaRef ds:uri="f1514c7a-c955-4641-91c2-9c212789a068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11</cp:revision>
  <cp:lastPrinted>2023-11-28T07:54:00Z</cp:lastPrinted>
  <dcterms:created xsi:type="dcterms:W3CDTF">2024-09-19T08:49:00Z</dcterms:created>
  <dcterms:modified xsi:type="dcterms:W3CDTF">2025-02-05T10:28:00Z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