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42E8" w14:textId="77777777" w:rsidR="009113A9" w:rsidRDefault="009113A9" w:rsidP="009364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14538491" w14:textId="77777777" w:rsidR="006F4685" w:rsidRPr="005E61E7" w:rsidRDefault="006F4685" w:rsidP="009364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14:paraId="631170B0" w14:textId="77777777" w:rsidR="0093645F" w:rsidRPr="00294616" w:rsidRDefault="0093645F" w:rsidP="00294616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294616">
        <w:rPr>
          <w:rFonts w:ascii="Arial" w:eastAsia="Calibri" w:hAnsi="Arial" w:cs="Arial"/>
          <w:b/>
          <w:bCs/>
          <w:sz w:val="28"/>
          <w:szCs w:val="28"/>
          <w:lang w:eastAsia="en-US"/>
        </w:rPr>
        <w:t>Smlouva o dodávce</w:t>
      </w:r>
      <w:r w:rsidR="00AC4ADF" w:rsidRPr="00294616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a odběru</w:t>
      </w:r>
      <w:r w:rsidRPr="00294616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tepelné energie</w:t>
      </w:r>
    </w:p>
    <w:p w14:paraId="2F1CEAC0" w14:textId="77777777" w:rsidR="0093645F" w:rsidRPr="00294616" w:rsidRDefault="0093645F" w:rsidP="00C44A7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4616">
        <w:rPr>
          <w:rFonts w:ascii="Arial" w:eastAsia="Calibri" w:hAnsi="Arial" w:cs="Arial"/>
          <w:sz w:val="20"/>
          <w:szCs w:val="20"/>
          <w:lang w:eastAsia="en-US"/>
        </w:rPr>
        <w:t xml:space="preserve">podle ustanovení § 76 odst. 3 zákona č. 458/2000 Sb., </w:t>
      </w:r>
      <w:r w:rsidR="00BC2728" w:rsidRPr="00294616">
        <w:rPr>
          <w:rFonts w:ascii="Arial" w:eastAsia="Calibri" w:hAnsi="Arial" w:cs="Arial"/>
          <w:sz w:val="20"/>
          <w:szCs w:val="20"/>
          <w:lang w:eastAsia="en-US"/>
        </w:rPr>
        <w:t>o podmínkách podnikání a</w:t>
      </w:r>
      <w:r w:rsidR="008038F7" w:rsidRPr="00294616">
        <w:rPr>
          <w:rFonts w:ascii="Arial" w:eastAsia="Calibri" w:hAnsi="Arial" w:cs="Arial"/>
          <w:sz w:val="20"/>
          <w:szCs w:val="20"/>
          <w:lang w:eastAsia="en-US"/>
        </w:rPr>
        <w:t xml:space="preserve"> o</w:t>
      </w:r>
      <w:r w:rsidR="00BC2728" w:rsidRPr="00294616">
        <w:rPr>
          <w:rFonts w:ascii="Arial" w:eastAsia="Calibri" w:hAnsi="Arial" w:cs="Arial"/>
          <w:sz w:val="20"/>
          <w:szCs w:val="20"/>
          <w:lang w:eastAsia="en-US"/>
        </w:rPr>
        <w:t xml:space="preserve"> výkonu státní správy v energetických odvětvích a o změně některých zákonů (dále jen „</w:t>
      </w:r>
      <w:r w:rsidRPr="00294616">
        <w:rPr>
          <w:rFonts w:ascii="Arial" w:eastAsia="Calibri" w:hAnsi="Arial" w:cs="Arial"/>
          <w:sz w:val="20"/>
          <w:szCs w:val="20"/>
          <w:lang w:eastAsia="en-US"/>
        </w:rPr>
        <w:t>energetický zákon</w:t>
      </w:r>
      <w:r w:rsidR="00BC2728" w:rsidRPr="00294616">
        <w:rPr>
          <w:rFonts w:ascii="Arial" w:eastAsia="Calibri" w:hAnsi="Arial" w:cs="Arial"/>
          <w:sz w:val="20"/>
          <w:szCs w:val="20"/>
          <w:lang w:eastAsia="en-US"/>
        </w:rPr>
        <w:t>“)</w:t>
      </w:r>
    </w:p>
    <w:p w14:paraId="0366A74A" w14:textId="77777777" w:rsidR="0093645F" w:rsidRPr="005E61E7" w:rsidRDefault="0093645F" w:rsidP="0093645F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</w:p>
    <w:p w14:paraId="142C65B4" w14:textId="3373C38F" w:rsidR="0093645F" w:rsidRDefault="0093645F" w:rsidP="0093645F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  <w:r w:rsidRPr="00B70455">
        <w:rPr>
          <w:rFonts w:ascii="Arial" w:eastAsia="Calibri" w:hAnsi="Arial" w:cs="Arial"/>
          <w:b/>
          <w:bCs/>
          <w:lang w:eastAsia="en-US"/>
        </w:rPr>
        <w:t>Číslo smlouvy:</w:t>
      </w:r>
      <w:r w:rsidRPr="005E61E7">
        <w:rPr>
          <w:rFonts w:ascii="Arial" w:eastAsia="Calibri" w:hAnsi="Arial" w:cs="Arial"/>
          <w:b/>
          <w:bCs/>
          <w:lang w:eastAsia="en-US"/>
        </w:rPr>
        <w:t xml:space="preserve"> </w:t>
      </w:r>
      <w:r w:rsidR="00264E31">
        <w:rPr>
          <w:rFonts w:ascii="Arial" w:eastAsia="Calibri" w:hAnsi="Arial" w:cs="Arial"/>
          <w:b/>
          <w:bCs/>
          <w:lang w:eastAsia="en-US"/>
        </w:rPr>
        <w:t>1</w:t>
      </w:r>
      <w:r w:rsidR="00B70455">
        <w:rPr>
          <w:rFonts w:ascii="Arial" w:eastAsia="Calibri" w:hAnsi="Arial" w:cs="Arial"/>
          <w:b/>
          <w:bCs/>
          <w:lang w:eastAsia="en-US"/>
        </w:rPr>
        <w:t>-20</w:t>
      </w:r>
      <w:r w:rsidR="00C81373">
        <w:rPr>
          <w:rFonts w:ascii="Arial" w:eastAsia="Calibri" w:hAnsi="Arial" w:cs="Arial"/>
          <w:b/>
          <w:bCs/>
          <w:lang w:eastAsia="en-US"/>
        </w:rPr>
        <w:t>2</w:t>
      </w:r>
      <w:r w:rsidR="00264E31">
        <w:rPr>
          <w:rFonts w:ascii="Arial" w:eastAsia="Calibri" w:hAnsi="Arial" w:cs="Arial"/>
          <w:b/>
          <w:bCs/>
          <w:lang w:eastAsia="en-US"/>
        </w:rPr>
        <w:t>5</w:t>
      </w:r>
      <w:r w:rsidR="00B70455">
        <w:rPr>
          <w:rFonts w:ascii="Arial" w:eastAsia="Calibri" w:hAnsi="Arial" w:cs="Arial"/>
          <w:b/>
          <w:bCs/>
          <w:lang w:eastAsia="en-US"/>
        </w:rPr>
        <w:t>-TE</w:t>
      </w:r>
    </w:p>
    <w:p w14:paraId="06465720" w14:textId="77777777" w:rsidR="00AC4ADF" w:rsidRDefault="00AC4ADF" w:rsidP="0093645F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</w:p>
    <w:p w14:paraId="0C084EB1" w14:textId="77777777" w:rsidR="003926A1" w:rsidRDefault="003926A1" w:rsidP="0093645F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</w:p>
    <w:p w14:paraId="35BF8BBB" w14:textId="77777777" w:rsidR="0093645F" w:rsidRDefault="0093645F" w:rsidP="00AC4ADF">
      <w:pPr>
        <w:autoSpaceDE w:val="0"/>
        <w:autoSpaceDN w:val="0"/>
        <w:adjustRightInd w:val="0"/>
        <w:spacing w:before="240" w:after="120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t xml:space="preserve">Článek </w:t>
      </w:r>
      <w:r w:rsidR="00AC4ADF">
        <w:rPr>
          <w:rFonts w:ascii="Arial" w:eastAsia="Calibri" w:hAnsi="Arial" w:cs="Arial"/>
          <w:b/>
          <w:bCs/>
          <w:lang w:eastAsia="en-US"/>
        </w:rPr>
        <w:t>I.</w:t>
      </w:r>
    </w:p>
    <w:p w14:paraId="5C010506" w14:textId="77777777" w:rsidR="00AC4ADF" w:rsidRPr="005E61E7" w:rsidRDefault="00AC4ADF" w:rsidP="00AC4ADF">
      <w:pPr>
        <w:autoSpaceDE w:val="0"/>
        <w:autoSpaceDN w:val="0"/>
        <w:adjustRightInd w:val="0"/>
        <w:spacing w:before="240" w:after="120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Smluvní strany</w:t>
      </w:r>
    </w:p>
    <w:p w14:paraId="3304533D" w14:textId="77777777" w:rsidR="00972800" w:rsidRPr="005E61E7" w:rsidRDefault="00972800" w:rsidP="009113A9">
      <w:pPr>
        <w:autoSpaceDE w:val="0"/>
        <w:autoSpaceDN w:val="0"/>
        <w:adjustRightInd w:val="0"/>
        <w:spacing w:before="240" w:after="120"/>
        <w:rPr>
          <w:rFonts w:ascii="Arial" w:eastAsia="Calibri" w:hAnsi="Arial" w:cs="Arial"/>
          <w:b/>
          <w:bCs/>
          <w:lang w:eastAsia="en-US"/>
        </w:rPr>
      </w:pPr>
    </w:p>
    <w:p w14:paraId="47FA174A" w14:textId="64B4A447" w:rsidR="0093645F" w:rsidRPr="00294616" w:rsidRDefault="0093645F" w:rsidP="0093645F">
      <w:pPr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 xml:space="preserve">1. </w:t>
      </w:r>
      <w:r w:rsidR="00AC4ADF" w:rsidRPr="00294616">
        <w:rPr>
          <w:rFonts w:ascii="Arial" w:hAnsi="Arial" w:cs="Arial"/>
          <w:sz w:val="22"/>
          <w:szCs w:val="22"/>
        </w:rPr>
        <w:t>Dodavatel</w:t>
      </w:r>
      <w:r w:rsidRPr="00294616">
        <w:rPr>
          <w:rFonts w:ascii="Arial" w:hAnsi="Arial" w:cs="Arial"/>
          <w:sz w:val="22"/>
          <w:szCs w:val="22"/>
        </w:rPr>
        <w:t>:</w:t>
      </w:r>
      <w:r w:rsidR="009E2FE5">
        <w:rPr>
          <w:rFonts w:ascii="Arial" w:hAnsi="Arial" w:cs="Arial"/>
          <w:sz w:val="22"/>
          <w:szCs w:val="22"/>
        </w:rPr>
        <w:tab/>
      </w:r>
      <w:r w:rsidR="009E2FE5">
        <w:rPr>
          <w:rFonts w:ascii="Arial" w:hAnsi="Arial" w:cs="Arial"/>
          <w:sz w:val="22"/>
          <w:szCs w:val="22"/>
        </w:rPr>
        <w:tab/>
      </w:r>
      <w:r w:rsidR="009E2FE5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b/>
          <w:sz w:val="22"/>
          <w:szCs w:val="22"/>
        </w:rPr>
        <w:t>Energetické centrum s.r.o.</w:t>
      </w:r>
      <w:r w:rsidRPr="00294616">
        <w:rPr>
          <w:rFonts w:ascii="Arial" w:hAnsi="Arial" w:cs="Arial"/>
          <w:sz w:val="22"/>
          <w:szCs w:val="22"/>
        </w:rPr>
        <w:t xml:space="preserve"> </w:t>
      </w:r>
    </w:p>
    <w:p w14:paraId="605C3A56" w14:textId="29812A04" w:rsidR="0093645F" w:rsidRPr="00294616" w:rsidRDefault="0093645F" w:rsidP="0093645F">
      <w:pPr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>se sídlem:</w:t>
      </w:r>
      <w:r w:rsidR="009E2FE5">
        <w:rPr>
          <w:rFonts w:ascii="Arial" w:hAnsi="Arial" w:cs="Arial"/>
          <w:sz w:val="22"/>
          <w:szCs w:val="22"/>
        </w:rPr>
        <w:tab/>
      </w:r>
      <w:r w:rsidR="009E2FE5">
        <w:rPr>
          <w:rFonts w:ascii="Arial" w:hAnsi="Arial" w:cs="Arial"/>
          <w:sz w:val="22"/>
          <w:szCs w:val="22"/>
        </w:rPr>
        <w:tab/>
      </w:r>
      <w:r w:rsidR="009E2FE5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sz w:val="22"/>
          <w:szCs w:val="22"/>
        </w:rPr>
        <w:t xml:space="preserve">Otín 3, </w:t>
      </w:r>
      <w:r w:rsidR="00F35DDE" w:rsidRPr="00294616">
        <w:rPr>
          <w:rFonts w:ascii="Arial" w:hAnsi="Arial" w:cs="Arial"/>
          <w:sz w:val="22"/>
          <w:szCs w:val="22"/>
        </w:rPr>
        <w:t xml:space="preserve">377 01 </w:t>
      </w:r>
      <w:r w:rsidRPr="00294616">
        <w:rPr>
          <w:rFonts w:ascii="Arial" w:hAnsi="Arial" w:cs="Arial"/>
          <w:sz w:val="22"/>
          <w:szCs w:val="22"/>
        </w:rPr>
        <w:t>Jindřichův Hradec</w:t>
      </w:r>
    </w:p>
    <w:p w14:paraId="4D36E7E2" w14:textId="53F11459" w:rsidR="0093645F" w:rsidRPr="00294616" w:rsidRDefault="0093645F" w:rsidP="0093645F">
      <w:pPr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>zastoupen</w:t>
      </w:r>
      <w:r w:rsidR="00AC4ADF" w:rsidRPr="00294616">
        <w:rPr>
          <w:rFonts w:ascii="Arial" w:hAnsi="Arial" w:cs="Arial"/>
          <w:sz w:val="22"/>
          <w:szCs w:val="22"/>
        </w:rPr>
        <w:t>ý</w:t>
      </w:r>
      <w:r w:rsidRPr="00294616">
        <w:rPr>
          <w:rFonts w:ascii="Arial" w:hAnsi="Arial" w:cs="Arial"/>
          <w:sz w:val="22"/>
          <w:szCs w:val="22"/>
        </w:rPr>
        <w:t xml:space="preserve"> jednateli:</w:t>
      </w:r>
      <w:r w:rsidR="009E2FE5">
        <w:rPr>
          <w:rFonts w:ascii="Arial" w:hAnsi="Arial" w:cs="Arial"/>
          <w:sz w:val="22"/>
          <w:szCs w:val="22"/>
        </w:rPr>
        <w:tab/>
      </w:r>
      <w:r w:rsidR="009E2FE5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sz w:val="22"/>
          <w:szCs w:val="22"/>
        </w:rPr>
        <w:t xml:space="preserve"> </w:t>
      </w:r>
    </w:p>
    <w:p w14:paraId="4E6A9F7E" w14:textId="48897F77" w:rsidR="0093645F" w:rsidRPr="00294616" w:rsidRDefault="0093645F" w:rsidP="0093645F">
      <w:pPr>
        <w:tabs>
          <w:tab w:val="left" w:pos="426"/>
          <w:tab w:val="left" w:pos="1560"/>
        </w:tabs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>registrovan</w:t>
      </w:r>
      <w:r w:rsidR="00AC4ADF" w:rsidRPr="00294616">
        <w:rPr>
          <w:rFonts w:ascii="Arial" w:hAnsi="Arial" w:cs="Arial"/>
          <w:sz w:val="22"/>
          <w:szCs w:val="22"/>
        </w:rPr>
        <w:t>ý</w:t>
      </w:r>
      <w:r w:rsidRPr="00294616">
        <w:rPr>
          <w:rFonts w:ascii="Arial" w:hAnsi="Arial" w:cs="Arial"/>
          <w:sz w:val="22"/>
          <w:szCs w:val="22"/>
        </w:rPr>
        <w:t xml:space="preserve"> u</w:t>
      </w:r>
      <w:r w:rsidR="00593845" w:rsidRPr="00294616">
        <w:rPr>
          <w:rFonts w:ascii="Arial" w:hAnsi="Arial" w:cs="Arial"/>
          <w:sz w:val="22"/>
          <w:szCs w:val="22"/>
        </w:rPr>
        <w:t>:</w:t>
      </w:r>
      <w:r w:rsidR="009E2FE5">
        <w:rPr>
          <w:rFonts w:ascii="Arial" w:hAnsi="Arial" w:cs="Arial"/>
          <w:sz w:val="22"/>
          <w:szCs w:val="22"/>
        </w:rPr>
        <w:tab/>
      </w:r>
      <w:r w:rsidR="009E2FE5">
        <w:rPr>
          <w:rFonts w:ascii="Arial" w:hAnsi="Arial" w:cs="Arial"/>
          <w:sz w:val="22"/>
          <w:szCs w:val="22"/>
        </w:rPr>
        <w:tab/>
      </w:r>
      <w:r w:rsidR="009E2FE5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sz w:val="22"/>
          <w:szCs w:val="22"/>
        </w:rPr>
        <w:t xml:space="preserve">Krajského soudu v Českých Budějovicích   </w:t>
      </w:r>
    </w:p>
    <w:p w14:paraId="6B758F2B" w14:textId="6EA72E44" w:rsidR="0093645F" w:rsidRPr="00294616" w:rsidRDefault="0093645F" w:rsidP="0093645F">
      <w:pPr>
        <w:tabs>
          <w:tab w:val="left" w:pos="426"/>
          <w:tab w:val="left" w:pos="1560"/>
        </w:tabs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 xml:space="preserve">pod </w:t>
      </w:r>
      <w:r w:rsidR="0050741F" w:rsidRPr="00294616">
        <w:rPr>
          <w:rFonts w:ascii="Arial" w:hAnsi="Arial" w:cs="Arial"/>
          <w:sz w:val="22"/>
          <w:szCs w:val="22"/>
        </w:rPr>
        <w:t xml:space="preserve">spisovou značkou:   </w:t>
      </w:r>
      <w:r w:rsidR="0050741F" w:rsidRPr="00294616">
        <w:rPr>
          <w:rFonts w:ascii="Arial" w:hAnsi="Arial" w:cs="Arial"/>
          <w:sz w:val="22"/>
          <w:szCs w:val="22"/>
        </w:rPr>
        <w:tab/>
        <w:t xml:space="preserve">C </w:t>
      </w:r>
      <w:r w:rsidRPr="00294616">
        <w:rPr>
          <w:rFonts w:ascii="Arial" w:hAnsi="Arial" w:cs="Arial"/>
          <w:sz w:val="22"/>
          <w:szCs w:val="22"/>
        </w:rPr>
        <w:t>11 252</w:t>
      </w:r>
    </w:p>
    <w:p w14:paraId="18026221" w14:textId="77777777" w:rsidR="0093645F" w:rsidRPr="00294616" w:rsidRDefault="0093645F" w:rsidP="0093645F">
      <w:pPr>
        <w:rPr>
          <w:rFonts w:ascii="Arial" w:hAnsi="Arial" w:cs="Arial"/>
          <w:sz w:val="22"/>
          <w:szCs w:val="22"/>
        </w:rPr>
      </w:pPr>
    </w:p>
    <w:p w14:paraId="2E7B490E" w14:textId="77777777" w:rsidR="0093645F" w:rsidRPr="00294616" w:rsidRDefault="0093645F" w:rsidP="0093645F">
      <w:pPr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>držitel licence k podnikání, ve smyslu zákona č. 458/2000 Sb., energetický záko</w:t>
      </w:r>
      <w:r w:rsidR="00AF4332" w:rsidRPr="00294616">
        <w:rPr>
          <w:rFonts w:ascii="Arial" w:hAnsi="Arial" w:cs="Arial"/>
          <w:sz w:val="22"/>
          <w:szCs w:val="22"/>
        </w:rPr>
        <w:t>n, skupiny: výroba a distribuce tepelné energie</w:t>
      </w:r>
    </w:p>
    <w:p w14:paraId="22722E50" w14:textId="77777777" w:rsidR="002E42AE" w:rsidRPr="00294616" w:rsidRDefault="002E42AE" w:rsidP="0093645F">
      <w:pPr>
        <w:rPr>
          <w:rFonts w:ascii="Arial" w:hAnsi="Arial" w:cs="Arial"/>
          <w:sz w:val="22"/>
          <w:szCs w:val="22"/>
        </w:rPr>
      </w:pPr>
    </w:p>
    <w:p w14:paraId="11678AE2" w14:textId="77777777" w:rsidR="0093645F" w:rsidRPr="00294616" w:rsidRDefault="0093645F" w:rsidP="0093645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 xml:space="preserve">IČO:       </w:t>
      </w:r>
      <w:r w:rsidRPr="00294616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sz w:val="22"/>
          <w:szCs w:val="22"/>
        </w:rPr>
        <w:tab/>
        <w:t>26051818</w:t>
      </w:r>
    </w:p>
    <w:p w14:paraId="4C47AF15" w14:textId="77777777" w:rsidR="0093645F" w:rsidRPr="00294616" w:rsidRDefault="0093645F" w:rsidP="0093645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 xml:space="preserve">DIČ: </w:t>
      </w:r>
      <w:r w:rsidRPr="00294616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sz w:val="22"/>
          <w:szCs w:val="22"/>
        </w:rPr>
        <w:tab/>
      </w:r>
      <w:r w:rsidR="0050741F" w:rsidRPr="00294616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sz w:val="22"/>
          <w:szCs w:val="22"/>
        </w:rPr>
        <w:t>CZ 26051818</w:t>
      </w:r>
    </w:p>
    <w:p w14:paraId="75148E32" w14:textId="506F715D" w:rsidR="00303122" w:rsidRPr="00294616" w:rsidRDefault="0093645F" w:rsidP="0097280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 xml:space="preserve">Bankovní spojení: </w:t>
      </w:r>
      <w:r w:rsidRPr="00294616">
        <w:rPr>
          <w:rFonts w:ascii="Arial" w:hAnsi="Arial" w:cs="Arial"/>
          <w:sz w:val="22"/>
          <w:szCs w:val="22"/>
        </w:rPr>
        <w:tab/>
      </w:r>
      <w:r w:rsidR="0050741F" w:rsidRPr="00294616">
        <w:rPr>
          <w:rFonts w:ascii="Arial" w:hAnsi="Arial" w:cs="Arial"/>
          <w:sz w:val="22"/>
          <w:szCs w:val="22"/>
        </w:rPr>
        <w:tab/>
      </w:r>
    </w:p>
    <w:p w14:paraId="309FFEA3" w14:textId="114C3C28" w:rsidR="00303122" w:rsidRPr="00294616" w:rsidRDefault="00303122" w:rsidP="0097280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>Telefonní spojení:</w:t>
      </w:r>
      <w:r w:rsidRPr="00294616">
        <w:rPr>
          <w:rFonts w:ascii="Arial" w:hAnsi="Arial" w:cs="Arial"/>
          <w:sz w:val="22"/>
          <w:szCs w:val="22"/>
        </w:rPr>
        <w:tab/>
      </w:r>
    </w:p>
    <w:p w14:paraId="04F89167" w14:textId="34AC7E88" w:rsidR="00303122" w:rsidRPr="009E2FE5" w:rsidRDefault="00303122" w:rsidP="0097280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>E-mail:</w:t>
      </w:r>
      <w:r w:rsidRPr="00294616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sz w:val="22"/>
          <w:szCs w:val="22"/>
        </w:rPr>
        <w:tab/>
      </w:r>
      <w:r w:rsidRPr="00294616">
        <w:rPr>
          <w:rFonts w:ascii="Arial" w:hAnsi="Arial" w:cs="Arial"/>
          <w:sz w:val="22"/>
          <w:szCs w:val="22"/>
        </w:rPr>
        <w:tab/>
      </w:r>
      <w:r w:rsidR="00C44A7C">
        <w:rPr>
          <w:rFonts w:ascii="Arial" w:hAnsi="Arial" w:cs="Arial"/>
          <w:sz w:val="22"/>
          <w:szCs w:val="22"/>
        </w:rPr>
        <w:tab/>
      </w:r>
    </w:p>
    <w:p w14:paraId="4EEEDC42" w14:textId="77777777" w:rsidR="00303122" w:rsidRPr="00294616" w:rsidRDefault="00303122" w:rsidP="00972800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C84A086" w14:textId="5DF715C8" w:rsidR="00303122" w:rsidRPr="00294616" w:rsidRDefault="00883650" w:rsidP="0097280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>z</w:t>
      </w:r>
      <w:r w:rsidR="00303122" w:rsidRPr="00294616">
        <w:rPr>
          <w:rFonts w:ascii="Arial" w:hAnsi="Arial" w:cs="Arial"/>
          <w:sz w:val="22"/>
          <w:szCs w:val="22"/>
        </w:rPr>
        <w:t>aměstnanci pově</w:t>
      </w:r>
      <w:r w:rsidRPr="00294616">
        <w:rPr>
          <w:rFonts w:ascii="Arial" w:hAnsi="Arial" w:cs="Arial"/>
          <w:sz w:val="22"/>
          <w:szCs w:val="22"/>
        </w:rPr>
        <w:t>řeni činností</w:t>
      </w:r>
    </w:p>
    <w:p w14:paraId="470F18A2" w14:textId="1BB5DBAE" w:rsidR="00883650" w:rsidRPr="00294616" w:rsidRDefault="00883650" w:rsidP="0097280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4616">
        <w:rPr>
          <w:rFonts w:ascii="Arial" w:hAnsi="Arial" w:cs="Arial"/>
          <w:sz w:val="22"/>
          <w:szCs w:val="22"/>
        </w:rPr>
        <w:t>ve věcech obchodních:</w:t>
      </w:r>
      <w:r w:rsidRPr="00294616">
        <w:rPr>
          <w:rFonts w:ascii="Arial" w:hAnsi="Arial" w:cs="Arial"/>
          <w:sz w:val="22"/>
          <w:szCs w:val="22"/>
        </w:rPr>
        <w:tab/>
      </w:r>
    </w:p>
    <w:p w14:paraId="2930E488" w14:textId="587F037E" w:rsidR="006D5259" w:rsidRPr="00294616" w:rsidRDefault="00883650" w:rsidP="00972800">
      <w:pPr>
        <w:tabs>
          <w:tab w:val="left" w:pos="42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hAnsi="Arial" w:cs="Arial"/>
          <w:sz w:val="22"/>
          <w:szCs w:val="22"/>
        </w:rPr>
        <w:t>ve věcech technických:</w:t>
      </w:r>
      <w:r w:rsidRPr="00294616">
        <w:rPr>
          <w:rFonts w:ascii="Arial" w:hAnsi="Arial" w:cs="Arial"/>
          <w:sz w:val="22"/>
          <w:szCs w:val="22"/>
        </w:rPr>
        <w:tab/>
      </w:r>
    </w:p>
    <w:p w14:paraId="53BBFB8A" w14:textId="77777777" w:rsidR="006D5259" w:rsidRPr="00294616" w:rsidRDefault="006D5259" w:rsidP="00972800">
      <w:pPr>
        <w:tabs>
          <w:tab w:val="left" w:pos="42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ADB792" w14:textId="77777777" w:rsidR="00883650" w:rsidRPr="00294616" w:rsidRDefault="003926A1" w:rsidP="0097280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dále jen „dodavatel“</w:t>
      </w:r>
    </w:p>
    <w:p w14:paraId="3C683F18" w14:textId="77777777" w:rsidR="003926A1" w:rsidRDefault="003926A1" w:rsidP="00883650">
      <w:pPr>
        <w:tabs>
          <w:tab w:val="left" w:pos="426"/>
        </w:tabs>
        <w:rPr>
          <w:rFonts w:ascii="Arial" w:eastAsia="Calibri" w:hAnsi="Arial" w:cs="Arial"/>
          <w:b/>
          <w:bCs/>
          <w:lang w:eastAsia="en-US"/>
        </w:rPr>
      </w:pPr>
    </w:p>
    <w:p w14:paraId="54F86DB7" w14:textId="77777777" w:rsidR="003926A1" w:rsidRDefault="003926A1" w:rsidP="00883650">
      <w:pPr>
        <w:tabs>
          <w:tab w:val="left" w:pos="426"/>
        </w:tabs>
        <w:rPr>
          <w:rFonts w:ascii="Arial" w:eastAsia="Calibri" w:hAnsi="Arial" w:cs="Arial"/>
          <w:b/>
          <w:bCs/>
          <w:lang w:eastAsia="en-US"/>
        </w:rPr>
      </w:pPr>
      <w:bookmarkStart w:id="0" w:name="_Hlk187664920"/>
    </w:p>
    <w:p w14:paraId="5AF3F39A" w14:textId="3E49AFF5" w:rsidR="00275C7C" w:rsidRPr="00A8294A" w:rsidRDefault="00275C7C" w:rsidP="00275C7C">
      <w:pPr>
        <w:tabs>
          <w:tab w:val="left" w:pos="426"/>
        </w:tabs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8294A">
        <w:rPr>
          <w:rFonts w:ascii="Arial" w:eastAsia="Calibri" w:hAnsi="Arial" w:cs="Arial"/>
          <w:sz w:val="22"/>
          <w:szCs w:val="22"/>
          <w:lang w:eastAsia="en-US"/>
        </w:rPr>
        <w:t xml:space="preserve">2. Odběratel: </w:t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="0024007D"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="0024007D"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="00264E31" w:rsidRPr="00A8294A">
        <w:rPr>
          <w:rFonts w:ascii="Arial" w:eastAsia="Calibri" w:hAnsi="Arial" w:cs="Arial"/>
          <w:b/>
          <w:bCs/>
          <w:sz w:val="22"/>
          <w:szCs w:val="22"/>
          <w:lang w:eastAsia="en-US"/>
        </w:rPr>
        <w:t>Domov</w:t>
      </w:r>
      <w:r w:rsidR="00D578BE" w:rsidRPr="00A8294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ED355F" w:rsidRPr="00A8294A">
        <w:rPr>
          <w:rFonts w:ascii="Arial" w:eastAsia="Calibri" w:hAnsi="Arial" w:cs="Arial"/>
          <w:b/>
          <w:bCs/>
          <w:sz w:val="22"/>
          <w:szCs w:val="22"/>
          <w:lang w:eastAsia="en-US"/>
        </w:rPr>
        <w:t>pro seniory Jindřichův Hradec p.o</w:t>
      </w:r>
      <w:r w:rsidR="005960BD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</w:p>
    <w:p w14:paraId="0D120CB8" w14:textId="2B2B6201" w:rsidR="0024007D" w:rsidRPr="00A8294A" w:rsidRDefault="00275C7C" w:rsidP="00275C7C">
      <w:pPr>
        <w:tabs>
          <w:tab w:val="left" w:pos="426"/>
        </w:tabs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8294A">
        <w:rPr>
          <w:rFonts w:ascii="Arial" w:eastAsia="Calibri" w:hAnsi="Arial" w:cs="Arial"/>
          <w:sz w:val="22"/>
          <w:szCs w:val="22"/>
          <w:lang w:eastAsia="en-US"/>
        </w:rPr>
        <w:t>se sídlem:</w:t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</w:t>
      </w:r>
      <w:r w:rsidR="0024007D"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4007D"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="00264E31" w:rsidRPr="00A8294A">
        <w:rPr>
          <w:rFonts w:ascii="Arial" w:eastAsia="Calibri" w:hAnsi="Arial" w:cs="Arial"/>
          <w:sz w:val="22"/>
          <w:szCs w:val="22"/>
          <w:lang w:eastAsia="en-US"/>
        </w:rPr>
        <w:t>Otín čp. 90, 377 01 Jindřichův Hradec</w:t>
      </w:r>
      <w:r w:rsidR="0024007D" w:rsidRPr="00A829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346040BC" w14:textId="6F47E58D" w:rsidR="00ED355F" w:rsidRPr="00A8294A" w:rsidRDefault="00ED355F" w:rsidP="00275C7C">
      <w:pPr>
        <w:tabs>
          <w:tab w:val="left" w:pos="42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A8294A">
        <w:rPr>
          <w:rFonts w:ascii="Arial" w:eastAsia="Calibri" w:hAnsi="Arial" w:cs="Arial"/>
          <w:sz w:val="22"/>
          <w:szCs w:val="22"/>
          <w:lang w:eastAsia="en-US"/>
        </w:rPr>
        <w:t xml:space="preserve">odběrné místo:                       </w:t>
      </w:r>
      <w:r w:rsidRPr="00A8294A">
        <w:rPr>
          <w:rFonts w:ascii="Arial" w:eastAsia="Calibri" w:hAnsi="Arial" w:cs="Arial"/>
          <w:b/>
          <w:bCs/>
          <w:sz w:val="22"/>
          <w:szCs w:val="22"/>
          <w:lang w:eastAsia="en-US"/>
        </w:rPr>
        <w:t>Domov seniorů Bobelovka,</w:t>
      </w:r>
      <w:r w:rsidR="009E2FE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8294A">
        <w:rPr>
          <w:rFonts w:ascii="Arial" w:eastAsia="Calibri" w:hAnsi="Arial" w:cs="Arial"/>
          <w:b/>
          <w:bCs/>
          <w:sz w:val="22"/>
          <w:szCs w:val="22"/>
          <w:lang w:eastAsia="en-US"/>
        </w:rPr>
        <w:t>Otín 90</w:t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CF2FB53" w14:textId="6B18E042" w:rsidR="00275C7C" w:rsidRPr="00A8294A" w:rsidRDefault="00275C7C" w:rsidP="00275C7C">
      <w:pPr>
        <w:tabs>
          <w:tab w:val="left" w:pos="426"/>
        </w:tabs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8294A">
        <w:rPr>
          <w:rFonts w:ascii="Arial" w:eastAsia="Calibri" w:hAnsi="Arial" w:cs="Arial"/>
          <w:sz w:val="22"/>
          <w:szCs w:val="22"/>
          <w:lang w:eastAsia="en-US"/>
        </w:rPr>
        <w:t>zastoupený:</w:t>
      </w:r>
      <w:r w:rsidR="0024007D"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="0024007D"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="0024007D"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="00264E31" w:rsidRPr="00A8294A">
        <w:rPr>
          <w:rFonts w:ascii="Arial" w:hAnsi="Arial" w:cs="Arial"/>
          <w:color w:val="333333"/>
          <w:sz w:val="22"/>
          <w:szCs w:val="22"/>
          <w:shd w:val="clear" w:color="auto" w:fill="FFFFFF"/>
        </w:rPr>
        <w:t>Mgr. Bc. Radka Stejskalová</w:t>
      </w:r>
    </w:p>
    <w:p w14:paraId="42A12AC5" w14:textId="3AA8DE29" w:rsidR="0024007D" w:rsidRPr="00A8294A" w:rsidRDefault="0024007D" w:rsidP="00275C7C">
      <w:pPr>
        <w:tabs>
          <w:tab w:val="left" w:pos="42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A8294A">
        <w:rPr>
          <w:rFonts w:ascii="Arial" w:hAnsi="Arial" w:cs="Arial"/>
          <w:color w:val="333333"/>
          <w:sz w:val="22"/>
          <w:szCs w:val="22"/>
          <w:shd w:val="clear" w:color="auto" w:fill="FFFFFF"/>
        </w:rPr>
        <w:t>registrovaný u:</w:t>
      </w:r>
      <w:r w:rsidRPr="00A8294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A8294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264E31" w:rsidRPr="00A8294A">
        <w:rPr>
          <w:rFonts w:ascii="Arial" w:hAnsi="Arial" w:cs="Arial"/>
          <w:color w:val="333333"/>
          <w:sz w:val="22"/>
          <w:szCs w:val="22"/>
          <w:shd w:val="clear" w:color="auto" w:fill="FFFFFF"/>
        </w:rPr>
        <w:t>Krajského soudu v Českých Budějovicích</w:t>
      </w:r>
      <w:bookmarkEnd w:id="0"/>
    </w:p>
    <w:p w14:paraId="3BA9BF7F" w14:textId="77777777" w:rsidR="0024007D" w:rsidRPr="00A8294A" w:rsidRDefault="0024007D" w:rsidP="0024007D">
      <w:pPr>
        <w:tabs>
          <w:tab w:val="left" w:pos="42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6182101" w14:textId="3C7FEE89" w:rsidR="0024007D" w:rsidRPr="00A8294A" w:rsidRDefault="0024007D" w:rsidP="0024007D">
      <w:pPr>
        <w:tabs>
          <w:tab w:val="left" w:pos="42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A8294A">
        <w:rPr>
          <w:rFonts w:ascii="Arial" w:eastAsia="Calibri" w:hAnsi="Arial" w:cs="Arial"/>
          <w:sz w:val="22"/>
          <w:szCs w:val="22"/>
          <w:lang w:eastAsia="en-US"/>
        </w:rPr>
        <w:t>IČO:</w:t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="00264E31" w:rsidRPr="00A8294A">
        <w:rPr>
          <w:rFonts w:ascii="Arial" w:eastAsia="Calibri" w:hAnsi="Arial" w:cs="Arial"/>
          <w:sz w:val="22"/>
          <w:szCs w:val="22"/>
          <w:lang w:eastAsia="en-US"/>
        </w:rPr>
        <w:t>22032631</w:t>
      </w:r>
    </w:p>
    <w:p w14:paraId="0BFF3D99" w14:textId="4F61130B" w:rsidR="00D56C69" w:rsidRPr="00A8294A" w:rsidRDefault="0024007D" w:rsidP="00D56C6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A8294A">
        <w:rPr>
          <w:rFonts w:ascii="Arial" w:eastAsia="Calibri" w:hAnsi="Arial" w:cs="Arial"/>
          <w:sz w:val="22"/>
          <w:szCs w:val="22"/>
          <w:lang w:eastAsia="en-US"/>
        </w:rPr>
        <w:t>DIČ:</w:t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="00264E31" w:rsidRPr="00A8294A">
        <w:rPr>
          <w:rFonts w:ascii="Arial" w:eastAsia="Calibri" w:hAnsi="Arial" w:cs="Arial"/>
          <w:sz w:val="22"/>
          <w:szCs w:val="22"/>
          <w:lang w:eastAsia="en-US"/>
        </w:rPr>
        <w:t>není plátce DPH</w:t>
      </w:r>
    </w:p>
    <w:p w14:paraId="5E509B06" w14:textId="79CCA598" w:rsidR="0024007D" w:rsidRPr="0024007D" w:rsidRDefault="0024007D" w:rsidP="0024007D">
      <w:pPr>
        <w:rPr>
          <w:rFonts w:ascii="Arial" w:eastAsia="Calibri" w:hAnsi="Arial" w:cs="Arial"/>
          <w:sz w:val="22"/>
          <w:szCs w:val="22"/>
          <w:lang w:eastAsia="en-US"/>
        </w:rPr>
      </w:pPr>
      <w:r w:rsidRPr="00A8294A">
        <w:rPr>
          <w:rFonts w:ascii="Arial" w:eastAsia="Calibri" w:hAnsi="Arial" w:cs="Arial"/>
          <w:sz w:val="22"/>
          <w:szCs w:val="22"/>
          <w:lang w:eastAsia="en-US"/>
        </w:rPr>
        <w:t>telefonní spojení:</w:t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</w:r>
      <w:r w:rsidRPr="00A8294A">
        <w:rPr>
          <w:rFonts w:ascii="Arial" w:eastAsia="Calibri" w:hAnsi="Arial" w:cs="Arial"/>
          <w:sz w:val="22"/>
          <w:szCs w:val="22"/>
          <w:lang w:eastAsia="en-US"/>
        </w:rPr>
        <w:tab/>
        <w:t>+420</w:t>
      </w:r>
      <w:r w:rsidR="00957F36" w:rsidRPr="00A8294A">
        <w:rPr>
          <w:rFonts w:ascii="Arial" w:eastAsia="Calibri" w:hAnsi="Arial" w:cs="Arial"/>
          <w:sz w:val="22"/>
          <w:szCs w:val="22"/>
          <w:lang w:eastAsia="en-US"/>
        </w:rPr>
        <w:t> 723 538 855</w:t>
      </w:r>
      <w:r w:rsidR="00957F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4007D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</w:p>
    <w:p w14:paraId="06B86390" w14:textId="77777777" w:rsidR="0024007D" w:rsidRDefault="0024007D" w:rsidP="00D56C6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E0541E9" w14:textId="77777777" w:rsidR="002E42AE" w:rsidRPr="0024007D" w:rsidRDefault="002E42AE" w:rsidP="002E42AE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24007D">
        <w:rPr>
          <w:rFonts w:ascii="Arial" w:eastAsia="Calibri" w:hAnsi="Arial" w:cs="Arial"/>
          <w:sz w:val="22"/>
          <w:szCs w:val="22"/>
          <w:lang w:eastAsia="en-US"/>
        </w:rPr>
        <w:t xml:space="preserve">dále jen </w:t>
      </w:r>
      <w:r w:rsidR="003926A1" w:rsidRPr="0024007D">
        <w:rPr>
          <w:rFonts w:ascii="Arial" w:eastAsia="Calibri" w:hAnsi="Arial" w:cs="Arial"/>
          <w:sz w:val="22"/>
          <w:szCs w:val="22"/>
          <w:lang w:eastAsia="en-US"/>
        </w:rPr>
        <w:t>„</w:t>
      </w:r>
      <w:r w:rsidRPr="0024007D">
        <w:rPr>
          <w:rFonts w:ascii="Arial" w:eastAsia="Calibri" w:hAnsi="Arial" w:cs="Arial"/>
          <w:sz w:val="22"/>
          <w:szCs w:val="22"/>
          <w:lang w:eastAsia="en-US"/>
        </w:rPr>
        <w:t>odběratel</w:t>
      </w:r>
      <w:r w:rsidR="003926A1" w:rsidRPr="0024007D">
        <w:rPr>
          <w:rFonts w:ascii="Arial" w:eastAsia="Calibri" w:hAnsi="Arial" w:cs="Arial"/>
          <w:sz w:val="22"/>
          <w:szCs w:val="22"/>
          <w:lang w:eastAsia="en-US"/>
        </w:rPr>
        <w:t>“</w:t>
      </w:r>
    </w:p>
    <w:p w14:paraId="6A9CB7B0" w14:textId="3DD4663F" w:rsidR="003370D2" w:rsidRDefault="0093645F" w:rsidP="00B436C2">
      <w:pPr>
        <w:autoSpaceDE w:val="0"/>
        <w:autoSpaceDN w:val="0"/>
        <w:adjustRightInd w:val="0"/>
        <w:ind w:firstLine="57"/>
        <w:jc w:val="center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lastRenderedPageBreak/>
        <w:t xml:space="preserve">Článek </w:t>
      </w:r>
      <w:r w:rsidR="003370D2">
        <w:rPr>
          <w:rFonts w:ascii="Arial" w:eastAsia="Calibri" w:hAnsi="Arial" w:cs="Arial"/>
          <w:b/>
          <w:bCs/>
          <w:lang w:eastAsia="en-US"/>
        </w:rPr>
        <w:t>II.</w:t>
      </w:r>
    </w:p>
    <w:p w14:paraId="193FC710" w14:textId="77777777" w:rsidR="00621BC1" w:rsidRPr="005E61E7" w:rsidRDefault="00B436C2" w:rsidP="00B436C2">
      <w:pPr>
        <w:autoSpaceDE w:val="0"/>
        <w:autoSpaceDN w:val="0"/>
        <w:adjustRightInd w:val="0"/>
        <w:ind w:firstLine="57"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="0093645F" w:rsidRPr="005E61E7">
        <w:rPr>
          <w:rFonts w:ascii="Arial" w:eastAsia="Calibri" w:hAnsi="Arial" w:cs="Arial"/>
          <w:b/>
          <w:bCs/>
          <w:lang w:eastAsia="en-US"/>
        </w:rPr>
        <w:t>Předmět smlouvy</w:t>
      </w:r>
    </w:p>
    <w:p w14:paraId="3EC46869" w14:textId="77777777" w:rsidR="00621BC1" w:rsidRPr="00294616" w:rsidRDefault="0093645F" w:rsidP="00B436C2">
      <w:pPr>
        <w:autoSpaceDE w:val="0"/>
        <w:autoSpaceDN w:val="0"/>
        <w:adjustRightInd w:val="0"/>
        <w:spacing w:before="240" w:after="100" w:afterAutospacing="1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Předmětem této smlouvy je závazek dodavatele dodávat tepeln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>ou energii</w:t>
      </w:r>
      <w:r w:rsidR="006D3372" w:rsidRPr="00294616">
        <w:rPr>
          <w:rFonts w:ascii="Arial" w:eastAsia="Calibri" w:hAnsi="Arial" w:cs="Arial"/>
          <w:sz w:val="22"/>
          <w:szCs w:val="22"/>
          <w:lang w:eastAsia="en-US"/>
        </w:rPr>
        <w:t xml:space="preserve"> pro vytápění a ohřev vody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ze svého zařízení do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odběrného místa odběratele v souladu s touto smlouvou</w:t>
      </w:r>
      <w:r w:rsidR="00BE6C3F" w:rsidRPr="00294616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a závazek odběratele</w:t>
      </w:r>
      <w:r w:rsidR="001A4086" w:rsidRPr="00294616">
        <w:rPr>
          <w:rFonts w:ascii="Arial" w:eastAsia="Calibri" w:hAnsi="Arial" w:cs="Arial"/>
          <w:sz w:val="22"/>
          <w:szCs w:val="22"/>
          <w:lang w:eastAsia="en-US"/>
        </w:rPr>
        <w:t xml:space="preserve"> odebírat a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zaplatit za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dodanou a odebranou tepelnou energii cenu za podmínek uvedených v této smlouvě.</w:t>
      </w:r>
    </w:p>
    <w:p w14:paraId="1268ACF7" w14:textId="77777777" w:rsidR="003370D2" w:rsidRDefault="0093645F" w:rsidP="003370D2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t xml:space="preserve">Článek </w:t>
      </w:r>
      <w:r w:rsidR="003370D2">
        <w:rPr>
          <w:rFonts w:ascii="Arial" w:eastAsia="Calibri" w:hAnsi="Arial" w:cs="Arial"/>
          <w:b/>
          <w:bCs/>
          <w:lang w:eastAsia="en-US"/>
        </w:rPr>
        <w:t>III.</w:t>
      </w:r>
    </w:p>
    <w:p w14:paraId="54C03C32" w14:textId="77777777" w:rsidR="0093645F" w:rsidRDefault="00B436C2" w:rsidP="003370D2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="0093645F" w:rsidRPr="005E61E7">
        <w:rPr>
          <w:rFonts w:ascii="Arial" w:eastAsia="Calibri" w:hAnsi="Arial" w:cs="Arial"/>
          <w:b/>
          <w:bCs/>
          <w:lang w:eastAsia="en-US"/>
        </w:rPr>
        <w:t>Charakter a pravidla dodávky tepelné energie</w:t>
      </w:r>
    </w:p>
    <w:p w14:paraId="6DD23A67" w14:textId="77777777" w:rsidR="003370D2" w:rsidRPr="005E61E7" w:rsidRDefault="003370D2" w:rsidP="003370D2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3517855E" w14:textId="77777777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3.1. Základní parametry dodávané a vrácené teplonosné l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átky a další údaje jsou uvedeny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v příloze č. </w:t>
      </w:r>
      <w:r w:rsidR="00410204" w:rsidRPr="0029461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„</w:t>
      </w:r>
      <w:r w:rsidR="004A16F8" w:rsidRPr="00294616">
        <w:rPr>
          <w:rFonts w:ascii="Arial" w:eastAsia="Calibri" w:hAnsi="Arial" w:cs="Arial"/>
          <w:sz w:val="22"/>
          <w:szCs w:val="22"/>
          <w:lang w:eastAsia="en-US"/>
        </w:rPr>
        <w:t>Pasport odběrného místa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“.</w:t>
      </w:r>
    </w:p>
    <w:p w14:paraId="5C02841C" w14:textId="77777777" w:rsidR="003B2C58" w:rsidRPr="00294616" w:rsidRDefault="003B2C58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2643C0A" w14:textId="57881292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3.2. Teplonosná látka je ve vlastnictví dodavatele a odběrat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el je povinen teplonosnou látku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vracet, pokud se smluvní strany nedohodnou </w:t>
      </w:r>
      <w:r w:rsidR="00295854" w:rsidRPr="00294616">
        <w:rPr>
          <w:rFonts w:ascii="Arial" w:eastAsia="Calibri" w:hAnsi="Arial" w:cs="Arial"/>
          <w:sz w:val="22"/>
          <w:szCs w:val="22"/>
          <w:lang w:eastAsia="en-US"/>
        </w:rPr>
        <w:t xml:space="preserve">písemně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jinak.</w:t>
      </w:r>
    </w:p>
    <w:p w14:paraId="6DFD0A25" w14:textId="77777777" w:rsidR="003B2C58" w:rsidRPr="00294616" w:rsidRDefault="003B2C58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60441E" w14:textId="77777777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3.3. Dodavatel se zavazuje zabezpečit dodávky tepelné e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nergie v závislosti na venkovní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teplotě s dodržením parametrů a obecných pravidel daných závaznými právními předpisy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a technickými normami platnými v době plnění.</w:t>
      </w:r>
    </w:p>
    <w:p w14:paraId="25402E91" w14:textId="77777777" w:rsidR="003B2C58" w:rsidRPr="00294616" w:rsidRDefault="003B2C58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220FBD" w14:textId="77777777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3.4. Dodavatel je oprávněn omezit či přerušit dodávku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tepelné energie pouze z důvodů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vymezených v ustanovení § 76 odst. 4 energetického zákona nebo na žádost odběratele.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Dodavatel se zavazuje </w:t>
      </w:r>
      <w:r w:rsidR="00B75909" w:rsidRPr="00294616">
        <w:rPr>
          <w:rFonts w:ascii="Arial" w:eastAsia="Calibri" w:hAnsi="Arial" w:cs="Arial"/>
          <w:sz w:val="22"/>
          <w:szCs w:val="22"/>
          <w:lang w:eastAsia="en-US"/>
        </w:rPr>
        <w:t xml:space="preserve">písemně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oznámit odběrateli plánovaná omezení či přerušení dodávky tepelné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energie</w:t>
      </w:r>
      <w:r w:rsidR="00F36C77" w:rsidRPr="00294616">
        <w:rPr>
          <w:rFonts w:ascii="Arial" w:eastAsia="Calibri" w:hAnsi="Arial" w:cs="Arial"/>
          <w:sz w:val="22"/>
          <w:szCs w:val="22"/>
          <w:lang w:eastAsia="en-US"/>
        </w:rPr>
        <w:t xml:space="preserve"> nejméně 15 dní předem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. Odběratel se zavazuje </w:t>
      </w:r>
      <w:r w:rsidR="00B75909" w:rsidRPr="00294616">
        <w:rPr>
          <w:rFonts w:ascii="Arial" w:eastAsia="Calibri" w:hAnsi="Arial" w:cs="Arial"/>
          <w:sz w:val="22"/>
          <w:szCs w:val="22"/>
          <w:lang w:eastAsia="en-US"/>
        </w:rPr>
        <w:t xml:space="preserve">písemně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oznámit dodavateli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požadovaná omezení či přerušení </w:t>
      </w:r>
      <w:r w:rsidR="006A00AC" w:rsidRPr="00294616">
        <w:rPr>
          <w:rFonts w:ascii="Arial" w:eastAsia="Calibri" w:hAnsi="Arial" w:cs="Arial"/>
          <w:sz w:val="22"/>
          <w:szCs w:val="22"/>
          <w:lang w:eastAsia="en-US"/>
        </w:rPr>
        <w:t>odběru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tepelné energie</w:t>
      </w:r>
      <w:r w:rsidR="00F36C77" w:rsidRPr="00294616">
        <w:rPr>
          <w:rFonts w:ascii="Arial" w:eastAsia="Calibri" w:hAnsi="Arial" w:cs="Arial"/>
          <w:sz w:val="22"/>
          <w:szCs w:val="22"/>
          <w:lang w:eastAsia="en-US"/>
        </w:rPr>
        <w:t xml:space="preserve"> nejméně 15 dní předem</w:t>
      </w:r>
      <w:r w:rsidR="00B75909" w:rsidRPr="00294616">
        <w:rPr>
          <w:rFonts w:ascii="Arial" w:eastAsia="Calibri" w:hAnsi="Arial" w:cs="Arial"/>
          <w:i/>
          <w:iCs/>
          <w:sz w:val="22"/>
          <w:szCs w:val="22"/>
          <w:lang w:eastAsia="en-US"/>
        </w:rPr>
        <w:t>.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V případě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neplánovaných omezení či přerušení se dodavatel zavazuje </w:t>
      </w:r>
      <w:r w:rsidR="006E1A61" w:rsidRPr="00294616">
        <w:rPr>
          <w:rFonts w:ascii="Arial" w:eastAsia="Calibri" w:hAnsi="Arial" w:cs="Arial"/>
          <w:sz w:val="22"/>
          <w:szCs w:val="22"/>
          <w:lang w:eastAsia="en-US"/>
        </w:rPr>
        <w:t xml:space="preserve">telefonicky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informovat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odběratele o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důvodu omezení či přerušení dodávky tepelné energie a jejím předpokládaném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obnovení</w:t>
      </w:r>
      <w:r w:rsidR="00BE6C3F" w:rsidRPr="0029461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6E1A6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a to neprodleně po zjištění stavu, který vede k neplánovanému omezení či přerušení dodávk</w:t>
      </w:r>
      <w:r w:rsidR="00BE6C3F" w:rsidRPr="00294616">
        <w:rPr>
          <w:rFonts w:ascii="Arial" w:eastAsia="Calibri" w:hAnsi="Arial" w:cs="Arial"/>
          <w:sz w:val="22"/>
          <w:szCs w:val="22"/>
          <w:lang w:eastAsia="en-US"/>
        </w:rPr>
        <w:t>y</w:t>
      </w:r>
      <w:r w:rsidR="006E1A61" w:rsidRPr="0029461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330BFA71" w14:textId="77777777" w:rsidR="003B2C58" w:rsidRPr="00294616" w:rsidRDefault="003B2C58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7C27B29" w14:textId="77777777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3.5. Odběratel se zavazuje upozornit dodavatele bez zbytečn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ého odkladu na veškeré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vzniklé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závady na odběrném tepelném zařízení, na plánované opravy v objektu, popř. na změny, které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by mohly mít podstatný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vliv na průběh dodávky tepelné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energie a na výši stanovených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technických parametrů pro toto odběrné místo.</w:t>
      </w:r>
    </w:p>
    <w:p w14:paraId="3AD62D8E" w14:textId="77777777" w:rsidR="003B2C58" w:rsidRPr="00294616" w:rsidRDefault="003B2C58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FBA1E5" w14:textId="77777777" w:rsidR="00972800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3.6. Odběratel nesmí bez předchozího </w:t>
      </w:r>
      <w:r w:rsidR="006A00AC" w:rsidRPr="00294616">
        <w:rPr>
          <w:rFonts w:ascii="Arial" w:eastAsia="Calibri" w:hAnsi="Arial" w:cs="Arial"/>
          <w:sz w:val="22"/>
          <w:szCs w:val="22"/>
          <w:lang w:eastAsia="en-US"/>
        </w:rPr>
        <w:t xml:space="preserve">písemného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souhlasu d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odavatele k odběrnému tepelnému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zařízení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připojit </w:t>
      </w:r>
      <w:r w:rsidR="006A00AC" w:rsidRPr="00294616">
        <w:rPr>
          <w:rFonts w:ascii="Arial" w:eastAsia="Calibri" w:hAnsi="Arial" w:cs="Arial"/>
          <w:sz w:val="22"/>
          <w:szCs w:val="22"/>
          <w:lang w:eastAsia="en-US"/>
        </w:rPr>
        <w:t>jiného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odběratele.</w:t>
      </w:r>
    </w:p>
    <w:p w14:paraId="389982DA" w14:textId="77777777" w:rsidR="00C44A7C" w:rsidRDefault="00C44A7C" w:rsidP="003370D2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608266C2" w14:textId="2D809323" w:rsidR="003370D2" w:rsidRDefault="0093645F" w:rsidP="003370D2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t xml:space="preserve">Článek </w:t>
      </w:r>
      <w:r w:rsidR="003370D2">
        <w:rPr>
          <w:rFonts w:ascii="Arial" w:eastAsia="Calibri" w:hAnsi="Arial" w:cs="Arial"/>
          <w:b/>
          <w:bCs/>
          <w:lang w:eastAsia="en-US"/>
        </w:rPr>
        <w:t>IV.</w:t>
      </w:r>
    </w:p>
    <w:p w14:paraId="05AD003D" w14:textId="77777777" w:rsidR="0093645F" w:rsidRDefault="006A00AC" w:rsidP="003370D2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="0093645F" w:rsidRPr="005E61E7">
        <w:rPr>
          <w:rFonts w:ascii="Arial" w:eastAsia="Calibri" w:hAnsi="Arial" w:cs="Arial"/>
          <w:b/>
          <w:bCs/>
          <w:lang w:eastAsia="en-US"/>
        </w:rPr>
        <w:t>Místo předání, místo a způsob měření</w:t>
      </w:r>
    </w:p>
    <w:p w14:paraId="58EEDCE1" w14:textId="77777777" w:rsidR="003370D2" w:rsidRPr="005E61E7" w:rsidRDefault="003370D2" w:rsidP="003370D2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5E9C90D5" w14:textId="77777777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4.1. Dodávka tepelné energie je uskutečněna přechod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em tepelné energie o sjednaných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parametrech ze zařízení dodavatele do zařízení odběratele. Konkrétní místo plnění předmětu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smlouvy je specifikováno v příloze č. </w:t>
      </w:r>
      <w:r w:rsidR="00410204" w:rsidRPr="00294616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„</w:t>
      </w:r>
      <w:r w:rsidR="00C026C5" w:rsidRPr="00294616">
        <w:rPr>
          <w:rFonts w:ascii="Arial" w:eastAsia="Calibri" w:hAnsi="Arial" w:cs="Arial"/>
          <w:sz w:val="22"/>
          <w:szCs w:val="22"/>
          <w:lang w:eastAsia="en-US"/>
        </w:rPr>
        <w:t>Pasport odběrného místa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“.</w:t>
      </w:r>
    </w:p>
    <w:p w14:paraId="4B8AA3B3" w14:textId="77777777" w:rsidR="00D0631D" w:rsidRPr="00294616" w:rsidRDefault="00D0631D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6D2734" w14:textId="48D05F9F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lastRenderedPageBreak/>
        <w:t>4.2. Odběratel má právo na ověření správnosti prováděný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>ch odečtů dodavatelem</w:t>
      </w:r>
      <w:r w:rsidR="002809C3" w:rsidRPr="00294616">
        <w:rPr>
          <w:rFonts w:ascii="Arial" w:eastAsia="Calibri" w:hAnsi="Arial" w:cs="Arial"/>
          <w:sz w:val="22"/>
          <w:szCs w:val="22"/>
          <w:lang w:eastAsia="en-US"/>
        </w:rPr>
        <w:t>. S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mluvní strany </w:t>
      </w:r>
      <w:r w:rsidR="002809C3" w:rsidRPr="00294616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="0077185E" w:rsidRPr="00294616">
        <w:rPr>
          <w:rFonts w:ascii="Arial" w:eastAsia="Calibri" w:hAnsi="Arial" w:cs="Arial"/>
          <w:sz w:val="22"/>
          <w:szCs w:val="22"/>
          <w:lang w:eastAsia="en-US"/>
        </w:rPr>
        <w:t>dohodly, že odečet bude probíhat poslední pracovní den v každém měsíci</w:t>
      </w:r>
      <w:r w:rsidR="00D0631D" w:rsidRPr="0029461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D95D66" w:rsidRPr="00294616">
        <w:rPr>
          <w:rFonts w:ascii="Arial" w:eastAsia="Calibri" w:hAnsi="Arial" w:cs="Arial"/>
          <w:sz w:val="22"/>
          <w:szCs w:val="22"/>
          <w:lang w:eastAsia="en-US"/>
        </w:rPr>
        <w:t xml:space="preserve"> případně první pracovní den v následujícím měsíci.</w:t>
      </w:r>
      <w:r w:rsidR="006D5259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6B4BADB" w14:textId="77777777" w:rsidR="00D0631D" w:rsidRPr="00294616" w:rsidRDefault="00D0631D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85B7FA" w14:textId="4B251B37" w:rsidR="00030695" w:rsidRPr="00294616" w:rsidRDefault="00030695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4.3.</w:t>
      </w:r>
      <w:r w:rsidR="00D11133" w:rsidRPr="00294616">
        <w:rPr>
          <w:rFonts w:ascii="Arial" w:eastAsia="Calibri" w:hAnsi="Arial" w:cs="Arial"/>
          <w:sz w:val="22"/>
          <w:szCs w:val="22"/>
          <w:lang w:eastAsia="en-US"/>
        </w:rPr>
        <w:t xml:space="preserve"> Odběratel je povinen zajistit přístup k měřícím zařízením dodavatele pověřené osobě dodavatele za účelem provádění odečtů, kontroly, opravy nebo běžné údržby měřících a tepelných zařízení</w:t>
      </w:r>
      <w:r w:rsidR="0052679A" w:rsidRPr="0029461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73E2D" w:rsidRPr="00294616">
        <w:rPr>
          <w:rFonts w:ascii="Arial" w:eastAsia="Calibri" w:hAnsi="Arial" w:cs="Arial"/>
          <w:sz w:val="22"/>
          <w:szCs w:val="22"/>
          <w:lang w:eastAsia="en-US"/>
        </w:rPr>
        <w:t xml:space="preserve"> Přístup je zajištěn na základě </w:t>
      </w:r>
      <w:r w:rsidR="0052679A" w:rsidRPr="00294616">
        <w:rPr>
          <w:rFonts w:ascii="Arial" w:eastAsia="Calibri" w:hAnsi="Arial" w:cs="Arial"/>
          <w:sz w:val="22"/>
          <w:szCs w:val="22"/>
          <w:lang w:eastAsia="en-US"/>
        </w:rPr>
        <w:t>vyžádání pověřené osoby dodavatele</w:t>
      </w:r>
      <w:r w:rsidR="00373E2D" w:rsidRPr="0029461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D11133" w:rsidRPr="00294616">
        <w:rPr>
          <w:rFonts w:ascii="Arial" w:eastAsia="Calibri" w:hAnsi="Arial" w:cs="Arial"/>
          <w:sz w:val="22"/>
          <w:szCs w:val="22"/>
          <w:lang w:eastAsia="en-US"/>
        </w:rPr>
        <w:t>Odběratel</w:t>
      </w:r>
      <w:r w:rsidR="003042AE" w:rsidRPr="00294616">
        <w:rPr>
          <w:rFonts w:ascii="Arial" w:eastAsia="Calibri" w:hAnsi="Arial" w:cs="Arial"/>
          <w:sz w:val="22"/>
          <w:szCs w:val="22"/>
          <w:lang w:eastAsia="en-US"/>
        </w:rPr>
        <w:t xml:space="preserve"> má právo přístupu k měřícím zařízením dodavatele za účelem ověření správnosti naměřených hodnot</w:t>
      </w:r>
      <w:r w:rsidR="00373E2D" w:rsidRPr="00294616">
        <w:rPr>
          <w:rFonts w:ascii="Arial" w:eastAsia="Calibri" w:hAnsi="Arial" w:cs="Arial"/>
          <w:sz w:val="22"/>
          <w:szCs w:val="22"/>
          <w:lang w:eastAsia="en-US"/>
        </w:rPr>
        <w:t xml:space="preserve"> při provádění odečtů.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Má-li odběratel nebo dodavatel pochybnosti</w:t>
      </w:r>
      <w:r w:rsidR="006F1592" w:rsidRPr="00294616">
        <w:rPr>
          <w:rFonts w:ascii="Arial" w:eastAsia="Calibri" w:hAnsi="Arial" w:cs="Arial"/>
          <w:sz w:val="22"/>
          <w:szCs w:val="22"/>
          <w:lang w:eastAsia="en-US"/>
        </w:rPr>
        <w:t xml:space="preserve"> o správnosti údajů měření nebo zjistí-li závadu na měřícím zařízení, má právo nechat je přezkoušet. Dodavatel je povinen na základě odběratelovi písemné žádosti měřící zařízení do 30 dnů od nahlášení závady přezkoušet a je-li vadné, vyměnit. </w:t>
      </w:r>
      <w:r w:rsidR="001753AE" w:rsidRPr="00294616">
        <w:rPr>
          <w:rFonts w:ascii="Arial" w:eastAsia="Calibri" w:hAnsi="Arial" w:cs="Arial"/>
          <w:sz w:val="22"/>
          <w:szCs w:val="22"/>
          <w:lang w:eastAsia="en-US"/>
        </w:rPr>
        <w:t>Odběratel</w:t>
      </w:r>
      <w:r w:rsidR="006F1592" w:rsidRPr="00294616">
        <w:rPr>
          <w:rFonts w:ascii="Arial" w:eastAsia="Calibri" w:hAnsi="Arial" w:cs="Arial"/>
          <w:sz w:val="22"/>
          <w:szCs w:val="22"/>
          <w:lang w:eastAsia="en-US"/>
        </w:rPr>
        <w:t xml:space="preserve"> je povinen poskytnout </w:t>
      </w:r>
      <w:r w:rsidR="001753AE" w:rsidRPr="00294616">
        <w:rPr>
          <w:rFonts w:ascii="Arial" w:eastAsia="Calibri" w:hAnsi="Arial" w:cs="Arial"/>
          <w:sz w:val="22"/>
          <w:szCs w:val="22"/>
          <w:lang w:eastAsia="en-US"/>
        </w:rPr>
        <w:t xml:space="preserve">dodavateli </w:t>
      </w:r>
      <w:r w:rsidR="006F1592" w:rsidRPr="00294616">
        <w:rPr>
          <w:rFonts w:ascii="Arial" w:eastAsia="Calibri" w:hAnsi="Arial" w:cs="Arial"/>
          <w:sz w:val="22"/>
          <w:szCs w:val="22"/>
          <w:lang w:eastAsia="en-US"/>
        </w:rPr>
        <w:t>nezbytnou součinnost v zajištění přezkoušení měřícího zařízení.</w:t>
      </w:r>
      <w:r w:rsidR="008C3192" w:rsidRPr="00294616">
        <w:rPr>
          <w:rFonts w:ascii="Arial" w:eastAsia="Calibri" w:hAnsi="Arial" w:cs="Arial"/>
          <w:sz w:val="22"/>
          <w:szCs w:val="22"/>
          <w:lang w:eastAsia="en-US"/>
        </w:rPr>
        <w:t xml:space="preserve"> Je-li na měřícím zařízení zjištěna závada, hradí náklady spojené s jeho přezkoušením a výměnou dodavatel, není-li závada zjištěna, hradí náklady odběratel. V případě prokázané závady měřiče tepelné energie je dodavatel povinen upravit vyúčtování</w:t>
      </w:r>
      <w:r w:rsidR="00BE6C3F" w:rsidRPr="00294616">
        <w:rPr>
          <w:rFonts w:ascii="Arial" w:eastAsia="Calibri" w:hAnsi="Arial" w:cs="Arial"/>
          <w:sz w:val="22"/>
          <w:szCs w:val="22"/>
          <w:lang w:eastAsia="en-US"/>
        </w:rPr>
        <w:t xml:space="preserve"> postupem</w:t>
      </w:r>
      <w:r w:rsidR="001659C8" w:rsidRPr="00294616">
        <w:rPr>
          <w:rFonts w:ascii="Arial" w:eastAsia="Calibri" w:hAnsi="Arial" w:cs="Arial"/>
          <w:sz w:val="22"/>
          <w:szCs w:val="22"/>
          <w:lang w:eastAsia="en-US"/>
        </w:rPr>
        <w:t xml:space="preserve"> dle odst. 4.5</w:t>
      </w:r>
      <w:r w:rsidR="008C3192" w:rsidRPr="0029461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502A3368" w14:textId="77777777" w:rsidR="00D0631D" w:rsidRPr="00294616" w:rsidRDefault="00D0631D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EFD39A" w14:textId="77777777" w:rsidR="006812A8" w:rsidRPr="00294616" w:rsidRDefault="006812A8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4.</w:t>
      </w:r>
      <w:r w:rsidR="009A5878" w:rsidRPr="00294616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. Jakýkoliv zásah do měřícího zařízení bez souhlasu dodavatele je zakázán.</w:t>
      </w:r>
    </w:p>
    <w:p w14:paraId="59522C15" w14:textId="77777777" w:rsidR="00D0631D" w:rsidRPr="00294616" w:rsidRDefault="00D0631D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95966E" w14:textId="77777777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4.</w:t>
      </w:r>
      <w:r w:rsidR="009A5878" w:rsidRPr="00294616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. V případě poruchy měřícího zařízení bude od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ebrané množství pro vyhodnocení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dodané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tepelné energie stanoveno náhradním způsobem, a to</w:t>
      </w:r>
      <w:r w:rsidRPr="00294616">
        <w:rPr>
          <w:rFonts w:ascii="Arial" w:eastAsia="Calibri" w:hAnsi="Arial" w:cs="Arial"/>
          <w:iCs/>
          <w:sz w:val="22"/>
          <w:szCs w:val="22"/>
          <w:lang w:eastAsia="en-US"/>
        </w:rPr>
        <w:t xml:space="preserve"> technickým výpočtem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iCs/>
          <w:sz w:val="22"/>
          <w:szCs w:val="22"/>
          <w:lang w:eastAsia="en-US"/>
        </w:rPr>
        <w:t>z průměrných denních dodávek před poruchou měřícího zařízení v klimaticky stejném a řádně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iCs/>
          <w:sz w:val="22"/>
          <w:szCs w:val="22"/>
          <w:lang w:eastAsia="en-US"/>
        </w:rPr>
        <w:t xml:space="preserve">měřeném období,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nebo jiným dohodnutým způsobem. Pokud bude množství tepelné energie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stanoveno náhradním způsobem, bude tato skutečnost uvedena v podkladech pro vyúčtování.</w:t>
      </w:r>
    </w:p>
    <w:p w14:paraId="7DB8F1D8" w14:textId="77777777" w:rsidR="002264A4" w:rsidRDefault="002264A4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lang w:eastAsia="en-US"/>
        </w:rPr>
      </w:pPr>
    </w:p>
    <w:p w14:paraId="1C0875F9" w14:textId="77777777" w:rsidR="00C12A08" w:rsidRDefault="00C12A08" w:rsidP="003F696B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09C878EC" w14:textId="77777777" w:rsidR="003F696B" w:rsidRDefault="0093645F" w:rsidP="003F696B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t xml:space="preserve">Článek </w:t>
      </w:r>
      <w:r w:rsidR="003F696B">
        <w:rPr>
          <w:rFonts w:ascii="Arial" w:eastAsia="Calibri" w:hAnsi="Arial" w:cs="Arial"/>
          <w:b/>
          <w:bCs/>
          <w:lang w:eastAsia="en-US"/>
        </w:rPr>
        <w:t>V.</w:t>
      </w:r>
    </w:p>
    <w:p w14:paraId="6AD3B379" w14:textId="77777777" w:rsidR="0093645F" w:rsidRDefault="00201CEE" w:rsidP="003F696B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 C</w:t>
      </w:r>
      <w:r w:rsidR="0093645F" w:rsidRPr="005E61E7">
        <w:rPr>
          <w:rFonts w:ascii="Arial" w:eastAsia="Calibri" w:hAnsi="Arial" w:cs="Arial"/>
          <w:b/>
          <w:bCs/>
          <w:lang w:eastAsia="en-US"/>
        </w:rPr>
        <w:t>en</w:t>
      </w:r>
      <w:r>
        <w:rPr>
          <w:rFonts w:ascii="Arial" w:eastAsia="Calibri" w:hAnsi="Arial" w:cs="Arial"/>
          <w:b/>
          <w:bCs/>
          <w:lang w:eastAsia="en-US"/>
        </w:rPr>
        <w:t>a</w:t>
      </w:r>
      <w:r w:rsidR="0093645F" w:rsidRPr="005E61E7">
        <w:rPr>
          <w:rFonts w:ascii="Arial" w:eastAsia="Calibri" w:hAnsi="Arial" w:cs="Arial"/>
          <w:b/>
          <w:bCs/>
          <w:lang w:eastAsia="en-US"/>
        </w:rPr>
        <w:t xml:space="preserve"> a platební podmínky</w:t>
      </w:r>
    </w:p>
    <w:p w14:paraId="56991C92" w14:textId="77777777" w:rsidR="003F696B" w:rsidRPr="005E61E7" w:rsidRDefault="003F696B" w:rsidP="003F696B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4AE9F15E" w14:textId="77777777" w:rsidR="0093645F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5.1. Cena tepelné energie je</w:t>
      </w:r>
      <w:r w:rsidR="009C7F9C" w:rsidRPr="00294616">
        <w:rPr>
          <w:rFonts w:ascii="Arial" w:eastAsia="Calibri" w:hAnsi="Arial" w:cs="Arial"/>
          <w:sz w:val="22"/>
          <w:szCs w:val="22"/>
          <w:lang w:eastAsia="en-US"/>
        </w:rPr>
        <w:t xml:space="preserve"> kalkulována a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sjednána v souladu s platnými cenovými</w:t>
      </w:r>
      <w:r w:rsidR="009B6C46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rozhodnutími Energetického regulačního úřadu k cenám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tepelné energie a v souladu se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zákonem č. 526/1990 Sb., o cenách, ve znění pozdějších předpisů.</w:t>
      </w:r>
    </w:p>
    <w:p w14:paraId="37405A6B" w14:textId="77777777" w:rsidR="00C44A7C" w:rsidRPr="00294616" w:rsidRDefault="00C44A7C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BDD854F" w14:textId="77777777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5.2. Cena tepelné energie, termíny a způsob platby za odebranou tepelnou energii j</w:t>
      </w:r>
      <w:r w:rsidR="00F6719D" w:rsidRPr="00294616">
        <w:rPr>
          <w:rFonts w:ascii="Arial" w:eastAsia="Calibri" w:hAnsi="Arial" w:cs="Arial"/>
          <w:sz w:val="22"/>
          <w:szCs w:val="22"/>
          <w:lang w:eastAsia="en-US"/>
        </w:rPr>
        <w:t>sou</w:t>
      </w:r>
      <w:r w:rsidR="009B6C46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obsahem přílohy č. </w:t>
      </w:r>
      <w:r w:rsidR="00410204" w:rsidRPr="00294616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„Ce</w:t>
      </w:r>
      <w:r w:rsidR="00410204" w:rsidRPr="00294616">
        <w:rPr>
          <w:rFonts w:ascii="Arial" w:eastAsia="Calibri" w:hAnsi="Arial" w:cs="Arial"/>
          <w:sz w:val="22"/>
          <w:szCs w:val="22"/>
          <w:lang w:eastAsia="en-US"/>
        </w:rPr>
        <w:t>ník/cenové ujednání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“.</w:t>
      </w:r>
    </w:p>
    <w:p w14:paraId="09C46D21" w14:textId="77777777" w:rsidR="00D0631D" w:rsidRPr="00294616" w:rsidRDefault="00D0631D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4FD93A" w14:textId="77777777" w:rsidR="00A810FC" w:rsidRPr="00294616" w:rsidRDefault="009C7F9C" w:rsidP="00A810FC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5.3. Dodavatel se zavazuje zúčtovat dílčí platby (v případě zálohových plateb) a vystavit potřebné platební doklady řádně, včas a ve lhůtách dohodnutých v příloze č. </w:t>
      </w:r>
      <w:r w:rsidR="008E4817" w:rsidRPr="00294616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„Cen</w:t>
      </w:r>
      <w:r w:rsidR="008E4817" w:rsidRPr="00294616">
        <w:rPr>
          <w:rFonts w:ascii="Arial" w:eastAsia="Calibri" w:hAnsi="Arial" w:cs="Arial"/>
          <w:sz w:val="22"/>
          <w:szCs w:val="22"/>
          <w:lang w:eastAsia="en-US"/>
        </w:rPr>
        <w:t xml:space="preserve">ík/cenové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ujednání“.</w:t>
      </w:r>
    </w:p>
    <w:p w14:paraId="589C362A" w14:textId="77777777" w:rsidR="00D0631D" w:rsidRPr="00294616" w:rsidRDefault="00D0631D" w:rsidP="00A810FC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4D6262" w14:textId="77D48ECC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5.</w:t>
      </w:r>
      <w:r w:rsidR="009C7F9C" w:rsidRPr="00294616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. Odběratel se zavazuje zaplatit dodavateli </w:t>
      </w:r>
      <w:r w:rsidR="00036B7E" w:rsidRPr="00294616">
        <w:rPr>
          <w:rFonts w:ascii="Arial" w:eastAsia="Calibri" w:hAnsi="Arial" w:cs="Arial"/>
          <w:sz w:val="22"/>
          <w:szCs w:val="22"/>
          <w:lang w:eastAsia="en-US"/>
        </w:rPr>
        <w:t xml:space="preserve">cenu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za dodávku 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tepelné energie na výše uvedený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účet dodavatele řádně a včas</w:t>
      </w:r>
      <w:r w:rsidR="00036B7E" w:rsidRPr="00294616">
        <w:rPr>
          <w:rFonts w:ascii="Arial" w:eastAsia="Calibri" w:hAnsi="Arial" w:cs="Arial"/>
          <w:sz w:val="22"/>
          <w:szCs w:val="22"/>
          <w:lang w:eastAsia="en-US"/>
        </w:rPr>
        <w:t xml:space="preserve"> v souladu s ustanovením 5.2. tohoto Článku V.</w:t>
      </w:r>
    </w:p>
    <w:p w14:paraId="1ADB64A1" w14:textId="77777777" w:rsidR="00D0631D" w:rsidRPr="00294616" w:rsidRDefault="00D0631D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9C41B0C" w14:textId="6A1B0B32" w:rsidR="00A810FC" w:rsidRPr="00294616" w:rsidRDefault="00A810FC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hAnsi="Arial" w:cs="Arial"/>
          <w:sz w:val="22"/>
          <w:szCs w:val="22"/>
        </w:rPr>
        <w:t xml:space="preserve">5.5. Pokud dojde ke změně cen paliv a energií nezbytných pro dodávku tepelné energie, je </w:t>
      </w:r>
      <w:r w:rsidR="001659C8" w:rsidRPr="00294616">
        <w:rPr>
          <w:rFonts w:ascii="Arial" w:hAnsi="Arial" w:cs="Arial"/>
          <w:sz w:val="22"/>
          <w:szCs w:val="22"/>
        </w:rPr>
        <w:t>d</w:t>
      </w:r>
      <w:r w:rsidRPr="00294616">
        <w:rPr>
          <w:rFonts w:ascii="Arial" w:hAnsi="Arial" w:cs="Arial"/>
          <w:sz w:val="22"/>
          <w:szCs w:val="22"/>
        </w:rPr>
        <w:t xml:space="preserve">odavatel oprávněn změnu výše ceny tepelné energie </w:t>
      </w:r>
      <w:r w:rsidR="001659C8" w:rsidRPr="00294616">
        <w:rPr>
          <w:rFonts w:ascii="Arial" w:hAnsi="Arial" w:cs="Arial"/>
          <w:sz w:val="22"/>
          <w:szCs w:val="22"/>
        </w:rPr>
        <w:t>o</w:t>
      </w:r>
      <w:r w:rsidRPr="00294616">
        <w:rPr>
          <w:rFonts w:ascii="Arial" w:hAnsi="Arial" w:cs="Arial"/>
          <w:sz w:val="22"/>
          <w:szCs w:val="22"/>
        </w:rPr>
        <w:t>dběrateli oznámit, a to zasláním nové přílohy č. 1 „</w:t>
      </w:r>
      <w:r w:rsidR="001659C8" w:rsidRPr="00294616">
        <w:rPr>
          <w:rFonts w:ascii="Arial" w:hAnsi="Arial" w:cs="Arial"/>
          <w:sz w:val="22"/>
          <w:szCs w:val="22"/>
        </w:rPr>
        <w:t>Ceník/c</w:t>
      </w:r>
      <w:r w:rsidRPr="00294616">
        <w:rPr>
          <w:rFonts w:ascii="Arial" w:hAnsi="Arial" w:cs="Arial"/>
          <w:sz w:val="22"/>
          <w:szCs w:val="22"/>
        </w:rPr>
        <w:t xml:space="preserve">enové ujednáni“ </w:t>
      </w:r>
      <w:r w:rsidR="001659C8" w:rsidRPr="00294616">
        <w:rPr>
          <w:rFonts w:ascii="Arial" w:hAnsi="Arial" w:cs="Arial"/>
          <w:sz w:val="22"/>
          <w:szCs w:val="22"/>
        </w:rPr>
        <w:t>o</w:t>
      </w:r>
      <w:r w:rsidRPr="00294616">
        <w:rPr>
          <w:rFonts w:ascii="Arial" w:hAnsi="Arial" w:cs="Arial"/>
          <w:sz w:val="22"/>
          <w:szCs w:val="22"/>
        </w:rPr>
        <w:t xml:space="preserve">dběrateli. Změna ceny tepelné energie je platná od prvého dne měsíce následujícího po oznámení změny ceny odběrateli. V případě, že </w:t>
      </w:r>
      <w:r w:rsidR="001659C8" w:rsidRPr="00294616">
        <w:rPr>
          <w:rFonts w:ascii="Arial" w:hAnsi="Arial" w:cs="Arial"/>
          <w:sz w:val="22"/>
          <w:szCs w:val="22"/>
        </w:rPr>
        <w:t>o</w:t>
      </w:r>
      <w:r w:rsidRPr="00294616">
        <w:rPr>
          <w:rFonts w:ascii="Arial" w:hAnsi="Arial" w:cs="Arial"/>
          <w:sz w:val="22"/>
          <w:szCs w:val="22"/>
        </w:rPr>
        <w:t xml:space="preserve">dběratel se zvýšenou cenou tepelné energie nebude souhlasit, má právo ve lhůtě 15 dnů od </w:t>
      </w:r>
      <w:r w:rsidRPr="00294616">
        <w:rPr>
          <w:rFonts w:ascii="Arial" w:hAnsi="Arial" w:cs="Arial"/>
          <w:sz w:val="22"/>
          <w:szCs w:val="22"/>
        </w:rPr>
        <w:lastRenderedPageBreak/>
        <w:t>doručení oznámení o zvýšení ceny tepelné energie vypovědět smlouvu o dodávce tepelné energie, přičemž výpovědní doba je tříměsíční a počíná plynout prvním dnem kalendářního měsíce následujícího po doručení písemné výpovědi dodavateli.</w:t>
      </w:r>
    </w:p>
    <w:p w14:paraId="167F79D8" w14:textId="77777777" w:rsidR="002264A4" w:rsidRDefault="002264A4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lang w:eastAsia="en-US"/>
        </w:rPr>
      </w:pPr>
    </w:p>
    <w:p w14:paraId="33721E19" w14:textId="77777777" w:rsidR="002264A4" w:rsidRPr="005E61E7" w:rsidRDefault="002264A4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lang w:eastAsia="en-US"/>
        </w:rPr>
      </w:pPr>
    </w:p>
    <w:p w14:paraId="3BF97BA0" w14:textId="77777777" w:rsidR="00030695" w:rsidRDefault="0093645F" w:rsidP="00030695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t>Článek</w:t>
      </w:r>
      <w:r w:rsidR="00030695">
        <w:rPr>
          <w:rFonts w:ascii="Arial" w:eastAsia="Calibri" w:hAnsi="Arial" w:cs="Arial"/>
          <w:b/>
          <w:bCs/>
          <w:lang w:eastAsia="en-US"/>
        </w:rPr>
        <w:t xml:space="preserve"> VI.</w:t>
      </w:r>
    </w:p>
    <w:p w14:paraId="6D087B18" w14:textId="77777777" w:rsidR="0093645F" w:rsidRDefault="00201CEE" w:rsidP="00030695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="0093645F" w:rsidRPr="005E61E7">
        <w:rPr>
          <w:rFonts w:ascii="Arial" w:eastAsia="Calibri" w:hAnsi="Arial" w:cs="Arial"/>
          <w:b/>
          <w:bCs/>
          <w:lang w:eastAsia="en-US"/>
        </w:rPr>
        <w:t>Doba trvání smlouvy a způsoby jejího ukončení</w:t>
      </w:r>
    </w:p>
    <w:p w14:paraId="79673CFA" w14:textId="77777777" w:rsidR="00030695" w:rsidRPr="005E61E7" w:rsidRDefault="00030695" w:rsidP="00030695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089B4D5E" w14:textId="77777777" w:rsidR="0093645F" w:rsidRPr="00294616" w:rsidRDefault="0093645F" w:rsidP="002264A4">
      <w:pPr>
        <w:autoSpaceDE w:val="0"/>
        <w:autoSpaceDN w:val="0"/>
        <w:adjustRightInd w:val="0"/>
        <w:ind w:left="57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6.1. Smlouva se uzavírá na dobu neurčitou.</w:t>
      </w:r>
    </w:p>
    <w:p w14:paraId="2EB1065F" w14:textId="77777777" w:rsidR="00D0631D" w:rsidRPr="00294616" w:rsidRDefault="00D0631D" w:rsidP="002264A4">
      <w:pPr>
        <w:autoSpaceDE w:val="0"/>
        <w:autoSpaceDN w:val="0"/>
        <w:adjustRightInd w:val="0"/>
        <w:ind w:left="57"/>
        <w:rPr>
          <w:rFonts w:ascii="Arial" w:eastAsia="Calibri" w:hAnsi="Arial" w:cs="Arial"/>
          <w:sz w:val="22"/>
          <w:szCs w:val="22"/>
          <w:lang w:eastAsia="en-US"/>
        </w:rPr>
      </w:pPr>
    </w:p>
    <w:p w14:paraId="48F3BD14" w14:textId="534C683C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6.2. Smluvní strany se dohodly, že tato smlouva nabývá pla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>tnosti</w:t>
      </w:r>
      <w:r w:rsidR="00694C47" w:rsidRPr="00294616">
        <w:rPr>
          <w:rFonts w:ascii="Arial" w:eastAsia="Calibri" w:hAnsi="Arial" w:cs="Arial"/>
          <w:sz w:val="22"/>
          <w:szCs w:val="22"/>
          <w:lang w:eastAsia="en-US"/>
        </w:rPr>
        <w:t xml:space="preserve"> a účinnosti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dnem </w:t>
      </w:r>
      <w:r w:rsidR="001702E5">
        <w:rPr>
          <w:rFonts w:ascii="Arial" w:eastAsia="Calibri" w:hAnsi="Arial" w:cs="Arial"/>
          <w:sz w:val="22"/>
          <w:szCs w:val="22"/>
          <w:lang w:eastAsia="en-US"/>
        </w:rPr>
        <w:t>1.1.2025</w:t>
      </w:r>
      <w:r w:rsidR="00694C47" w:rsidRPr="0029461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983726" w:rsidRPr="00294616">
        <w:rPr>
          <w:rFonts w:ascii="Arial" w:eastAsia="Calibri" w:hAnsi="Arial" w:cs="Arial"/>
          <w:sz w:val="22"/>
          <w:szCs w:val="22"/>
          <w:lang w:eastAsia="en-US"/>
        </w:rPr>
        <w:t xml:space="preserve"> Platnost této smlouvy končí v případech uvedených v bodě 6.3. této smlouvy.</w:t>
      </w:r>
    </w:p>
    <w:p w14:paraId="3F5573D4" w14:textId="77777777" w:rsidR="00D0631D" w:rsidRPr="00294616" w:rsidRDefault="00D0631D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9A98F5E" w14:textId="77777777" w:rsidR="0093645F" w:rsidRPr="00294616" w:rsidRDefault="0093645F" w:rsidP="002264A4">
      <w:pPr>
        <w:autoSpaceDE w:val="0"/>
        <w:autoSpaceDN w:val="0"/>
        <w:adjustRightInd w:val="0"/>
        <w:ind w:left="57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6.3. Smlouva může být ukončena:</w:t>
      </w:r>
    </w:p>
    <w:p w14:paraId="08EDE098" w14:textId="77777777" w:rsidR="0093645F" w:rsidRPr="00294616" w:rsidRDefault="0093645F" w:rsidP="002264A4">
      <w:pPr>
        <w:autoSpaceDE w:val="0"/>
        <w:autoSpaceDN w:val="0"/>
        <w:adjustRightInd w:val="0"/>
        <w:ind w:left="57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a) písemnou dohodou obou smluvních stran, a to ke dni uvedeném v této dohodě,</w:t>
      </w:r>
    </w:p>
    <w:p w14:paraId="77CFCF1D" w14:textId="30D386E3" w:rsidR="00AB008E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b) písemnou výpovědí ze strany odběratele</w:t>
      </w:r>
      <w:r w:rsidR="00353E69" w:rsidRPr="00294616">
        <w:rPr>
          <w:rFonts w:ascii="Arial" w:eastAsia="Calibri" w:hAnsi="Arial" w:cs="Arial"/>
          <w:sz w:val="22"/>
          <w:szCs w:val="22"/>
          <w:lang w:eastAsia="en-US"/>
        </w:rPr>
        <w:t xml:space="preserve"> kdykoliv bez udání důvodu, přičemž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výpovědní </w:t>
      </w:r>
      <w:r w:rsidR="00353E69" w:rsidRPr="00294616">
        <w:rPr>
          <w:rFonts w:ascii="Arial" w:eastAsia="Calibri" w:hAnsi="Arial" w:cs="Arial"/>
          <w:sz w:val="22"/>
          <w:szCs w:val="22"/>
          <w:lang w:eastAsia="en-US"/>
        </w:rPr>
        <w:t xml:space="preserve">doba činí 3 měsíce a 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začíná </w:t>
      </w:r>
      <w:r w:rsidR="00201CEE" w:rsidRPr="00294616">
        <w:rPr>
          <w:rFonts w:ascii="Arial" w:eastAsia="Calibri" w:hAnsi="Arial" w:cs="Arial"/>
          <w:sz w:val="22"/>
          <w:szCs w:val="22"/>
          <w:lang w:eastAsia="en-US"/>
        </w:rPr>
        <w:t xml:space="preserve">běžet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první</w:t>
      </w:r>
      <w:r w:rsidR="00353E69" w:rsidRPr="00294616"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dne</w:t>
      </w:r>
      <w:r w:rsidR="00353E69" w:rsidRPr="00294616"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následujícího</w:t>
      </w:r>
      <w:r w:rsidR="00353E69" w:rsidRPr="00294616">
        <w:rPr>
          <w:rFonts w:ascii="Arial" w:eastAsia="Calibri" w:hAnsi="Arial" w:cs="Arial"/>
          <w:sz w:val="22"/>
          <w:szCs w:val="22"/>
          <w:lang w:eastAsia="en-US"/>
        </w:rPr>
        <w:t xml:space="preserve"> měsíce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po doručení výpovědi d</w:t>
      </w:r>
      <w:r w:rsidR="00353E69" w:rsidRPr="00294616">
        <w:rPr>
          <w:rFonts w:ascii="Arial" w:eastAsia="Calibri" w:hAnsi="Arial" w:cs="Arial"/>
          <w:sz w:val="22"/>
          <w:szCs w:val="22"/>
          <w:lang w:eastAsia="en-US"/>
        </w:rPr>
        <w:t>odavateli,</w:t>
      </w:r>
    </w:p>
    <w:p w14:paraId="7C265204" w14:textId="5567525E" w:rsidR="00005DDD" w:rsidRPr="00294616" w:rsidRDefault="00005DDD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c) písemnou výpovědí ze strany dodavatele v případě, že:</w:t>
      </w:r>
    </w:p>
    <w:p w14:paraId="65254C0D" w14:textId="579F2D2E" w:rsidR="00005DDD" w:rsidRPr="00294616" w:rsidRDefault="00005DDD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- odběratel je v prodlení s placením </w:t>
      </w:r>
      <w:r w:rsidR="00036B7E" w:rsidRPr="00294616">
        <w:rPr>
          <w:rFonts w:ascii="Arial" w:eastAsia="Calibri" w:hAnsi="Arial" w:cs="Arial"/>
          <w:sz w:val="22"/>
          <w:szCs w:val="22"/>
          <w:lang w:eastAsia="en-US"/>
        </w:rPr>
        <w:t>peněžitého plnění za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dodávku tepelné energie </w:t>
      </w:r>
      <w:r w:rsidR="007863F1" w:rsidRPr="00294616">
        <w:rPr>
          <w:rFonts w:ascii="Arial" w:eastAsia="Calibri" w:hAnsi="Arial" w:cs="Arial"/>
          <w:sz w:val="22"/>
          <w:szCs w:val="22"/>
          <w:lang w:eastAsia="en-US"/>
        </w:rPr>
        <w:t>(</w:t>
      </w:r>
      <w:proofErr w:type="spellStart"/>
      <w:r w:rsidR="00036B7E" w:rsidRPr="00294616">
        <w:rPr>
          <w:rFonts w:ascii="Arial" w:eastAsia="Calibri" w:hAnsi="Arial" w:cs="Arial"/>
          <w:sz w:val="22"/>
          <w:szCs w:val="22"/>
          <w:lang w:eastAsia="en-US"/>
        </w:rPr>
        <w:t>nerozhodno</w:t>
      </w:r>
      <w:proofErr w:type="spellEnd"/>
      <w:r w:rsidR="00AB008E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36B7E" w:rsidRPr="00294616">
        <w:rPr>
          <w:rFonts w:ascii="Arial" w:eastAsia="Calibri" w:hAnsi="Arial" w:cs="Arial"/>
          <w:sz w:val="22"/>
          <w:szCs w:val="22"/>
          <w:lang w:eastAsia="en-US"/>
        </w:rPr>
        <w:t>zda záloh nebo ceny za dodanou tepelnou energii</w:t>
      </w:r>
      <w:r w:rsidR="00294616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, a to po dobu delší než dva měsíce</w:t>
      </w:r>
      <w:r w:rsidR="007863F1" w:rsidRPr="0029461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294616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2E37E70" w14:textId="30C32C5D" w:rsidR="00335F2E" w:rsidRPr="00294616" w:rsidRDefault="00335F2E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- odběratel opakovaně, i přes výzvu dodavatele</w:t>
      </w:r>
      <w:r w:rsidR="00D903F6" w:rsidRPr="00294616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provádí neoprávněný odběr.</w:t>
      </w:r>
    </w:p>
    <w:p w14:paraId="4C768839" w14:textId="32B7651A" w:rsidR="008751C7" w:rsidRPr="00294616" w:rsidRDefault="008751C7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V t</w:t>
      </w:r>
      <w:r w:rsidR="00D903F6" w:rsidRPr="00294616">
        <w:rPr>
          <w:rFonts w:ascii="Arial" w:eastAsia="Calibri" w:hAnsi="Arial" w:cs="Arial"/>
          <w:sz w:val="22"/>
          <w:szCs w:val="22"/>
          <w:lang w:eastAsia="en-US"/>
        </w:rPr>
        <w:t>ěchto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případ</w:t>
      </w:r>
      <w:r w:rsidR="00D903F6" w:rsidRPr="00294616">
        <w:rPr>
          <w:rFonts w:ascii="Arial" w:eastAsia="Calibri" w:hAnsi="Arial" w:cs="Arial"/>
          <w:sz w:val="22"/>
          <w:szCs w:val="22"/>
          <w:lang w:eastAsia="en-US"/>
        </w:rPr>
        <w:t>ech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903F6" w:rsidRPr="00294616">
        <w:rPr>
          <w:rFonts w:ascii="Arial" w:eastAsia="Calibri" w:hAnsi="Arial" w:cs="Arial"/>
          <w:sz w:val="22"/>
          <w:szCs w:val="22"/>
          <w:lang w:eastAsia="en-US"/>
        </w:rPr>
        <w:t xml:space="preserve">činí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výpovědní </w:t>
      </w:r>
      <w:r w:rsidR="00D903F6" w:rsidRPr="00294616">
        <w:rPr>
          <w:rFonts w:ascii="Arial" w:eastAsia="Calibri" w:hAnsi="Arial" w:cs="Arial"/>
          <w:sz w:val="22"/>
          <w:szCs w:val="22"/>
          <w:lang w:eastAsia="en-US"/>
        </w:rPr>
        <w:t>doba 1 měsíc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a začíná běžet doručením výpovědi odběrateli.</w:t>
      </w:r>
    </w:p>
    <w:p w14:paraId="2F8F467E" w14:textId="77777777" w:rsidR="00D0631D" w:rsidRPr="00294616" w:rsidRDefault="00D0631D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A54BE02" w14:textId="77777777" w:rsidR="0093645F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6.4. Obě smluvní strany se zavazují vyrovnat vzájemně své závazky a pohledávky</w:t>
      </w:r>
      <w:r w:rsidR="00201CEE" w:rsidRPr="00294616">
        <w:rPr>
          <w:rFonts w:ascii="Arial" w:eastAsia="Calibri" w:hAnsi="Arial" w:cs="Arial"/>
          <w:sz w:val="22"/>
          <w:szCs w:val="22"/>
          <w:lang w:eastAsia="en-US"/>
        </w:rPr>
        <w:t xml:space="preserve"> d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o</w:t>
      </w:r>
      <w:r w:rsidR="00666EE8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7185E" w:rsidRPr="00294616">
        <w:rPr>
          <w:rFonts w:ascii="Arial" w:eastAsia="Calibri" w:hAnsi="Arial" w:cs="Arial"/>
          <w:sz w:val="22"/>
          <w:szCs w:val="22"/>
          <w:lang w:eastAsia="en-US"/>
        </w:rPr>
        <w:t xml:space="preserve">14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dní od ukončení této smlouvy.</w:t>
      </w:r>
    </w:p>
    <w:p w14:paraId="25B6DAAB" w14:textId="77777777" w:rsidR="00C44A7C" w:rsidRPr="00294616" w:rsidRDefault="00C44A7C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0A419F" w14:textId="77777777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6.5. V případě zániku jedné ze smluvních stran přechází prá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va a povinnosti sjednané v této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smlouvě v plném rozsahu na právního nástupce, nedohodnou-li se smluvní strany před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zánikem jinak.</w:t>
      </w:r>
      <w:r w:rsidR="006D0FBD" w:rsidRPr="00294616">
        <w:rPr>
          <w:rFonts w:ascii="Arial" w:eastAsia="Calibri" w:hAnsi="Arial" w:cs="Arial"/>
          <w:sz w:val="22"/>
          <w:szCs w:val="22"/>
          <w:lang w:eastAsia="en-US"/>
        </w:rPr>
        <w:t xml:space="preserve"> Povinnosti</w:t>
      </w:r>
      <w:r w:rsidR="00EC304B" w:rsidRPr="00294616">
        <w:rPr>
          <w:rFonts w:ascii="Arial" w:eastAsia="Calibri" w:hAnsi="Arial" w:cs="Arial"/>
          <w:sz w:val="22"/>
          <w:szCs w:val="22"/>
          <w:lang w:eastAsia="en-US"/>
        </w:rPr>
        <w:t xml:space="preserve"> vyplývající ze změny</w:t>
      </w:r>
      <w:r w:rsidR="00A37E7E" w:rsidRPr="00294616">
        <w:rPr>
          <w:rFonts w:ascii="Arial" w:eastAsia="Calibri" w:hAnsi="Arial" w:cs="Arial"/>
          <w:sz w:val="22"/>
          <w:szCs w:val="22"/>
          <w:lang w:eastAsia="en-US"/>
        </w:rPr>
        <w:t xml:space="preserve"> smluvních stran</w:t>
      </w:r>
      <w:r w:rsidR="006D0FBD" w:rsidRPr="00294616">
        <w:rPr>
          <w:rFonts w:ascii="Arial" w:eastAsia="Calibri" w:hAnsi="Arial" w:cs="Arial"/>
          <w:sz w:val="22"/>
          <w:szCs w:val="22"/>
          <w:lang w:eastAsia="en-US"/>
        </w:rPr>
        <w:t xml:space="preserve"> jsou obsahem čl. 5</w:t>
      </w:r>
      <w:r w:rsidR="0009467D" w:rsidRPr="00294616">
        <w:rPr>
          <w:rFonts w:ascii="Arial" w:eastAsia="Calibri" w:hAnsi="Arial" w:cs="Arial"/>
          <w:sz w:val="22"/>
          <w:szCs w:val="22"/>
          <w:lang w:eastAsia="en-US"/>
        </w:rPr>
        <w:t xml:space="preserve"> Změna a zrušení závazků</w:t>
      </w:r>
      <w:r w:rsidR="006D0FBD" w:rsidRPr="00294616">
        <w:rPr>
          <w:rFonts w:ascii="Arial" w:eastAsia="Calibri" w:hAnsi="Arial" w:cs="Arial"/>
          <w:sz w:val="22"/>
          <w:szCs w:val="22"/>
          <w:lang w:eastAsia="en-US"/>
        </w:rPr>
        <w:t>, přílohy č. 3 „Základní podmínky dodávky tepla (ZPDT)“.</w:t>
      </w:r>
    </w:p>
    <w:p w14:paraId="44844402" w14:textId="77777777" w:rsidR="00F7267F" w:rsidRPr="005E61E7" w:rsidRDefault="00F7267F" w:rsidP="00DF2D29">
      <w:pPr>
        <w:autoSpaceDE w:val="0"/>
        <w:autoSpaceDN w:val="0"/>
        <w:adjustRightInd w:val="0"/>
        <w:spacing w:before="240" w:after="100" w:afterAutospacing="1"/>
        <w:ind w:left="57"/>
        <w:jc w:val="both"/>
        <w:rPr>
          <w:rFonts w:ascii="Arial" w:eastAsia="Calibri" w:hAnsi="Arial" w:cs="Arial"/>
          <w:lang w:eastAsia="en-US"/>
        </w:rPr>
      </w:pPr>
    </w:p>
    <w:p w14:paraId="2131D300" w14:textId="77777777" w:rsidR="006C1168" w:rsidRDefault="0093645F" w:rsidP="006C1168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t xml:space="preserve">Článek </w:t>
      </w:r>
      <w:r w:rsidR="006C1168">
        <w:rPr>
          <w:rFonts w:ascii="Arial" w:eastAsia="Calibri" w:hAnsi="Arial" w:cs="Arial"/>
          <w:b/>
          <w:bCs/>
          <w:lang w:eastAsia="en-US"/>
        </w:rPr>
        <w:t>VII.</w:t>
      </w:r>
    </w:p>
    <w:p w14:paraId="0F786B6A" w14:textId="77777777" w:rsidR="0093645F" w:rsidRDefault="00DF2D29" w:rsidP="006C1168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 Z</w:t>
      </w:r>
      <w:r w:rsidR="006C1168">
        <w:rPr>
          <w:rFonts w:ascii="Arial" w:eastAsia="Calibri" w:hAnsi="Arial" w:cs="Arial"/>
          <w:b/>
          <w:bCs/>
          <w:lang w:eastAsia="en-US"/>
        </w:rPr>
        <w:t>ávěrečná ustanovení</w:t>
      </w:r>
    </w:p>
    <w:p w14:paraId="19BD6EC4" w14:textId="77777777" w:rsidR="006C1168" w:rsidRPr="005E61E7" w:rsidRDefault="006C1168" w:rsidP="006C1168">
      <w:pPr>
        <w:autoSpaceDE w:val="0"/>
        <w:autoSpaceDN w:val="0"/>
        <w:adjustRightInd w:val="0"/>
        <w:spacing w:before="240" w:after="100" w:afterAutospacing="1"/>
        <w:ind w:left="57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134F23F5" w14:textId="77777777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7.1. Smluvní vztahy mezi smluvními stranami se řídí právním řádem</w:t>
      </w:r>
      <w:r w:rsidR="006C1168" w:rsidRPr="00294616">
        <w:rPr>
          <w:rFonts w:ascii="Arial" w:eastAsia="Calibri" w:hAnsi="Arial" w:cs="Arial"/>
          <w:sz w:val="22"/>
          <w:szCs w:val="22"/>
          <w:lang w:eastAsia="en-US"/>
        </w:rPr>
        <w:t xml:space="preserve"> České republiky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3FB5C81" w14:textId="77777777" w:rsidR="005667B5" w:rsidRPr="00294616" w:rsidRDefault="005667B5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E231DCF" w14:textId="77777777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7.2. Ustanovení, zde výslovně neupravená, se řídí p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rávní úpravou závazků a úpravou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smluvních typů jím nejbližších podle zákona č. 89/2012 Sb., občanský zákoník, pokud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z energetického zákona nebo povahy věci nevyplývá něco jiného.</w:t>
      </w:r>
    </w:p>
    <w:p w14:paraId="7781B85E" w14:textId="77777777" w:rsidR="005667B5" w:rsidRPr="00294616" w:rsidRDefault="005667B5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43B63B2" w14:textId="77777777" w:rsidR="00745351" w:rsidRPr="00294616" w:rsidRDefault="00745351" w:rsidP="002264A4">
      <w:pPr>
        <w:autoSpaceDE w:val="0"/>
        <w:autoSpaceDN w:val="0"/>
        <w:adjustRightInd w:val="0"/>
        <w:ind w:left="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7.3. Nedílnou součástí této smlouvy jsou následující přílohy:</w:t>
      </w:r>
    </w:p>
    <w:p w14:paraId="756C60CD" w14:textId="77777777" w:rsidR="00F7267F" w:rsidRPr="00294616" w:rsidRDefault="00745351" w:rsidP="002264A4">
      <w:pPr>
        <w:autoSpaceDE w:val="0"/>
        <w:autoSpaceDN w:val="0"/>
        <w:adjustRightInd w:val="0"/>
        <w:ind w:left="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Příloha č. 1 – </w:t>
      </w:r>
      <w:r w:rsidR="00EC5454" w:rsidRPr="00294616">
        <w:rPr>
          <w:rFonts w:ascii="Arial" w:eastAsia="Calibri" w:hAnsi="Arial" w:cs="Arial"/>
          <w:sz w:val="22"/>
          <w:szCs w:val="22"/>
          <w:lang w:eastAsia="en-US"/>
        </w:rPr>
        <w:t>Ceník/cenové ujednání</w:t>
      </w:r>
    </w:p>
    <w:p w14:paraId="59CAA111" w14:textId="77777777" w:rsidR="00745351" w:rsidRPr="00294616" w:rsidRDefault="00745351" w:rsidP="002264A4">
      <w:pPr>
        <w:autoSpaceDE w:val="0"/>
        <w:autoSpaceDN w:val="0"/>
        <w:adjustRightInd w:val="0"/>
        <w:ind w:left="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Příloha č. 2 – </w:t>
      </w:r>
      <w:r w:rsidR="00EC5454" w:rsidRPr="00294616">
        <w:rPr>
          <w:rFonts w:ascii="Arial" w:eastAsia="Calibri" w:hAnsi="Arial" w:cs="Arial"/>
          <w:sz w:val="22"/>
          <w:szCs w:val="22"/>
          <w:lang w:eastAsia="en-US"/>
        </w:rPr>
        <w:t>Pasport odběrného místa</w:t>
      </w:r>
    </w:p>
    <w:p w14:paraId="4D91E81C" w14:textId="77777777" w:rsidR="001753AE" w:rsidRPr="00294616" w:rsidRDefault="001753AE" w:rsidP="002264A4">
      <w:pPr>
        <w:autoSpaceDE w:val="0"/>
        <w:autoSpaceDN w:val="0"/>
        <w:adjustRightInd w:val="0"/>
        <w:ind w:left="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Příloha č. 3 – </w:t>
      </w:r>
      <w:r w:rsidR="00621285" w:rsidRPr="00294616">
        <w:rPr>
          <w:rFonts w:ascii="Arial" w:eastAsia="Calibri" w:hAnsi="Arial" w:cs="Arial"/>
          <w:sz w:val="22"/>
          <w:szCs w:val="22"/>
          <w:lang w:eastAsia="en-US"/>
        </w:rPr>
        <w:t>Základní podmínky dodávky tepla</w:t>
      </w:r>
      <w:r w:rsidR="00646517" w:rsidRPr="00294616">
        <w:rPr>
          <w:rFonts w:ascii="Arial" w:eastAsia="Calibri" w:hAnsi="Arial" w:cs="Arial"/>
          <w:sz w:val="22"/>
          <w:szCs w:val="22"/>
          <w:lang w:eastAsia="en-US"/>
        </w:rPr>
        <w:t xml:space="preserve"> (ZPDT)</w:t>
      </w:r>
    </w:p>
    <w:p w14:paraId="71825954" w14:textId="77777777" w:rsidR="001753AE" w:rsidRPr="00294616" w:rsidRDefault="001753AE" w:rsidP="002264A4">
      <w:pPr>
        <w:autoSpaceDE w:val="0"/>
        <w:autoSpaceDN w:val="0"/>
        <w:adjustRightInd w:val="0"/>
        <w:ind w:left="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Příloha č. 4 – </w:t>
      </w:r>
      <w:r w:rsidR="00621285" w:rsidRPr="00294616">
        <w:rPr>
          <w:rFonts w:ascii="Arial" w:eastAsia="Calibri" w:hAnsi="Arial" w:cs="Arial"/>
          <w:sz w:val="22"/>
          <w:szCs w:val="22"/>
          <w:lang w:eastAsia="en-US"/>
        </w:rPr>
        <w:t>Schéma DPS</w:t>
      </w:r>
    </w:p>
    <w:p w14:paraId="30A9DF95" w14:textId="77777777" w:rsidR="001753AE" w:rsidRDefault="001753AE" w:rsidP="002264A4">
      <w:pPr>
        <w:autoSpaceDE w:val="0"/>
        <w:autoSpaceDN w:val="0"/>
        <w:adjustRightInd w:val="0"/>
        <w:ind w:left="57"/>
        <w:contextualSpacing/>
        <w:jc w:val="both"/>
        <w:rPr>
          <w:rFonts w:ascii="Arial" w:eastAsia="Calibri" w:hAnsi="Arial" w:cs="Arial"/>
          <w:lang w:eastAsia="en-US"/>
        </w:rPr>
      </w:pPr>
    </w:p>
    <w:p w14:paraId="2C0155ED" w14:textId="4F72BE69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7.</w:t>
      </w:r>
      <w:r w:rsidR="00745351" w:rsidRPr="00294616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. Jakákoli změna smluvních podmínek, včetně příloh, 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může být provedena pouze formou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písemného obo</w:t>
      </w:r>
      <w:r w:rsidR="00EA2B86" w:rsidRPr="00294616">
        <w:rPr>
          <w:rFonts w:ascii="Arial" w:eastAsia="Calibri" w:hAnsi="Arial" w:cs="Arial"/>
          <w:sz w:val="22"/>
          <w:szCs w:val="22"/>
          <w:lang w:eastAsia="en-US"/>
        </w:rPr>
        <w:t>ustranně odsouhlaseného dodatku, s výjimkou odst. 1.</w:t>
      </w:r>
      <w:r w:rsidR="00A504D2" w:rsidRPr="00294616">
        <w:rPr>
          <w:rFonts w:ascii="Arial" w:eastAsia="Calibri" w:hAnsi="Arial" w:cs="Arial"/>
          <w:sz w:val="22"/>
          <w:szCs w:val="22"/>
          <w:lang w:eastAsia="en-US"/>
        </w:rPr>
        <w:t>2</w:t>
      </w:r>
      <w:r w:rsidR="00EA2B86" w:rsidRPr="0029461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A504D2" w:rsidRPr="0029461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EA2B86" w:rsidRPr="00294616">
        <w:rPr>
          <w:rFonts w:ascii="Arial" w:eastAsia="Calibri" w:hAnsi="Arial" w:cs="Arial"/>
          <w:sz w:val="22"/>
          <w:szCs w:val="22"/>
          <w:lang w:eastAsia="en-US"/>
        </w:rPr>
        <w:t xml:space="preserve"> článku I. </w:t>
      </w:r>
      <w:r w:rsidR="00A23259" w:rsidRPr="00294616">
        <w:rPr>
          <w:rFonts w:ascii="Arial" w:eastAsia="Calibri" w:hAnsi="Arial" w:cs="Arial"/>
          <w:sz w:val="22"/>
          <w:szCs w:val="22"/>
          <w:lang w:eastAsia="en-US"/>
        </w:rPr>
        <w:t>p</w:t>
      </w:r>
      <w:r w:rsidR="00EA2B86" w:rsidRPr="00294616">
        <w:rPr>
          <w:rFonts w:ascii="Arial" w:eastAsia="Calibri" w:hAnsi="Arial" w:cs="Arial"/>
          <w:sz w:val="22"/>
          <w:szCs w:val="22"/>
          <w:lang w:eastAsia="en-US"/>
        </w:rPr>
        <w:t xml:space="preserve">řílohy č. </w:t>
      </w:r>
      <w:r w:rsidR="00410204" w:rsidRPr="00294616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3259" w:rsidRPr="00294616">
        <w:rPr>
          <w:rFonts w:ascii="Arial" w:eastAsia="Calibri" w:hAnsi="Arial" w:cs="Arial"/>
          <w:sz w:val="22"/>
          <w:szCs w:val="22"/>
          <w:lang w:eastAsia="en-US"/>
        </w:rPr>
        <w:t xml:space="preserve"> „Ceník/cenové ujednání“</w:t>
      </w:r>
      <w:r w:rsidR="00A6080D" w:rsidRPr="00294616">
        <w:rPr>
          <w:rFonts w:ascii="Arial" w:eastAsia="Calibri" w:hAnsi="Arial" w:cs="Arial"/>
          <w:sz w:val="22"/>
          <w:szCs w:val="22"/>
          <w:lang w:eastAsia="en-US"/>
        </w:rPr>
        <w:t xml:space="preserve"> a přílohy č. 3 „Základní podmínky dodávky tepla (ZPDT)“</w:t>
      </w:r>
      <w:r w:rsidR="00EA2B86" w:rsidRPr="00294616">
        <w:rPr>
          <w:rFonts w:ascii="Arial" w:eastAsia="Calibri" w:hAnsi="Arial" w:cs="Arial"/>
          <w:sz w:val="22"/>
          <w:szCs w:val="22"/>
          <w:lang w:eastAsia="en-US"/>
        </w:rPr>
        <w:t xml:space="preserve"> této smlouvy, kd</w:t>
      </w:r>
      <w:r w:rsidR="00A504D2" w:rsidRPr="00294616">
        <w:rPr>
          <w:rFonts w:ascii="Arial" w:eastAsia="Calibri" w:hAnsi="Arial" w:cs="Arial"/>
          <w:sz w:val="22"/>
          <w:szCs w:val="22"/>
          <w:lang w:eastAsia="en-US"/>
        </w:rPr>
        <w:t>y</w:t>
      </w:r>
      <w:r w:rsidR="00EA2B86" w:rsidRPr="00294616">
        <w:rPr>
          <w:rFonts w:ascii="Arial" w:eastAsia="Calibri" w:hAnsi="Arial" w:cs="Arial"/>
          <w:sz w:val="22"/>
          <w:szCs w:val="22"/>
          <w:lang w:eastAsia="en-US"/>
        </w:rPr>
        <w:t xml:space="preserve"> změna ceny</w:t>
      </w:r>
      <w:r w:rsidR="00A6080D" w:rsidRPr="00294616">
        <w:rPr>
          <w:rFonts w:ascii="Arial" w:eastAsia="Calibri" w:hAnsi="Arial" w:cs="Arial"/>
          <w:sz w:val="22"/>
          <w:szCs w:val="22"/>
          <w:lang w:eastAsia="en-US"/>
        </w:rPr>
        <w:t xml:space="preserve"> nebo ZPDT</w:t>
      </w:r>
      <w:r w:rsidR="00EA2B86" w:rsidRPr="00294616">
        <w:rPr>
          <w:rFonts w:ascii="Arial" w:eastAsia="Calibri" w:hAnsi="Arial" w:cs="Arial"/>
          <w:sz w:val="22"/>
          <w:szCs w:val="22"/>
          <w:lang w:eastAsia="en-US"/>
        </w:rPr>
        <w:t xml:space="preserve"> bude odběrateli dodavatelem písemně oznámena</w:t>
      </w:r>
      <w:r w:rsidR="00A6080D" w:rsidRPr="002946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C9FA298" w14:textId="77777777" w:rsidR="001702E5" w:rsidRDefault="001702E5" w:rsidP="001702E5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lang w:eastAsia="en-US"/>
        </w:rPr>
      </w:pPr>
    </w:p>
    <w:p w14:paraId="251C9A00" w14:textId="5BCE9C8B" w:rsidR="001702E5" w:rsidRPr="005E61E7" w:rsidRDefault="001702E5" w:rsidP="001702E5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lang w:eastAsia="en-US"/>
        </w:rPr>
      </w:pPr>
      <w:r w:rsidRPr="00B70455">
        <w:rPr>
          <w:rFonts w:ascii="Arial" w:eastAsia="Calibri" w:hAnsi="Arial" w:cs="Arial"/>
          <w:lang w:eastAsia="en-US"/>
        </w:rPr>
        <w:t>7</w:t>
      </w:r>
      <w:r w:rsidRPr="007565A8">
        <w:rPr>
          <w:rFonts w:ascii="Arial" w:eastAsia="Calibri" w:hAnsi="Arial" w:cs="Arial"/>
          <w:sz w:val="22"/>
          <w:szCs w:val="22"/>
          <w:lang w:eastAsia="en-US"/>
        </w:rPr>
        <w:t>.5. Tato smlouva v plném rozsahu nahrazuje smlouvu č. 13-2023-TE ze dne 14.11.2023 s dodatkem ze dne 30.08.2024.</w:t>
      </w:r>
    </w:p>
    <w:p w14:paraId="1485F0A5" w14:textId="77777777" w:rsidR="005667B5" w:rsidRPr="00294616" w:rsidRDefault="005667B5" w:rsidP="00CE50A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68CE58" w14:textId="27FA0701" w:rsidR="0093645F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7.</w:t>
      </w:r>
      <w:r w:rsidR="00EA2B86" w:rsidRPr="00294616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. Smlouva je sepsána v</w:t>
      </w:r>
      <w:r w:rsidR="00C90E55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90E55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vyhotoveních, z nichž </w:t>
      </w:r>
      <w:r w:rsidR="0077185E" w:rsidRPr="00294616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vyhotovení obdrží dodavatel a </w:t>
      </w:r>
      <w:r w:rsidR="0077185E" w:rsidRPr="00294616">
        <w:rPr>
          <w:rFonts w:ascii="Arial" w:eastAsia="Calibri" w:hAnsi="Arial" w:cs="Arial"/>
          <w:sz w:val="22"/>
          <w:szCs w:val="22"/>
          <w:lang w:eastAsia="en-US"/>
        </w:rPr>
        <w:t>1</w:t>
      </w:r>
      <w:r w:rsidR="00621BC1" w:rsidRPr="002946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vyhotovení obdrž</w:t>
      </w:r>
      <w:r w:rsidR="00C90E55">
        <w:rPr>
          <w:rFonts w:ascii="Arial" w:eastAsia="Calibri" w:hAnsi="Arial" w:cs="Arial"/>
          <w:sz w:val="22"/>
          <w:szCs w:val="22"/>
          <w:lang w:eastAsia="en-US"/>
        </w:rPr>
        <w:t>í odběratel.</w:t>
      </w:r>
    </w:p>
    <w:p w14:paraId="400310D8" w14:textId="77777777" w:rsidR="005667B5" w:rsidRPr="00294616" w:rsidRDefault="005667B5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C0CEDF" w14:textId="77777777" w:rsidR="00745351" w:rsidRPr="00294616" w:rsidRDefault="0093645F" w:rsidP="002264A4">
      <w:pPr>
        <w:autoSpaceDE w:val="0"/>
        <w:autoSpaceDN w:val="0"/>
        <w:adjustRightInd w:val="0"/>
        <w:ind w:left="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7.</w:t>
      </w:r>
      <w:r w:rsidR="00EA2B86" w:rsidRPr="00294616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. Smluvní strany </w:t>
      </w:r>
      <w:r w:rsidR="00745351" w:rsidRPr="00294616">
        <w:rPr>
          <w:rFonts w:ascii="Arial" w:eastAsia="Calibri" w:hAnsi="Arial" w:cs="Arial"/>
          <w:sz w:val="22"/>
          <w:szCs w:val="22"/>
          <w:lang w:eastAsia="en-US"/>
        </w:rPr>
        <w:t>prohlašují, že tato smlouva je výrazem pravé a svobodné vůle, že toto činí bez nátlaku, nikoliv v tísni, ani za nápadně nevýhodných podmínek, že smlouva byla přečtena, schválena a jako správná vlastnoručně podepsána.</w:t>
      </w:r>
    </w:p>
    <w:p w14:paraId="300E3AF7" w14:textId="77777777" w:rsidR="00CE50AC" w:rsidRDefault="00CE50AC" w:rsidP="0093645F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615130A5" w14:textId="77777777" w:rsidR="00CE50AC" w:rsidRPr="005E61E7" w:rsidRDefault="00CE50AC" w:rsidP="0093645F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16C79E1D" w14:textId="77777777" w:rsidR="001F34DE" w:rsidRDefault="001F34DE" w:rsidP="0093645F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7A31C195" w14:textId="77777777" w:rsidR="00BB1D84" w:rsidRDefault="00BB1D84" w:rsidP="0093645F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61A6EA89" w14:textId="77777777" w:rsidR="00BB1D84" w:rsidRDefault="00BB1D84" w:rsidP="0093645F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68014343" w14:textId="77777777" w:rsidR="00BB1D84" w:rsidRDefault="00BB1D84" w:rsidP="0093645F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7217C72D" w14:textId="77777777" w:rsidR="00BB1D84" w:rsidRDefault="00BB1D84" w:rsidP="0093645F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7B90116D" w14:textId="77777777" w:rsidR="00721A77" w:rsidRDefault="00721A77" w:rsidP="0093645F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60F98EA3" w14:textId="77777777" w:rsidR="0093645F" w:rsidRPr="00294616" w:rsidRDefault="0093645F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V</w:t>
      </w:r>
      <w:r w:rsidR="00DF2D29" w:rsidRPr="00294616">
        <w:rPr>
          <w:rFonts w:ascii="Arial" w:eastAsia="Calibri" w:hAnsi="Arial" w:cs="Arial"/>
          <w:sz w:val="22"/>
          <w:szCs w:val="22"/>
          <w:lang w:eastAsia="en-US"/>
        </w:rPr>
        <w:t> Jindřichově Hradci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 dne .......</w:t>
      </w:r>
      <w:r w:rsidR="00DF2D29" w:rsidRPr="00294616">
        <w:rPr>
          <w:rFonts w:ascii="Arial" w:eastAsia="Calibri" w:hAnsi="Arial" w:cs="Arial"/>
          <w:sz w:val="22"/>
          <w:szCs w:val="22"/>
          <w:lang w:eastAsia="en-US"/>
        </w:rPr>
        <w:t>...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>..</w:t>
      </w:r>
      <w:r w:rsidR="00DF2D29" w:rsidRPr="00294616">
        <w:rPr>
          <w:rFonts w:ascii="Arial" w:eastAsia="Calibri" w:hAnsi="Arial" w:cs="Arial"/>
          <w:sz w:val="22"/>
          <w:szCs w:val="22"/>
          <w:lang w:eastAsia="en-US"/>
        </w:rPr>
        <w:t>.......</w:t>
      </w:r>
    </w:p>
    <w:p w14:paraId="60E1EFC9" w14:textId="77777777" w:rsidR="00621BC1" w:rsidRPr="00294616" w:rsidRDefault="00621BC1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56B8D36D" w14:textId="77777777" w:rsidR="00E659AB" w:rsidRPr="00294616" w:rsidRDefault="0093645F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 xml:space="preserve">Dodavatel: </w:t>
      </w:r>
    </w:p>
    <w:p w14:paraId="0B93DB89" w14:textId="77777777" w:rsidR="00E659AB" w:rsidRPr="00294616" w:rsidRDefault="00E659AB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E80B9BC" w14:textId="77777777" w:rsidR="005667B5" w:rsidRPr="00294616" w:rsidRDefault="005667B5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DA55587" w14:textId="77777777" w:rsidR="005667B5" w:rsidRPr="00294616" w:rsidRDefault="005667B5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259CF91" w14:textId="77777777" w:rsidR="00DF2D29" w:rsidRPr="00294616" w:rsidRDefault="00DF2D29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A7CBB61" w14:textId="77777777" w:rsidR="009113A9" w:rsidRPr="00294616" w:rsidRDefault="009113A9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…………………………….</w:t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ab/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ab/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ab/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ab/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</w:t>
      </w:r>
    </w:p>
    <w:p w14:paraId="6E2D3993" w14:textId="097DDA8A" w:rsidR="00A90635" w:rsidRPr="00294616" w:rsidRDefault="00E659AB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ab/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ab/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ab/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ab/>
      </w:r>
      <w:r w:rsidRPr="00294616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806A53A" w14:textId="77777777" w:rsidR="00E659AB" w:rsidRPr="00294616" w:rsidRDefault="00E659AB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11FD8068" w14:textId="77777777" w:rsidR="002264A4" w:rsidRPr="00294616" w:rsidRDefault="002264A4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533E38F" w14:textId="77777777" w:rsidR="0077185E" w:rsidRPr="00294616" w:rsidRDefault="0077185E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2ADAD41" w14:textId="77777777" w:rsidR="00A90635" w:rsidRPr="00294616" w:rsidRDefault="00A90635" w:rsidP="00A9063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294616">
        <w:rPr>
          <w:rFonts w:ascii="Arial" w:eastAsia="Calibri" w:hAnsi="Arial" w:cs="Arial"/>
          <w:sz w:val="22"/>
          <w:szCs w:val="22"/>
          <w:lang w:eastAsia="en-US"/>
        </w:rPr>
        <w:t>V …………………………… dne .........</w:t>
      </w:r>
    </w:p>
    <w:p w14:paraId="0BDC7B52" w14:textId="77777777" w:rsidR="00A90635" w:rsidRPr="00294616" w:rsidRDefault="00A90635" w:rsidP="0093645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156135B3" w14:textId="77777777" w:rsidR="00275C7C" w:rsidRPr="009E2FE5" w:rsidRDefault="00275C7C" w:rsidP="00275C7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9E2FE5">
        <w:rPr>
          <w:rFonts w:ascii="Arial" w:eastAsia="Calibri" w:hAnsi="Arial" w:cs="Arial"/>
          <w:sz w:val="22"/>
          <w:szCs w:val="22"/>
          <w:lang w:eastAsia="en-US"/>
        </w:rPr>
        <w:t>Odběratel zastoupený:</w:t>
      </w:r>
      <w:r w:rsidRPr="009E2FE5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4D55D870" w14:textId="77777777" w:rsidR="00275C7C" w:rsidRPr="005E61E7" w:rsidRDefault="00275C7C" w:rsidP="00275C7C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715D144E" w14:textId="2AAD41E1" w:rsidR="00275C7C" w:rsidRPr="009E2FE5" w:rsidRDefault="002E350C" w:rsidP="00275C7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9E2FE5">
        <w:rPr>
          <w:rFonts w:ascii="Arial" w:eastAsia="Calibri" w:hAnsi="Arial" w:cs="Arial"/>
          <w:sz w:val="22"/>
          <w:szCs w:val="22"/>
          <w:lang w:eastAsia="en-US"/>
        </w:rPr>
        <w:t>Mgr. Bc. Radka Stejskalová</w:t>
      </w:r>
    </w:p>
    <w:p w14:paraId="1AE0E974" w14:textId="72F82514" w:rsidR="00275C7C" w:rsidRDefault="009E2FE5" w:rsidP="00275C7C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E2FE5">
        <w:rPr>
          <w:rFonts w:ascii="Arial" w:eastAsia="Calibri" w:hAnsi="Arial" w:cs="Arial"/>
          <w:sz w:val="22"/>
          <w:szCs w:val="22"/>
          <w:lang w:eastAsia="en-US"/>
        </w:rPr>
        <w:t>Ř</w:t>
      </w:r>
      <w:r w:rsidR="002E350C" w:rsidRPr="009E2FE5">
        <w:rPr>
          <w:rFonts w:ascii="Arial" w:eastAsia="Calibri" w:hAnsi="Arial" w:cs="Arial"/>
          <w:sz w:val="22"/>
          <w:szCs w:val="22"/>
          <w:lang w:eastAsia="en-US"/>
        </w:rPr>
        <w:t>editelka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275C7C" w:rsidRPr="005E61E7">
        <w:rPr>
          <w:rFonts w:ascii="Arial" w:eastAsia="Calibri" w:hAnsi="Arial" w:cs="Arial"/>
          <w:lang w:eastAsia="en-US"/>
        </w:rPr>
        <w:t>…………………………</w:t>
      </w:r>
    </w:p>
    <w:p w14:paraId="4168B705" w14:textId="77777777" w:rsidR="00275C7C" w:rsidRDefault="00275C7C" w:rsidP="00275C7C">
      <w:pPr>
        <w:autoSpaceDE w:val="0"/>
        <w:autoSpaceDN w:val="0"/>
        <w:adjustRightInd w:val="0"/>
        <w:rPr>
          <w:rFonts w:ascii="Arial" w:eastAsia="Calibri" w:hAnsi="Arial" w:cs="Arial"/>
          <w:bCs/>
          <w:lang w:eastAsia="en-US"/>
        </w:rPr>
      </w:pPr>
    </w:p>
    <w:p w14:paraId="36F084B1" w14:textId="77777777" w:rsidR="00275C7C" w:rsidRDefault="00275C7C" w:rsidP="00AB008E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</w:p>
    <w:p w14:paraId="0A6CFD4E" w14:textId="77777777" w:rsidR="002E350C" w:rsidRDefault="002E350C" w:rsidP="00AB008E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</w:p>
    <w:p w14:paraId="7751E722" w14:textId="52546329" w:rsidR="00F37650" w:rsidRPr="005E61E7" w:rsidRDefault="00F37650" w:rsidP="00AB008E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lastRenderedPageBreak/>
        <w:t xml:space="preserve">Příloha č. </w:t>
      </w:r>
      <w:r>
        <w:rPr>
          <w:rFonts w:ascii="Arial" w:eastAsia="Calibri" w:hAnsi="Arial" w:cs="Arial"/>
          <w:b/>
          <w:bCs/>
          <w:lang w:eastAsia="en-US"/>
        </w:rPr>
        <w:t>1</w:t>
      </w:r>
    </w:p>
    <w:p w14:paraId="20ADE9DE" w14:textId="3FB5F6FD" w:rsidR="00F37650" w:rsidRPr="007B36B7" w:rsidRDefault="00F37650" w:rsidP="00AB334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B36B7">
        <w:rPr>
          <w:rFonts w:ascii="Arial" w:eastAsia="Calibri" w:hAnsi="Arial" w:cs="Arial"/>
          <w:b/>
          <w:bCs/>
          <w:sz w:val="28"/>
          <w:szCs w:val="28"/>
          <w:lang w:eastAsia="en-US"/>
        </w:rPr>
        <w:t>Ceník/cenové ujednání</w:t>
      </w:r>
    </w:p>
    <w:p w14:paraId="582AAF2E" w14:textId="77777777" w:rsidR="00F92E87" w:rsidRDefault="00F92E87" w:rsidP="00F37650">
      <w:pPr>
        <w:autoSpaceDE w:val="0"/>
        <w:autoSpaceDN w:val="0"/>
        <w:adjustRightInd w:val="0"/>
        <w:spacing w:before="240" w:after="100" w:afterAutospacing="1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36BD5167" w14:textId="1C2525DF" w:rsidR="00F37650" w:rsidRDefault="00F37650" w:rsidP="00F37650">
      <w:pPr>
        <w:autoSpaceDE w:val="0"/>
        <w:autoSpaceDN w:val="0"/>
        <w:adjustRightInd w:val="0"/>
        <w:spacing w:before="240" w:after="100" w:afterAutospacing="1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t>I.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</w:p>
    <w:p w14:paraId="17E8B848" w14:textId="77777777" w:rsidR="00F37650" w:rsidRDefault="00F37650" w:rsidP="00F37650">
      <w:pPr>
        <w:autoSpaceDE w:val="0"/>
        <w:autoSpaceDN w:val="0"/>
        <w:adjustRightInd w:val="0"/>
        <w:spacing w:before="240" w:after="100" w:afterAutospacing="1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t>Cena tepelné energie</w:t>
      </w:r>
    </w:p>
    <w:p w14:paraId="55F27028" w14:textId="77777777" w:rsidR="00F37650" w:rsidRPr="005E61E7" w:rsidRDefault="00F37650" w:rsidP="00F37650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50C58BBE" w14:textId="26DFB558" w:rsidR="00F37650" w:rsidRPr="007B36B7" w:rsidRDefault="00F37650" w:rsidP="00F92E8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>1.1. Cena tepelné energie je</w:t>
      </w:r>
      <w:r w:rsidR="002A728B" w:rsidRPr="007B36B7">
        <w:rPr>
          <w:rFonts w:ascii="Arial" w:eastAsia="Calibri" w:hAnsi="Arial" w:cs="Arial"/>
          <w:sz w:val="22"/>
          <w:szCs w:val="22"/>
          <w:lang w:eastAsia="en-US"/>
        </w:rPr>
        <w:t xml:space="preserve"> kalkulována a sjednána</w:t>
      </w:r>
      <w:r w:rsidRPr="007B36B7">
        <w:rPr>
          <w:rFonts w:ascii="Arial" w:eastAsia="Calibri" w:hAnsi="Arial" w:cs="Arial"/>
          <w:sz w:val="22"/>
          <w:szCs w:val="22"/>
          <w:lang w:eastAsia="en-US"/>
        </w:rPr>
        <w:t xml:space="preserve"> v souladu s</w:t>
      </w:r>
      <w:r w:rsidR="00CA7654" w:rsidRPr="007B36B7">
        <w:rPr>
          <w:rFonts w:ascii="Arial" w:eastAsia="Calibri" w:hAnsi="Arial" w:cs="Arial"/>
          <w:sz w:val="22"/>
          <w:szCs w:val="22"/>
          <w:lang w:eastAsia="en-US"/>
        </w:rPr>
        <w:t> odst.</w:t>
      </w:r>
      <w:r w:rsidRPr="007B36B7">
        <w:rPr>
          <w:rFonts w:ascii="Arial" w:eastAsia="Calibri" w:hAnsi="Arial" w:cs="Arial"/>
          <w:sz w:val="22"/>
          <w:szCs w:val="22"/>
          <w:lang w:eastAsia="en-US"/>
        </w:rPr>
        <w:t xml:space="preserve"> 5.1. této smlouvy.</w:t>
      </w:r>
    </w:p>
    <w:p w14:paraId="07F35BC9" w14:textId="77777777" w:rsidR="00F92E87" w:rsidRPr="007B36B7" w:rsidRDefault="00F92E87" w:rsidP="00AB33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40A1212" w14:textId="2052F5D4" w:rsidR="006D4536" w:rsidRDefault="00F37650" w:rsidP="009753E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 xml:space="preserve">1.2. </w:t>
      </w:r>
      <w:r w:rsidR="009753E8" w:rsidRPr="007B36B7">
        <w:rPr>
          <w:rFonts w:ascii="Arial" w:eastAsia="Calibri" w:hAnsi="Arial" w:cs="Arial"/>
          <w:sz w:val="22"/>
          <w:szCs w:val="22"/>
          <w:lang w:eastAsia="en-US"/>
        </w:rPr>
        <w:t>Cena tepelné energie je cenou jednosložkovou. Cena tepelné energie pro rok 202</w:t>
      </w:r>
      <w:r w:rsidR="00264E31">
        <w:rPr>
          <w:rFonts w:ascii="Arial" w:eastAsia="Calibri" w:hAnsi="Arial" w:cs="Arial"/>
          <w:sz w:val="22"/>
          <w:szCs w:val="22"/>
          <w:lang w:eastAsia="en-US"/>
        </w:rPr>
        <w:t>5</w:t>
      </w:r>
      <w:r w:rsidR="009753E8" w:rsidRPr="007B36B7">
        <w:rPr>
          <w:rFonts w:ascii="Arial" w:eastAsia="Calibri" w:hAnsi="Arial" w:cs="Arial"/>
          <w:sz w:val="22"/>
          <w:szCs w:val="22"/>
          <w:lang w:eastAsia="en-US"/>
        </w:rPr>
        <w:t xml:space="preserve"> činí </w:t>
      </w:r>
      <w:r w:rsidR="00264E31">
        <w:rPr>
          <w:rFonts w:ascii="Arial" w:eastAsia="Calibri" w:hAnsi="Arial" w:cs="Arial"/>
          <w:sz w:val="22"/>
          <w:szCs w:val="22"/>
          <w:lang w:eastAsia="en-US"/>
        </w:rPr>
        <w:t>671</w:t>
      </w:r>
      <w:r w:rsidR="009753E8" w:rsidRPr="007B36B7">
        <w:rPr>
          <w:rFonts w:ascii="Arial" w:eastAsia="Calibri" w:hAnsi="Arial" w:cs="Arial"/>
          <w:sz w:val="22"/>
          <w:szCs w:val="22"/>
          <w:lang w:eastAsia="en-US"/>
        </w:rPr>
        <w:t xml:space="preserve">,00 Kč/GJ (bez DPH). </w:t>
      </w:r>
    </w:p>
    <w:p w14:paraId="36134E2F" w14:textId="2D89FA08" w:rsidR="009753E8" w:rsidRPr="00D578BE" w:rsidRDefault="009753E8" w:rsidP="009753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 xml:space="preserve">Cena tepelné energie se sjednává na podkladě kalkulace dodavatele a je platná pro daný kalendářní rok. O výši nebo změně ceny je odběratel dodavatelem písemně informován nejpozději 15 dní před nabytím její účinnosti. Cena za odběr teplonosné látky v nevrácené topné vodě se účtuje za odebrané množství a činí </w:t>
      </w:r>
      <w:r w:rsidR="00A52F92" w:rsidRPr="00A52F92">
        <w:rPr>
          <w:rFonts w:ascii="Arial" w:eastAsia="Calibri" w:hAnsi="Arial" w:cs="Arial"/>
          <w:sz w:val="22"/>
          <w:szCs w:val="22"/>
          <w:lang w:eastAsia="en-US"/>
        </w:rPr>
        <w:t>150</w:t>
      </w:r>
      <w:r w:rsidRPr="00A52F92">
        <w:rPr>
          <w:rFonts w:ascii="Arial" w:eastAsia="Calibri" w:hAnsi="Arial" w:cs="Arial"/>
          <w:sz w:val="22"/>
          <w:szCs w:val="22"/>
          <w:lang w:eastAsia="en-US"/>
        </w:rPr>
        <w:t xml:space="preserve"> Kč/m3.</w:t>
      </w:r>
    </w:p>
    <w:p w14:paraId="705E26D7" w14:textId="77777777" w:rsidR="00F92E87" w:rsidRPr="007B36B7" w:rsidRDefault="00F92E87" w:rsidP="00AB33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DC5F8C" w14:textId="77777777" w:rsidR="00F37650" w:rsidRPr="007B36B7" w:rsidRDefault="00F37650" w:rsidP="00AB33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>1.3. K</w:t>
      </w:r>
      <w:r w:rsidR="002A728B" w:rsidRPr="007B36B7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7B36B7">
        <w:rPr>
          <w:rFonts w:ascii="Arial" w:eastAsia="Calibri" w:hAnsi="Arial" w:cs="Arial"/>
          <w:sz w:val="22"/>
          <w:szCs w:val="22"/>
          <w:lang w:eastAsia="en-US"/>
        </w:rPr>
        <w:t>ce</w:t>
      </w:r>
      <w:r w:rsidR="002A728B" w:rsidRPr="007B36B7">
        <w:rPr>
          <w:rFonts w:ascii="Arial" w:eastAsia="Calibri" w:hAnsi="Arial" w:cs="Arial"/>
          <w:sz w:val="22"/>
          <w:szCs w:val="22"/>
          <w:lang w:eastAsia="en-US"/>
        </w:rPr>
        <w:t>nám bez DPH</w:t>
      </w:r>
      <w:r w:rsidRPr="007B36B7">
        <w:rPr>
          <w:rFonts w:ascii="Arial" w:eastAsia="Calibri" w:hAnsi="Arial" w:cs="Arial"/>
          <w:sz w:val="22"/>
          <w:szCs w:val="22"/>
          <w:lang w:eastAsia="en-US"/>
        </w:rPr>
        <w:t xml:space="preserve"> dle odst. 1.2. bude přičtena příslušná sazba daně z přidané hodnoty</w:t>
      </w:r>
      <w:r w:rsidR="002A728B" w:rsidRPr="007B36B7">
        <w:rPr>
          <w:rFonts w:ascii="Arial" w:eastAsia="Calibri" w:hAnsi="Arial" w:cs="Arial"/>
          <w:sz w:val="22"/>
          <w:szCs w:val="22"/>
          <w:lang w:eastAsia="en-US"/>
        </w:rPr>
        <w:t xml:space="preserve"> podle platné legislativy v daném zúčtovacím období.</w:t>
      </w:r>
    </w:p>
    <w:p w14:paraId="591CB8DC" w14:textId="77777777" w:rsidR="00A810FC" w:rsidRPr="005E61E7" w:rsidRDefault="00A810FC" w:rsidP="00F37650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14:paraId="3DEB5079" w14:textId="77777777" w:rsidR="00F37650" w:rsidRDefault="00F37650" w:rsidP="00F37650">
      <w:pPr>
        <w:autoSpaceDE w:val="0"/>
        <w:autoSpaceDN w:val="0"/>
        <w:adjustRightInd w:val="0"/>
        <w:spacing w:before="240" w:after="100" w:afterAutospacing="1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I</w:t>
      </w:r>
      <w:r w:rsidRPr="005E61E7">
        <w:rPr>
          <w:rFonts w:ascii="Arial" w:eastAsia="Calibri" w:hAnsi="Arial" w:cs="Arial"/>
          <w:b/>
          <w:bCs/>
          <w:lang w:eastAsia="en-US"/>
        </w:rPr>
        <w:t>I.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</w:p>
    <w:p w14:paraId="077B13BE" w14:textId="77777777" w:rsidR="00F37650" w:rsidRDefault="00F37650" w:rsidP="00F37650">
      <w:pPr>
        <w:autoSpaceDE w:val="0"/>
        <w:autoSpaceDN w:val="0"/>
        <w:adjustRightInd w:val="0"/>
        <w:spacing w:before="240" w:after="100" w:afterAutospacing="1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Platební podmínky</w:t>
      </w:r>
    </w:p>
    <w:p w14:paraId="17B11513" w14:textId="77777777" w:rsidR="00F37650" w:rsidRDefault="00F37650" w:rsidP="00F37650">
      <w:pPr>
        <w:autoSpaceDE w:val="0"/>
        <w:autoSpaceDN w:val="0"/>
        <w:adjustRightInd w:val="0"/>
        <w:spacing w:before="240" w:after="100" w:afterAutospacing="1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7F824474" w14:textId="77777777" w:rsidR="00F37650" w:rsidRPr="007B36B7" w:rsidRDefault="00F37650" w:rsidP="00F3765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>2.1. Dodavatel se zavazuje provádět zúčtování dodávky tepelné energie měsíčními</w:t>
      </w:r>
      <w:r w:rsidRPr="007B36B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7B36B7">
        <w:rPr>
          <w:rFonts w:ascii="Arial" w:eastAsia="Calibri" w:hAnsi="Arial" w:cs="Arial"/>
          <w:sz w:val="22"/>
          <w:szCs w:val="22"/>
          <w:lang w:eastAsia="en-US"/>
        </w:rPr>
        <w:t>fakturami s náležitostmi daňového dokladu podle platných právních předpisů, a to vždy do 12. dne následujícího měsíce.</w:t>
      </w:r>
    </w:p>
    <w:p w14:paraId="4A63032B" w14:textId="77777777" w:rsidR="00F92E87" w:rsidRPr="007B36B7" w:rsidRDefault="00F92E87" w:rsidP="00F37650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43890C14" w14:textId="77777777" w:rsidR="00F37650" w:rsidRPr="007B36B7" w:rsidRDefault="00F37650" w:rsidP="00F3765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>2.2. Splatnost faktur je 14 dní od data vystavení na účet dodavatele.</w:t>
      </w:r>
    </w:p>
    <w:p w14:paraId="10AF16CD" w14:textId="77777777" w:rsidR="00F92E87" w:rsidRPr="007B36B7" w:rsidRDefault="00F92E87" w:rsidP="00F3765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BA13181" w14:textId="77777777" w:rsidR="002A728B" w:rsidRPr="007B36B7" w:rsidRDefault="002A728B" w:rsidP="00511F97">
      <w:pPr>
        <w:autoSpaceDE w:val="0"/>
        <w:autoSpaceDN w:val="0"/>
        <w:adjustRightInd w:val="0"/>
        <w:rPr>
          <w:rStyle w:val="Odkaznakoment"/>
          <w:sz w:val="22"/>
          <w:szCs w:val="22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>2.3. Adresa pro zasílání faktur je obsahem přílohy č. 2 “Pasport odběrného místa“.</w:t>
      </w:r>
      <w:r w:rsidR="00511F97" w:rsidRPr="007B36B7" w:rsidDel="00511F97">
        <w:rPr>
          <w:rStyle w:val="Odkaznakoment"/>
          <w:sz w:val="22"/>
          <w:szCs w:val="22"/>
        </w:rPr>
        <w:t xml:space="preserve"> </w:t>
      </w:r>
    </w:p>
    <w:p w14:paraId="2C2899E4" w14:textId="77777777" w:rsidR="00F92E87" w:rsidRPr="007B36B7" w:rsidRDefault="00F92E87" w:rsidP="00511F97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648D5378" w14:textId="15054F33" w:rsidR="00F37650" w:rsidRPr="007B36B7" w:rsidRDefault="00F37650" w:rsidP="00AB334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>2.</w:t>
      </w:r>
      <w:r w:rsidR="00511F97" w:rsidRPr="007B36B7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7B36B7">
        <w:rPr>
          <w:rFonts w:ascii="Arial" w:eastAsia="Calibri" w:hAnsi="Arial" w:cs="Arial"/>
          <w:sz w:val="22"/>
          <w:szCs w:val="22"/>
          <w:lang w:eastAsia="en-US"/>
        </w:rPr>
        <w:t>. Budou-li smluvní strany v prodlení jakéhokoliv peněžitého závazku, činí úrok z prodlení 0,05 % z dlužné částky za každý den prodlení až do úplného zaplacení.</w:t>
      </w:r>
    </w:p>
    <w:p w14:paraId="03FCFCE4" w14:textId="77777777" w:rsidR="00F92E87" w:rsidRDefault="00F92E87" w:rsidP="00F37650">
      <w:pPr>
        <w:autoSpaceDE w:val="0"/>
        <w:autoSpaceDN w:val="0"/>
        <w:adjustRightInd w:val="0"/>
        <w:spacing w:before="240" w:after="100" w:afterAutospacing="1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42EB1DCF" w14:textId="77777777" w:rsidR="00AB008E" w:rsidRDefault="00AB008E" w:rsidP="00F37650">
      <w:pPr>
        <w:autoSpaceDE w:val="0"/>
        <w:autoSpaceDN w:val="0"/>
        <w:adjustRightInd w:val="0"/>
        <w:spacing w:before="240" w:after="100" w:afterAutospacing="1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</w:p>
    <w:p w14:paraId="1CC81337" w14:textId="0A1AD85D" w:rsidR="00F37650" w:rsidRDefault="00F37650" w:rsidP="00F37650">
      <w:pPr>
        <w:autoSpaceDE w:val="0"/>
        <w:autoSpaceDN w:val="0"/>
        <w:adjustRightInd w:val="0"/>
        <w:spacing w:before="240" w:after="100" w:afterAutospacing="1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I</w:t>
      </w:r>
      <w:r w:rsidRPr="005E61E7">
        <w:rPr>
          <w:rFonts w:ascii="Arial" w:eastAsia="Calibri" w:hAnsi="Arial" w:cs="Arial"/>
          <w:b/>
          <w:bCs/>
          <w:lang w:eastAsia="en-US"/>
        </w:rPr>
        <w:t>I</w:t>
      </w:r>
      <w:r>
        <w:rPr>
          <w:rFonts w:ascii="Arial" w:eastAsia="Calibri" w:hAnsi="Arial" w:cs="Arial"/>
          <w:b/>
          <w:bCs/>
          <w:lang w:eastAsia="en-US"/>
        </w:rPr>
        <w:t>I</w:t>
      </w:r>
      <w:r w:rsidRPr="005E61E7">
        <w:rPr>
          <w:rFonts w:ascii="Arial" w:eastAsia="Calibri" w:hAnsi="Arial" w:cs="Arial"/>
          <w:b/>
          <w:bCs/>
          <w:lang w:eastAsia="en-US"/>
        </w:rPr>
        <w:t>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</w:p>
    <w:p w14:paraId="4295D8AE" w14:textId="77777777" w:rsidR="002A728B" w:rsidRDefault="00F37650" w:rsidP="00F37650">
      <w:pPr>
        <w:autoSpaceDE w:val="0"/>
        <w:autoSpaceDN w:val="0"/>
        <w:adjustRightInd w:val="0"/>
        <w:spacing w:before="240" w:after="100" w:afterAutospacing="1"/>
        <w:contextualSpacing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Odběrový diagram</w:t>
      </w:r>
    </w:p>
    <w:p w14:paraId="09A671CB" w14:textId="77777777" w:rsidR="00F37650" w:rsidRDefault="00F37650" w:rsidP="002A728B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14:paraId="51681F69" w14:textId="77777777" w:rsidR="00F37650" w:rsidRPr="007B36B7" w:rsidRDefault="00F37650" w:rsidP="00F3765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>3.1. Celkový plánovaný odběr tepelné energie za kalendářní rok, včetně časového rozlišení odběru, je uveden v odběrovém diagramu:</w:t>
      </w:r>
    </w:p>
    <w:p w14:paraId="37E16E10" w14:textId="77777777" w:rsidR="00F92E87" w:rsidRDefault="00F92E87" w:rsidP="00F3765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89CE7F" w14:textId="45FDE25A" w:rsidR="00F37650" w:rsidRPr="00AB3349" w:rsidRDefault="00F37650" w:rsidP="00F3765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B3349">
        <w:rPr>
          <w:rFonts w:ascii="Arial" w:eastAsia="Calibri" w:hAnsi="Arial" w:cs="Arial"/>
          <w:b/>
          <w:bCs/>
          <w:sz w:val="22"/>
          <w:szCs w:val="22"/>
          <w:lang w:eastAsia="en-US"/>
        </w:rPr>
        <w:t>Odběrový diagram: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9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1278"/>
      </w:tblGrid>
      <w:tr w:rsidR="00F37650" w:rsidRPr="00A87060" w14:paraId="6E93EBB3" w14:textId="77777777" w:rsidTr="00AB3349">
        <w:tc>
          <w:tcPr>
            <w:tcW w:w="1413" w:type="dxa"/>
            <w:shd w:val="clear" w:color="auto" w:fill="auto"/>
          </w:tcPr>
          <w:p w14:paraId="3AC40E0A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Měsíc</w:t>
            </w:r>
          </w:p>
        </w:tc>
        <w:tc>
          <w:tcPr>
            <w:tcW w:w="493" w:type="dxa"/>
            <w:shd w:val="clear" w:color="auto" w:fill="auto"/>
          </w:tcPr>
          <w:p w14:paraId="0E5B7C23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auto"/>
          </w:tcPr>
          <w:p w14:paraId="66B610C5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71AE4F66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14:paraId="4728E33B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522" w:type="dxa"/>
            <w:shd w:val="clear" w:color="auto" w:fill="auto"/>
          </w:tcPr>
          <w:p w14:paraId="06A22CEC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522" w:type="dxa"/>
            <w:shd w:val="clear" w:color="auto" w:fill="auto"/>
          </w:tcPr>
          <w:p w14:paraId="16A20F16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522" w:type="dxa"/>
            <w:shd w:val="clear" w:color="auto" w:fill="auto"/>
          </w:tcPr>
          <w:p w14:paraId="62297F0E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522" w:type="dxa"/>
            <w:shd w:val="clear" w:color="auto" w:fill="auto"/>
          </w:tcPr>
          <w:p w14:paraId="6CFC2189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522" w:type="dxa"/>
            <w:shd w:val="clear" w:color="auto" w:fill="auto"/>
          </w:tcPr>
          <w:p w14:paraId="1F9F82BA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  <w:tc>
          <w:tcPr>
            <w:tcW w:w="522" w:type="dxa"/>
            <w:shd w:val="clear" w:color="auto" w:fill="auto"/>
          </w:tcPr>
          <w:p w14:paraId="4566DA15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10</w:t>
            </w:r>
          </w:p>
        </w:tc>
        <w:tc>
          <w:tcPr>
            <w:tcW w:w="522" w:type="dxa"/>
            <w:shd w:val="clear" w:color="auto" w:fill="auto"/>
          </w:tcPr>
          <w:p w14:paraId="15C94088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11</w:t>
            </w:r>
          </w:p>
        </w:tc>
        <w:tc>
          <w:tcPr>
            <w:tcW w:w="522" w:type="dxa"/>
            <w:shd w:val="clear" w:color="auto" w:fill="auto"/>
          </w:tcPr>
          <w:p w14:paraId="64BD6045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AF4332">
              <w:rPr>
                <w:rFonts w:ascii="Arial" w:eastAsia="Calibri" w:hAnsi="Arial" w:cs="Arial"/>
                <w:sz w:val="16"/>
                <w:szCs w:val="16"/>
              </w:rPr>
              <w:t>12</w:t>
            </w:r>
          </w:p>
        </w:tc>
        <w:tc>
          <w:tcPr>
            <w:tcW w:w="1278" w:type="dxa"/>
            <w:shd w:val="clear" w:color="auto" w:fill="auto"/>
          </w:tcPr>
          <w:p w14:paraId="5023201D" w14:textId="77777777" w:rsidR="00F37650" w:rsidRPr="00AF4332" w:rsidRDefault="00F37650" w:rsidP="00A26E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F4332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Celkem </w:t>
            </w:r>
            <w:r w:rsidR="002A728B" w:rsidRPr="00AF4332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(</w:t>
            </w:r>
            <w:r w:rsidRPr="00AF4332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GJ</w:t>
            </w:r>
            <w:r w:rsidR="002A728B" w:rsidRPr="00AF4332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)</w:t>
            </w:r>
          </w:p>
        </w:tc>
      </w:tr>
      <w:tr w:rsidR="00F37650" w:rsidRPr="00A87060" w14:paraId="26A56508" w14:textId="77777777" w:rsidTr="00AB3349">
        <w:tc>
          <w:tcPr>
            <w:tcW w:w="1413" w:type="dxa"/>
            <w:shd w:val="clear" w:color="auto" w:fill="auto"/>
          </w:tcPr>
          <w:p w14:paraId="3BC612D6" w14:textId="77777777" w:rsidR="00F37650" w:rsidRPr="00AF4332" w:rsidRDefault="00B42EAB" w:rsidP="00A26E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26E0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Sjednané </w:t>
            </w:r>
            <w:r w:rsidR="00F37650" w:rsidRPr="00AF433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množství </w:t>
            </w:r>
            <w:r w:rsidR="002A728B" w:rsidRPr="00AF433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(</w:t>
            </w:r>
            <w:r w:rsidR="00F37650" w:rsidRPr="00AF433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GJ</w:t>
            </w:r>
            <w:r w:rsidR="002A728B" w:rsidRPr="00AF433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93" w:type="dxa"/>
            <w:shd w:val="clear" w:color="auto" w:fill="auto"/>
          </w:tcPr>
          <w:p w14:paraId="38CD694B" w14:textId="4A4CE3F3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212</w:t>
            </w:r>
          </w:p>
        </w:tc>
        <w:tc>
          <w:tcPr>
            <w:tcW w:w="522" w:type="dxa"/>
            <w:shd w:val="clear" w:color="auto" w:fill="auto"/>
          </w:tcPr>
          <w:p w14:paraId="3B4D3C03" w14:textId="5C42E214" w:rsidR="00F37650" w:rsidRPr="0024007D" w:rsidRDefault="00867DA2" w:rsidP="00CD59F2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181</w:t>
            </w:r>
          </w:p>
        </w:tc>
        <w:tc>
          <w:tcPr>
            <w:tcW w:w="522" w:type="dxa"/>
            <w:shd w:val="clear" w:color="auto" w:fill="auto"/>
          </w:tcPr>
          <w:p w14:paraId="1D0409CC" w14:textId="63520A39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188</w:t>
            </w:r>
          </w:p>
        </w:tc>
        <w:tc>
          <w:tcPr>
            <w:tcW w:w="522" w:type="dxa"/>
            <w:shd w:val="clear" w:color="auto" w:fill="auto"/>
          </w:tcPr>
          <w:p w14:paraId="3EF88E42" w14:textId="20A117EE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147</w:t>
            </w:r>
          </w:p>
        </w:tc>
        <w:tc>
          <w:tcPr>
            <w:tcW w:w="522" w:type="dxa"/>
            <w:shd w:val="clear" w:color="auto" w:fill="auto"/>
          </w:tcPr>
          <w:p w14:paraId="607647D3" w14:textId="5495CD20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90</w:t>
            </w:r>
          </w:p>
        </w:tc>
        <w:tc>
          <w:tcPr>
            <w:tcW w:w="522" w:type="dxa"/>
            <w:shd w:val="clear" w:color="auto" w:fill="auto"/>
          </w:tcPr>
          <w:p w14:paraId="34AE5F4A" w14:textId="2C046140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32</w:t>
            </w:r>
          </w:p>
        </w:tc>
        <w:tc>
          <w:tcPr>
            <w:tcW w:w="522" w:type="dxa"/>
            <w:shd w:val="clear" w:color="auto" w:fill="auto"/>
          </w:tcPr>
          <w:p w14:paraId="208A7A78" w14:textId="0F089892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38</w:t>
            </w:r>
          </w:p>
        </w:tc>
        <w:tc>
          <w:tcPr>
            <w:tcW w:w="522" w:type="dxa"/>
            <w:shd w:val="clear" w:color="auto" w:fill="auto"/>
          </w:tcPr>
          <w:p w14:paraId="7B89063C" w14:textId="32EBBE72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43</w:t>
            </w:r>
          </w:p>
        </w:tc>
        <w:tc>
          <w:tcPr>
            <w:tcW w:w="522" w:type="dxa"/>
            <w:shd w:val="clear" w:color="auto" w:fill="auto"/>
          </w:tcPr>
          <w:p w14:paraId="52C13849" w14:textId="60FC5E8D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82</w:t>
            </w:r>
          </w:p>
        </w:tc>
        <w:tc>
          <w:tcPr>
            <w:tcW w:w="522" w:type="dxa"/>
            <w:shd w:val="clear" w:color="auto" w:fill="auto"/>
          </w:tcPr>
          <w:p w14:paraId="59993889" w14:textId="38DA932A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133</w:t>
            </w:r>
          </w:p>
        </w:tc>
        <w:tc>
          <w:tcPr>
            <w:tcW w:w="522" w:type="dxa"/>
            <w:shd w:val="clear" w:color="auto" w:fill="auto"/>
          </w:tcPr>
          <w:p w14:paraId="661ACED0" w14:textId="27BD9EE0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170</w:t>
            </w:r>
          </w:p>
        </w:tc>
        <w:tc>
          <w:tcPr>
            <w:tcW w:w="522" w:type="dxa"/>
            <w:shd w:val="clear" w:color="auto" w:fill="auto"/>
          </w:tcPr>
          <w:p w14:paraId="2D7CE2BF" w14:textId="6DDCB895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sz w:val="16"/>
                <w:szCs w:val="16"/>
              </w:rPr>
              <w:t>201</w:t>
            </w:r>
          </w:p>
        </w:tc>
        <w:tc>
          <w:tcPr>
            <w:tcW w:w="1278" w:type="dxa"/>
            <w:shd w:val="clear" w:color="auto" w:fill="auto"/>
          </w:tcPr>
          <w:p w14:paraId="2B13836B" w14:textId="50013650" w:rsidR="00F37650" w:rsidRPr="0024007D" w:rsidRDefault="00867DA2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24007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1518</w:t>
            </w:r>
          </w:p>
        </w:tc>
      </w:tr>
      <w:tr w:rsidR="00F37650" w:rsidRPr="00A87060" w14:paraId="517C50F3" w14:textId="77777777" w:rsidTr="00AB3349">
        <w:trPr>
          <w:trHeight w:val="689"/>
        </w:trPr>
        <w:tc>
          <w:tcPr>
            <w:tcW w:w="8926" w:type="dxa"/>
            <w:gridSpan w:val="14"/>
            <w:shd w:val="clear" w:color="auto" w:fill="auto"/>
          </w:tcPr>
          <w:p w14:paraId="3221B07C" w14:textId="07BC0EFA" w:rsidR="00F37650" w:rsidRPr="004C085B" w:rsidRDefault="00F37650" w:rsidP="00A26E0A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C085B">
              <w:rPr>
                <w:rFonts w:ascii="Arial" w:eastAsia="Calibri" w:hAnsi="Arial" w:cs="Arial"/>
                <w:sz w:val="18"/>
                <w:szCs w:val="18"/>
              </w:rPr>
              <w:t xml:space="preserve">Hodnoty předpokládaného odběru tepla uvedeného v odběrovém diagramu jsou celkové pro odběrné místo. Dodavatel tepla neprovádí rozúčtování tepla na další bytové jednotky, které odebírají teplo přes otopnou soustavu, která není ve vlastnictví </w:t>
            </w:r>
            <w:r w:rsidR="00F92E87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Pr="004C085B">
              <w:rPr>
                <w:rFonts w:ascii="Arial" w:eastAsia="Calibri" w:hAnsi="Arial" w:cs="Arial"/>
                <w:sz w:val="18"/>
                <w:szCs w:val="18"/>
              </w:rPr>
              <w:t xml:space="preserve">odavatele.  </w:t>
            </w:r>
          </w:p>
        </w:tc>
      </w:tr>
    </w:tbl>
    <w:p w14:paraId="293A5431" w14:textId="77777777" w:rsidR="00256C7B" w:rsidRDefault="002A728B" w:rsidP="0093645F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br w:type="page"/>
      </w:r>
    </w:p>
    <w:p w14:paraId="3DBCB471" w14:textId="77777777" w:rsidR="0093645F" w:rsidRPr="005E61E7" w:rsidRDefault="00A90635" w:rsidP="00DF2D29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lang w:eastAsia="en-US"/>
        </w:rPr>
      </w:pPr>
      <w:r w:rsidRPr="005E61E7">
        <w:rPr>
          <w:rFonts w:ascii="Arial" w:eastAsia="Calibri" w:hAnsi="Arial" w:cs="Arial"/>
          <w:b/>
          <w:bCs/>
          <w:lang w:eastAsia="en-US"/>
        </w:rPr>
        <w:lastRenderedPageBreak/>
        <w:t>Příloha</w:t>
      </w:r>
      <w:r w:rsidR="0093645F" w:rsidRPr="005E61E7">
        <w:rPr>
          <w:rFonts w:ascii="Arial" w:eastAsia="Calibri" w:hAnsi="Arial" w:cs="Arial"/>
          <w:b/>
          <w:bCs/>
          <w:lang w:eastAsia="en-US"/>
        </w:rPr>
        <w:t xml:space="preserve"> č. </w:t>
      </w:r>
      <w:r w:rsidR="00B4688C">
        <w:rPr>
          <w:rFonts w:ascii="Arial" w:eastAsia="Calibri" w:hAnsi="Arial" w:cs="Arial"/>
          <w:b/>
          <w:bCs/>
          <w:lang w:eastAsia="en-US"/>
        </w:rPr>
        <w:t>2</w:t>
      </w:r>
    </w:p>
    <w:p w14:paraId="760EA063" w14:textId="77777777" w:rsidR="0093645F" w:rsidRPr="007B36B7" w:rsidRDefault="00A87060" w:rsidP="00AB3349">
      <w:pPr>
        <w:autoSpaceDE w:val="0"/>
        <w:autoSpaceDN w:val="0"/>
        <w:adjustRightInd w:val="0"/>
        <w:spacing w:before="240" w:after="100" w:afterAutospacing="1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B36B7">
        <w:rPr>
          <w:rFonts w:ascii="Arial" w:eastAsia="Calibri" w:hAnsi="Arial" w:cs="Arial"/>
          <w:b/>
          <w:bCs/>
          <w:sz w:val="28"/>
          <w:szCs w:val="28"/>
          <w:lang w:eastAsia="en-US"/>
        </w:rPr>
        <w:t>Pasport odběrného místa-</w:t>
      </w:r>
      <w:r w:rsidR="00F37650" w:rsidRPr="007B36B7">
        <w:rPr>
          <w:rFonts w:ascii="Arial" w:eastAsia="Calibri" w:hAnsi="Arial" w:cs="Arial"/>
          <w:b/>
          <w:bCs/>
          <w:sz w:val="28"/>
          <w:szCs w:val="28"/>
          <w:lang w:eastAsia="en-US"/>
        </w:rPr>
        <w:t>t</w:t>
      </w:r>
      <w:r w:rsidRPr="007B36B7">
        <w:rPr>
          <w:rFonts w:ascii="Arial" w:eastAsia="Calibri" w:hAnsi="Arial" w:cs="Arial"/>
          <w:b/>
          <w:bCs/>
          <w:sz w:val="28"/>
          <w:szCs w:val="28"/>
          <w:lang w:eastAsia="en-US"/>
        </w:rPr>
        <w:t>eplá voda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72"/>
      </w:tblGrid>
      <w:tr w:rsidR="00A87060" w:rsidRPr="0022090D" w14:paraId="7CDE5783" w14:textId="77777777" w:rsidTr="00A26E0A">
        <w:tc>
          <w:tcPr>
            <w:tcW w:w="9072" w:type="dxa"/>
            <w:shd w:val="clear" w:color="auto" w:fill="auto"/>
          </w:tcPr>
          <w:p w14:paraId="2A2BE490" w14:textId="3F5485C7" w:rsidR="00A87060" w:rsidRPr="0022090D" w:rsidRDefault="00AE3995" w:rsidP="00AE3995">
            <w:pPr>
              <w:spacing w:before="240" w:after="60"/>
              <w:jc w:val="center"/>
              <w:rPr>
                <w:rFonts w:ascii="Arial" w:hAnsi="Arial" w:cs="Arial"/>
              </w:rPr>
            </w:pPr>
            <w:r w:rsidRPr="0022090D">
              <w:rPr>
                <w:rFonts w:ascii="Arial" w:hAnsi="Arial" w:cs="Arial"/>
                <w:b/>
              </w:rPr>
              <w:t xml:space="preserve">Odběrné místo </w:t>
            </w:r>
            <w:r w:rsidR="00A87060" w:rsidRPr="0022090D">
              <w:rPr>
                <w:rFonts w:ascii="Arial" w:hAnsi="Arial" w:cs="Arial"/>
                <w:b/>
              </w:rPr>
              <w:t>č.  MM Q UT</w:t>
            </w:r>
            <w:r w:rsidR="00ED4CD8">
              <w:rPr>
                <w:rFonts w:ascii="Arial" w:hAnsi="Arial" w:cs="Arial"/>
                <w:b/>
              </w:rPr>
              <w:t xml:space="preserve"> </w:t>
            </w:r>
            <w:r w:rsidR="00867DA2">
              <w:rPr>
                <w:rFonts w:ascii="Arial" w:hAnsi="Arial" w:cs="Arial"/>
                <w:b/>
              </w:rPr>
              <w:t>+</w:t>
            </w:r>
            <w:r w:rsidR="00ED4CD8">
              <w:rPr>
                <w:rFonts w:ascii="Arial" w:hAnsi="Arial" w:cs="Arial"/>
                <w:b/>
              </w:rPr>
              <w:t xml:space="preserve"> </w:t>
            </w:r>
            <w:r w:rsidR="00867DA2">
              <w:rPr>
                <w:rFonts w:ascii="Arial" w:hAnsi="Arial" w:cs="Arial"/>
                <w:b/>
              </w:rPr>
              <w:t>TUV</w:t>
            </w:r>
          </w:p>
          <w:p w14:paraId="413A7F60" w14:textId="0D852ED6" w:rsidR="00275C7C" w:rsidRDefault="00EA332A" w:rsidP="00A26E0A">
            <w:pPr>
              <w:tabs>
                <w:tab w:val="left" w:pos="8789"/>
              </w:tabs>
              <w:spacing w:before="40" w:after="20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1. Odběratel: </w:t>
            </w:r>
            <w:r w:rsidR="00264E31" w:rsidRPr="001702E5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Domov </w:t>
            </w:r>
            <w:r w:rsidR="00D578BE" w:rsidRPr="001702E5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seniorů Bobelovka</w:t>
            </w:r>
          </w:p>
          <w:p w14:paraId="1F5DBC8F" w14:textId="3B15751C" w:rsidR="00A87060" w:rsidRPr="0022090D" w:rsidRDefault="00A87060" w:rsidP="00A26E0A">
            <w:pPr>
              <w:tabs>
                <w:tab w:val="left" w:pos="8789"/>
              </w:tabs>
              <w:spacing w:before="40" w:after="20"/>
              <w:rPr>
                <w:rFonts w:ascii="Arial" w:hAnsi="Arial" w:cs="Arial"/>
                <w:b/>
                <w:lang w:eastAsia="en-US"/>
              </w:rPr>
            </w:pPr>
            <w:r w:rsidRPr="0022090D">
              <w:rPr>
                <w:rFonts w:ascii="Arial" w:hAnsi="Arial" w:cs="Arial"/>
                <w:b/>
              </w:rPr>
              <w:t>2. Údaje o odběrném místě</w:t>
            </w:r>
          </w:p>
          <w:tbl>
            <w:tblPr>
              <w:tblW w:w="8930" w:type="dxa"/>
              <w:tblInd w:w="2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1922"/>
              <w:gridCol w:w="1427"/>
              <w:gridCol w:w="2976"/>
              <w:gridCol w:w="622"/>
              <w:gridCol w:w="1983"/>
            </w:tblGrid>
            <w:tr w:rsidR="00A87060" w:rsidRPr="0022090D" w14:paraId="69CE0550" w14:textId="77777777" w:rsidTr="00A26E0A">
              <w:trPr>
                <w:gridAfter w:val="2"/>
                <w:wAfter w:w="2605" w:type="dxa"/>
              </w:trPr>
              <w:tc>
                <w:tcPr>
                  <w:tcW w:w="63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6E6E6"/>
                  <w:hideMark/>
                </w:tcPr>
                <w:p w14:paraId="6A17883F" w14:textId="6F96D9BA" w:rsidR="00A87060" w:rsidRPr="0022090D" w:rsidRDefault="00A87060" w:rsidP="00A26E0A">
                  <w:pPr>
                    <w:spacing w:before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090D">
                    <w:rPr>
                      <w:rFonts w:ascii="Arial" w:hAnsi="Arial" w:cs="Arial"/>
                      <w:sz w:val="20"/>
                      <w:szCs w:val="20"/>
                    </w:rPr>
                    <w:t>Otín čp.</w:t>
                  </w:r>
                  <w:r w:rsidR="005B38E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E6479">
                    <w:rPr>
                      <w:rFonts w:ascii="Arial" w:hAnsi="Arial" w:cs="Arial"/>
                      <w:sz w:val="20"/>
                      <w:szCs w:val="20"/>
                    </w:rPr>
                    <w:t>90</w:t>
                  </w:r>
                  <w:r w:rsidRPr="0022090D">
                    <w:rPr>
                      <w:rFonts w:ascii="Arial" w:hAnsi="Arial" w:cs="Arial"/>
                      <w:sz w:val="20"/>
                      <w:szCs w:val="20"/>
                    </w:rPr>
                    <w:t xml:space="preserve">, 377 01 Jindřichův Hradec, </w:t>
                  </w:r>
                  <w:r w:rsidR="00DE6479">
                    <w:rPr>
                      <w:rFonts w:ascii="Arial" w:hAnsi="Arial" w:cs="Arial"/>
                      <w:sz w:val="20"/>
                      <w:szCs w:val="20"/>
                    </w:rPr>
                    <w:t>1.PP – vstup do objektu, strojovna vzduchotechniky</w:t>
                  </w:r>
                </w:p>
                <w:p w14:paraId="23D2D1F9" w14:textId="77777777" w:rsidR="00A87060" w:rsidRPr="0022090D" w:rsidRDefault="00A87060" w:rsidP="00A26E0A">
                  <w:pPr>
                    <w:spacing w:before="40"/>
                    <w:ind w:left="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87060" w:rsidRPr="0022090D" w14:paraId="6C0C9CD1" w14:textId="77777777" w:rsidTr="00A26E0A">
              <w:trPr>
                <w:cantSplit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1FAEAF52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Potřebný výkon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0B88ADCA" w14:textId="77777777" w:rsidR="00A87060" w:rsidRPr="0022090D" w:rsidRDefault="00A87060" w:rsidP="00A26E0A">
                  <w:pPr>
                    <w:ind w:left="-57" w:right="-71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Ohřev TV</w:t>
                  </w:r>
                </w:p>
              </w:tc>
              <w:tc>
                <w:tcPr>
                  <w:tcW w:w="2976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157FDF6C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Typ sazby</w:t>
                  </w:r>
                </w:p>
              </w:tc>
              <w:tc>
                <w:tcPr>
                  <w:tcW w:w="2605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65AAFF2F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Tarifní skupina</w:t>
                  </w:r>
                </w:p>
              </w:tc>
            </w:tr>
            <w:tr w:rsidR="00A87060" w:rsidRPr="0022090D" w14:paraId="4E90DBBD" w14:textId="77777777" w:rsidTr="00A26E0A">
              <w:trPr>
                <w:cantSplit/>
              </w:trPr>
              <w:tc>
                <w:tcPr>
                  <w:tcW w:w="192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3AE8E999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MW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14566D2C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1 - ano      2 - ne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52A6FB9D" w14:textId="77777777" w:rsidR="00A87060" w:rsidRPr="0022090D" w:rsidRDefault="00A87060" w:rsidP="00634072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B</w:t>
                  </w:r>
                </w:p>
              </w:tc>
              <w:tc>
                <w:tcPr>
                  <w:tcW w:w="260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6B0F8C93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Složená sazba=A, jednoduchá sazba=B</w:t>
                  </w:r>
                </w:p>
              </w:tc>
            </w:tr>
            <w:tr w:rsidR="00A87060" w:rsidRPr="0022090D" w14:paraId="6A4EBD0F" w14:textId="77777777" w:rsidTr="00A26E0A">
              <w:trPr>
                <w:cantSplit/>
              </w:trPr>
              <w:tc>
                <w:tcPr>
                  <w:tcW w:w="192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264AB0B6" w14:textId="74DAA359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  <w:r w:rsidRPr="00275C7C">
                    <w:rPr>
                      <w:rFonts w:ascii="Arial" w:hAnsi="Arial" w:cs="Arial"/>
                      <w:bCs/>
                      <w:sz w:val="18"/>
                    </w:rPr>
                    <w:t>0,</w:t>
                  </w:r>
                  <w:r w:rsidR="00DE6479">
                    <w:rPr>
                      <w:rFonts w:ascii="Arial" w:hAnsi="Arial" w:cs="Arial"/>
                      <w:bCs/>
                      <w:sz w:val="18"/>
                    </w:rPr>
                    <w:t>3</w:t>
                  </w:r>
                  <w:r w:rsidR="00F43949">
                    <w:rPr>
                      <w:rFonts w:ascii="Arial" w:hAnsi="Arial" w:cs="Arial"/>
                      <w:bCs/>
                      <w:sz w:val="18"/>
                    </w:rPr>
                    <w:t>72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1A6A01CC" w14:textId="04FB1383" w:rsidR="00A87060" w:rsidRPr="0022090D" w:rsidRDefault="00B92233" w:rsidP="00A26E0A">
                  <w:pPr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6FD3B41E" w14:textId="77777777" w:rsidR="00A87060" w:rsidRPr="0022090D" w:rsidRDefault="00A87060" w:rsidP="00A26E0A">
                  <w:pPr>
                    <w:ind w:left="-233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  <w:r w:rsidRPr="0022090D">
                    <w:rPr>
                      <w:rFonts w:ascii="Arial" w:hAnsi="Arial" w:cs="Arial"/>
                      <w:bCs/>
                      <w:sz w:val="18"/>
                    </w:rPr>
                    <w:t xml:space="preserve">  </w:t>
                  </w:r>
                </w:p>
              </w:tc>
              <w:tc>
                <w:tcPr>
                  <w:tcW w:w="2605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27B1C7E7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A87060" w:rsidRPr="0022090D" w14:paraId="0C7D6D0A" w14:textId="77777777" w:rsidTr="00A26E0A">
              <w:trPr>
                <w:cantSplit/>
                <w:trHeight w:val="115"/>
              </w:trPr>
              <w:tc>
                <w:tcPr>
                  <w:tcW w:w="192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69B7E7FA" w14:textId="77777777" w:rsidR="00A87060" w:rsidRPr="0022090D" w:rsidRDefault="00A87060" w:rsidP="00A26E0A">
                  <w:pPr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 xml:space="preserve">Charakter odběr. místa                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4F4B4181" w14:textId="3BED3BA7" w:rsidR="00A87060" w:rsidRPr="0022090D" w:rsidRDefault="00A87060" w:rsidP="00A26E0A">
                  <w:pPr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Předávacím místem je: Vyznačení předávací</w:t>
                  </w:r>
                  <w:r w:rsidR="00365A6C">
                    <w:rPr>
                      <w:rFonts w:ascii="Arial" w:hAnsi="Arial" w:cs="Arial"/>
                      <w:sz w:val="16"/>
                    </w:rPr>
                    <w:t>ho</w:t>
                  </w:r>
                  <w:r w:rsidRPr="0022090D">
                    <w:rPr>
                      <w:rFonts w:ascii="Arial" w:hAnsi="Arial" w:cs="Arial"/>
                      <w:sz w:val="16"/>
                    </w:rPr>
                    <w:t xml:space="preserve"> míst</w:t>
                  </w:r>
                  <w:r w:rsidR="00365A6C">
                    <w:rPr>
                      <w:rFonts w:ascii="Arial" w:hAnsi="Arial" w:cs="Arial"/>
                      <w:sz w:val="16"/>
                    </w:rPr>
                    <w:t>a</w:t>
                  </w:r>
                  <w:r w:rsidRPr="0022090D">
                    <w:rPr>
                      <w:rFonts w:ascii="Arial" w:hAnsi="Arial" w:cs="Arial"/>
                      <w:sz w:val="16"/>
                    </w:rPr>
                    <w:t xml:space="preserve"> viz. příloha č. 4 „Schéma DPS“</w:t>
                  </w:r>
                  <w:r w:rsidR="00761774">
                    <w:rPr>
                      <w:rFonts w:ascii="Arial" w:hAnsi="Arial" w:cs="Arial"/>
                      <w:sz w:val="16"/>
                    </w:rPr>
                    <w:t>. Jedná se o tlakově nezávislou soustavu zásobování teplem.</w:t>
                  </w:r>
                  <w:r w:rsidR="00F43949">
                    <w:rPr>
                      <w:rFonts w:ascii="Arial" w:hAnsi="Arial" w:cs="Arial"/>
                      <w:sz w:val="16"/>
                    </w:rPr>
                    <w:t xml:space="preserve"> Předávací místo je před DPS. DPS není v majetku dodavatele. 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151CC9FB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Datum zahájení/změny odběru</w:t>
                  </w:r>
                </w:p>
              </w:tc>
            </w:tr>
            <w:tr w:rsidR="00A87060" w:rsidRPr="0022090D" w14:paraId="56CBE945" w14:textId="77777777" w:rsidTr="00A26E0A">
              <w:trPr>
                <w:cantSplit/>
                <w:trHeight w:val="183"/>
              </w:trPr>
              <w:tc>
                <w:tcPr>
                  <w:tcW w:w="1922" w:type="dxa"/>
                  <w:vMerge w:val="restart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42CCDDB8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 xml:space="preserve">1 – </w:t>
                  </w:r>
                  <w:proofErr w:type="spellStart"/>
                  <w:r w:rsidRPr="0022090D">
                    <w:rPr>
                      <w:rFonts w:ascii="Arial" w:hAnsi="Arial" w:cs="Arial"/>
                      <w:sz w:val="16"/>
                    </w:rPr>
                    <w:t>nebyty</w:t>
                  </w:r>
                  <w:proofErr w:type="spellEnd"/>
                  <w:r w:rsidRPr="0022090D">
                    <w:rPr>
                      <w:rFonts w:ascii="Arial" w:hAnsi="Arial" w:cs="Arial"/>
                      <w:sz w:val="16"/>
                    </w:rPr>
                    <w:t xml:space="preserve">    2 – byty       </w:t>
                  </w:r>
                </w:p>
                <w:p w14:paraId="4862A174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 xml:space="preserve"> 3 - smíšený       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0AD8AF2B" w14:textId="77777777" w:rsidR="00A87060" w:rsidRPr="0022090D" w:rsidRDefault="00A87060" w:rsidP="00A26E0A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14:paraId="35C4B7CC" w14:textId="77777777" w:rsidR="00A87060" w:rsidRPr="0022090D" w:rsidRDefault="00A87060" w:rsidP="00A26E0A">
                  <w:pPr>
                    <w:rPr>
                      <w:rFonts w:ascii="Arial" w:hAnsi="Arial" w:cs="Arial"/>
                      <w:sz w:val="16"/>
                      <w:szCs w:val="22"/>
                      <w:lang w:eastAsia="en-US"/>
                    </w:rPr>
                  </w:pPr>
                </w:p>
              </w:tc>
            </w:tr>
            <w:tr w:rsidR="00A87060" w:rsidRPr="0022090D" w14:paraId="7411B498" w14:textId="77777777" w:rsidTr="00A26E0A">
              <w:trPr>
                <w:cantSplit/>
                <w:trHeight w:val="189"/>
              </w:trPr>
              <w:tc>
                <w:tcPr>
                  <w:tcW w:w="1922" w:type="dxa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14:paraId="67C0E5F0" w14:textId="77777777" w:rsidR="00A87060" w:rsidRPr="0022090D" w:rsidRDefault="00A87060" w:rsidP="00A26E0A">
                  <w:pPr>
                    <w:rPr>
                      <w:rFonts w:ascii="Arial" w:hAnsi="Arial" w:cs="Arial"/>
                      <w:sz w:val="16"/>
                      <w:szCs w:val="22"/>
                      <w:lang w:eastAsia="en-US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6E421B46" w14:textId="77777777" w:rsidR="00A87060" w:rsidRPr="0022090D" w:rsidRDefault="00A87060" w:rsidP="00A26E0A">
                  <w:pPr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Měřicím místem je: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791D4CA1" w14:textId="2C91E5A0" w:rsidR="00A87060" w:rsidRPr="0022090D" w:rsidRDefault="00513A6C" w:rsidP="00A26E0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40A10"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  <w:r w:rsidR="00012671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140A10">
                    <w:rPr>
                      <w:rFonts w:ascii="Arial" w:hAnsi="Arial" w:cs="Arial"/>
                      <w:sz w:val="16"/>
                      <w:szCs w:val="16"/>
                    </w:rPr>
                    <w:t>.202</w:t>
                  </w:r>
                  <w:r w:rsidR="0001267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A87060" w:rsidRPr="0022090D" w14:paraId="08708E8C" w14:textId="77777777" w:rsidTr="00140A10">
              <w:trPr>
                <w:cantSplit/>
                <w:trHeight w:val="122"/>
              </w:trPr>
              <w:tc>
                <w:tcPr>
                  <w:tcW w:w="192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664A3203" w14:textId="1CBA839C" w:rsidR="00A87060" w:rsidRPr="00C90E55" w:rsidRDefault="005B38E4" w:rsidP="00A26E0A">
                  <w:pPr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14:paraId="476D949A" w14:textId="553246B2" w:rsidR="00A87060" w:rsidRPr="00C90E55" w:rsidRDefault="00A87060" w:rsidP="00A26E0A">
                  <w:pPr>
                    <w:rPr>
                      <w:rFonts w:ascii="Arial" w:hAnsi="Arial" w:cs="Arial"/>
                      <w:sz w:val="16"/>
                    </w:rPr>
                  </w:pPr>
                  <w:r w:rsidRPr="00C90E55">
                    <w:rPr>
                      <w:rFonts w:ascii="Arial" w:hAnsi="Arial" w:cs="Arial"/>
                      <w:sz w:val="16"/>
                    </w:rPr>
                    <w:t xml:space="preserve">Měřidlo tepelné energie na vratném potrubí z DPS do sítě </w:t>
                  </w:r>
                  <w:r w:rsidR="00F43949">
                    <w:rPr>
                      <w:rFonts w:ascii="Arial" w:hAnsi="Arial" w:cs="Arial"/>
                      <w:sz w:val="16"/>
                    </w:rPr>
                    <w:t>teplovodu</w:t>
                  </w:r>
                  <w:r w:rsidRPr="00C90E55">
                    <w:rPr>
                      <w:rFonts w:ascii="Arial" w:hAnsi="Arial" w:cs="Arial"/>
                      <w:sz w:val="16"/>
                    </w:rPr>
                    <w:t xml:space="preserve">. </w:t>
                  </w:r>
                </w:p>
                <w:p w14:paraId="55164C16" w14:textId="7129FE54" w:rsidR="004726AC" w:rsidRPr="00C90E55" w:rsidRDefault="00A87060" w:rsidP="004726AC">
                  <w:pPr>
                    <w:rPr>
                      <w:rFonts w:ascii="Arial" w:hAnsi="Arial" w:cs="Arial"/>
                      <w:sz w:val="16"/>
                    </w:rPr>
                  </w:pPr>
                  <w:r w:rsidRPr="00C90E55">
                    <w:rPr>
                      <w:rFonts w:ascii="Arial" w:hAnsi="Arial" w:cs="Arial"/>
                      <w:sz w:val="16"/>
                    </w:rPr>
                    <w:t xml:space="preserve">Způsob měření: rozdíl teplot, průtok média. Měřič tepla: </w:t>
                  </w:r>
                  <w:proofErr w:type="spellStart"/>
                  <w:r w:rsidRPr="00C90E55">
                    <w:rPr>
                      <w:rFonts w:ascii="Arial" w:hAnsi="Arial" w:cs="Arial"/>
                      <w:sz w:val="16"/>
                    </w:rPr>
                    <w:t>Landis</w:t>
                  </w:r>
                  <w:proofErr w:type="spellEnd"/>
                  <w:r w:rsidRPr="00C90E55">
                    <w:rPr>
                      <w:rFonts w:ascii="Arial" w:hAnsi="Arial" w:cs="Arial"/>
                      <w:sz w:val="16"/>
                    </w:rPr>
                    <w:t xml:space="preserve"> + </w:t>
                  </w:r>
                  <w:proofErr w:type="spellStart"/>
                  <w:r w:rsidRPr="00C90E55">
                    <w:rPr>
                      <w:rFonts w:ascii="Arial" w:hAnsi="Arial" w:cs="Arial"/>
                      <w:sz w:val="16"/>
                    </w:rPr>
                    <w:t>Gyr</w:t>
                  </w:r>
                  <w:proofErr w:type="spellEnd"/>
                  <w:r w:rsidRPr="00C90E55">
                    <w:rPr>
                      <w:rFonts w:ascii="Arial" w:hAnsi="Arial" w:cs="Arial"/>
                      <w:sz w:val="16"/>
                    </w:rPr>
                    <w:t>, UH 50</w:t>
                  </w:r>
                  <w:r w:rsidR="00761774" w:rsidRPr="00C90E55">
                    <w:rPr>
                      <w:rFonts w:ascii="Arial" w:hAnsi="Arial" w:cs="Arial"/>
                      <w:sz w:val="16"/>
                    </w:rPr>
                    <w:t xml:space="preserve">, DN </w:t>
                  </w:r>
                  <w:r w:rsidR="00513A6C">
                    <w:rPr>
                      <w:rFonts w:ascii="Arial" w:hAnsi="Arial" w:cs="Arial"/>
                      <w:sz w:val="16"/>
                    </w:rPr>
                    <w:t>40</w:t>
                  </w:r>
                  <w:r w:rsidR="00761774" w:rsidRPr="00C90E55">
                    <w:rPr>
                      <w:rFonts w:ascii="Arial" w:hAnsi="Arial" w:cs="Arial"/>
                      <w:sz w:val="16"/>
                    </w:rPr>
                    <w:t xml:space="preserve">, PN </w:t>
                  </w:r>
                  <w:r w:rsidR="00513A6C">
                    <w:rPr>
                      <w:rFonts w:ascii="Arial" w:hAnsi="Arial" w:cs="Arial"/>
                      <w:sz w:val="16"/>
                    </w:rPr>
                    <w:t>25</w:t>
                  </w:r>
                </w:p>
                <w:p w14:paraId="51EAA6EB" w14:textId="0ADD72EE" w:rsidR="00761774" w:rsidRPr="00C90E55" w:rsidRDefault="00761774" w:rsidP="004726AC">
                  <w:pPr>
                    <w:rPr>
                      <w:rFonts w:ascii="Arial" w:hAnsi="Arial" w:cs="Arial"/>
                      <w:sz w:val="16"/>
                    </w:rPr>
                  </w:pPr>
                  <w:r w:rsidRPr="00C90E55">
                    <w:rPr>
                      <w:rFonts w:ascii="Arial" w:hAnsi="Arial" w:cs="Arial"/>
                      <w:sz w:val="16"/>
                    </w:rPr>
                    <w:t>Měřidlo doplňovací vody do bytové topné soustavy</w:t>
                  </w:r>
                  <w:r w:rsidRPr="00B92233">
                    <w:rPr>
                      <w:rFonts w:ascii="Arial" w:hAnsi="Arial" w:cs="Arial"/>
                      <w:sz w:val="16"/>
                    </w:rPr>
                    <w:t xml:space="preserve">: </w:t>
                  </w:r>
                  <w:r w:rsidR="002F0650" w:rsidRPr="00B92233">
                    <w:rPr>
                      <w:rFonts w:ascii="Arial" w:hAnsi="Arial" w:cs="Arial"/>
                      <w:sz w:val="16"/>
                    </w:rPr>
                    <w:t>Lorenz</w:t>
                  </w:r>
                  <w:r w:rsidR="00BA2510" w:rsidRPr="00B92233">
                    <w:rPr>
                      <w:rFonts w:ascii="Arial" w:hAnsi="Arial" w:cs="Arial"/>
                      <w:sz w:val="16"/>
                    </w:rPr>
                    <w:t>, ETI, DN</w:t>
                  </w:r>
                  <w:r w:rsidR="00513A6C" w:rsidRPr="00B92233">
                    <w:rPr>
                      <w:rFonts w:ascii="Arial" w:hAnsi="Arial" w:cs="Arial"/>
                      <w:sz w:val="16"/>
                    </w:rPr>
                    <w:t>20</w:t>
                  </w:r>
                  <w:r w:rsidR="00BA2510" w:rsidRPr="00B92233">
                    <w:rPr>
                      <w:rFonts w:ascii="Arial" w:hAnsi="Arial" w:cs="Arial"/>
                      <w:sz w:val="16"/>
                    </w:rPr>
                    <w:t>, Q3=2,5m</w:t>
                  </w:r>
                  <w:r w:rsidR="00BA2510" w:rsidRPr="00B92233">
                    <w:rPr>
                      <w:rFonts w:ascii="Arial" w:hAnsi="Arial" w:cs="Arial"/>
                      <w:sz w:val="16"/>
                      <w:vertAlign w:val="superscript"/>
                    </w:rPr>
                    <w:t>3</w:t>
                  </w:r>
                  <w:r w:rsidR="00C90E55" w:rsidRPr="00B92233">
                    <w:rPr>
                      <w:rFonts w:ascii="Arial" w:hAnsi="Arial" w:cs="Arial"/>
                      <w:sz w:val="16"/>
                    </w:rPr>
                    <w:t>.</w:t>
                  </w: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27072" w14:textId="77777777" w:rsidR="00A87060" w:rsidRPr="0022090D" w:rsidRDefault="00A87060" w:rsidP="00A26E0A">
                  <w:pPr>
                    <w:rPr>
                      <w:rFonts w:ascii="Arial" w:hAnsi="Arial" w:cs="Arial"/>
                      <w:sz w:val="18"/>
                      <w:szCs w:val="22"/>
                      <w:lang w:eastAsia="en-US"/>
                    </w:rPr>
                  </w:pPr>
                </w:p>
              </w:tc>
            </w:tr>
          </w:tbl>
          <w:p w14:paraId="61194F20" w14:textId="77777777" w:rsidR="00C45353" w:rsidRDefault="00C45353" w:rsidP="00A26E0A">
            <w:pPr>
              <w:tabs>
                <w:tab w:val="left" w:pos="8789"/>
              </w:tabs>
              <w:spacing w:before="40" w:after="20"/>
              <w:rPr>
                <w:rFonts w:ascii="Arial" w:hAnsi="Arial" w:cs="Arial"/>
                <w:b/>
              </w:rPr>
            </w:pPr>
          </w:p>
          <w:p w14:paraId="22FD564B" w14:textId="77777777" w:rsidR="00A87060" w:rsidRPr="0022090D" w:rsidRDefault="00A87060" w:rsidP="00A26E0A">
            <w:pPr>
              <w:tabs>
                <w:tab w:val="left" w:pos="8789"/>
              </w:tabs>
              <w:spacing w:before="40" w:after="20"/>
              <w:rPr>
                <w:rFonts w:ascii="Arial" w:hAnsi="Arial" w:cs="Arial"/>
                <w:b/>
                <w:lang w:eastAsia="en-US"/>
              </w:rPr>
            </w:pPr>
            <w:r w:rsidRPr="0022090D">
              <w:rPr>
                <w:rFonts w:ascii="Arial" w:hAnsi="Arial" w:cs="Arial"/>
                <w:b/>
              </w:rPr>
              <w:t>3. Údaje o vytápěných objektech</w:t>
            </w:r>
          </w:p>
          <w:tbl>
            <w:tblPr>
              <w:tblW w:w="895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1417"/>
              <w:gridCol w:w="1275"/>
              <w:gridCol w:w="2124"/>
              <w:gridCol w:w="2230"/>
            </w:tblGrid>
            <w:tr w:rsidR="00A87060" w:rsidRPr="0022090D" w14:paraId="732AAAE2" w14:textId="77777777" w:rsidTr="00A26E0A">
              <w:trPr>
                <w:cantSplit/>
              </w:trPr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BE442A7" w14:textId="77777777" w:rsidR="00A87060" w:rsidRPr="0022090D" w:rsidRDefault="00A87060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sz w:val="16"/>
                      <w:szCs w:val="22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Obestavěný prostor (m</w:t>
                  </w:r>
                  <w:r w:rsidRPr="0022090D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  <w:r w:rsidRPr="0022090D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Pr="0022090D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26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2EDDDE7B" w14:textId="77777777" w:rsidR="00A87060" w:rsidRPr="0022090D" w:rsidRDefault="00A87060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Vytápěná plocha (m</w:t>
                  </w:r>
                  <w:r w:rsidRPr="0022090D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  <w:r w:rsidRPr="0022090D">
                    <w:rPr>
                      <w:rFonts w:ascii="Arial" w:hAnsi="Arial" w:cs="Arial"/>
                      <w:sz w:val="16"/>
                    </w:rPr>
                    <w:t>)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nil"/>
                    <w:right w:val="single" w:sz="6" w:space="0" w:color="auto"/>
                  </w:tcBorders>
                  <w:hideMark/>
                </w:tcPr>
                <w:p w14:paraId="10ACD80C" w14:textId="77777777" w:rsidR="00A87060" w:rsidRPr="0022090D" w:rsidRDefault="00A87060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Počet bytových jednotek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1E90326" w14:textId="77777777" w:rsidR="00A87060" w:rsidRPr="0022090D" w:rsidRDefault="00A87060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Počet bytových jednotek</w:t>
                  </w:r>
                </w:p>
              </w:tc>
            </w:tr>
            <w:tr w:rsidR="00A87060" w:rsidRPr="0022090D" w14:paraId="6DC68B59" w14:textId="77777777" w:rsidTr="00A26E0A">
              <w:trPr>
                <w:cantSplit/>
              </w:trPr>
              <w:tc>
                <w:tcPr>
                  <w:tcW w:w="19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EA9763" w14:textId="77777777" w:rsidR="00A87060" w:rsidRPr="0022090D" w:rsidRDefault="00A87060" w:rsidP="00A26E0A">
                  <w:pPr>
                    <w:ind w:left="-636" w:firstLine="636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30BE9166" w14:textId="77777777" w:rsidR="00A87060" w:rsidRPr="0022090D" w:rsidRDefault="00A87060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sz w:val="16"/>
                    </w:rPr>
                  </w:pPr>
                  <w:proofErr w:type="spellStart"/>
                  <w:r w:rsidRPr="0022090D">
                    <w:rPr>
                      <w:rFonts w:ascii="Arial" w:hAnsi="Arial" w:cs="Arial"/>
                      <w:sz w:val="16"/>
                    </w:rPr>
                    <w:t>nebyty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19DCC721" w14:textId="77777777" w:rsidR="00A87060" w:rsidRPr="0022090D" w:rsidRDefault="00A87060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byty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5D004FF" w14:textId="77777777" w:rsidR="00A87060" w:rsidRPr="0022090D" w:rsidRDefault="00A87060" w:rsidP="00A26E0A">
                  <w:pPr>
                    <w:ind w:left="-636" w:firstLine="636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230" w:type="dxa"/>
                  <w:tcBorders>
                    <w:top w:val="nil"/>
                    <w:left w:val="single" w:sz="6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85C7377" w14:textId="77777777" w:rsidR="00A87060" w:rsidRPr="0022090D" w:rsidRDefault="00A87060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s TV</w:t>
                  </w:r>
                </w:p>
              </w:tc>
            </w:tr>
            <w:tr w:rsidR="00A87060" w:rsidRPr="00B36327" w14:paraId="6F105ACF" w14:textId="77777777" w:rsidTr="00BA2510">
              <w:trPr>
                <w:cantSplit/>
              </w:trPr>
              <w:tc>
                <w:tcPr>
                  <w:tcW w:w="1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CBD7B" w14:textId="27268221" w:rsidR="00A87060" w:rsidRPr="00B92233" w:rsidRDefault="00482BBD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9223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21.072,25m3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535E041B" w14:textId="28F137BD" w:rsidR="00A87060" w:rsidRPr="00B92233" w:rsidRDefault="001B6010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9223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8D0535A" w14:textId="0A64CA6F" w:rsidR="00A87060" w:rsidRPr="00B92233" w:rsidRDefault="00E36B90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9223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6238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4B1A91D7" w14:textId="40FB1DA8" w:rsidR="00A87060" w:rsidRPr="00B92233" w:rsidRDefault="00DF2257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9223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9BF65" w14:textId="60E8480B" w:rsidR="00A87060" w:rsidRPr="00B92233" w:rsidRDefault="0055250E" w:rsidP="00A26E0A">
                  <w:pPr>
                    <w:ind w:left="-636" w:firstLine="636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9223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64</w:t>
                  </w:r>
                </w:p>
              </w:tc>
            </w:tr>
          </w:tbl>
          <w:p w14:paraId="61789E39" w14:textId="77777777" w:rsidR="00C45353" w:rsidRPr="00B36327" w:rsidRDefault="00C45353" w:rsidP="00A26E0A">
            <w:pPr>
              <w:tabs>
                <w:tab w:val="left" w:pos="8789"/>
              </w:tabs>
              <w:spacing w:before="40" w:after="20"/>
              <w:rPr>
                <w:rFonts w:ascii="Arial" w:hAnsi="Arial" w:cs="Arial"/>
                <w:bCs/>
              </w:rPr>
            </w:pPr>
          </w:p>
          <w:p w14:paraId="6B5AE79E" w14:textId="77777777" w:rsidR="00A87060" w:rsidRPr="0022090D" w:rsidRDefault="00A87060" w:rsidP="00A26E0A">
            <w:pPr>
              <w:tabs>
                <w:tab w:val="left" w:pos="8789"/>
              </w:tabs>
              <w:spacing w:before="40" w:after="20"/>
              <w:rPr>
                <w:rFonts w:ascii="Arial" w:hAnsi="Arial" w:cs="Arial"/>
                <w:b/>
                <w:lang w:eastAsia="en-US"/>
              </w:rPr>
            </w:pPr>
            <w:r w:rsidRPr="0022090D">
              <w:rPr>
                <w:rFonts w:ascii="Arial" w:hAnsi="Arial" w:cs="Arial"/>
                <w:b/>
              </w:rPr>
              <w:t>4. Rozdělení potřebného výkonu v MW</w:t>
            </w:r>
            <w:r w:rsidRPr="0022090D">
              <w:rPr>
                <w:rFonts w:ascii="Arial" w:hAnsi="Arial" w:cs="Arial"/>
                <w:b/>
              </w:rPr>
              <w:tab/>
              <w:t xml:space="preserve">      </w:t>
            </w:r>
          </w:p>
          <w:tbl>
            <w:tblPr>
              <w:tblW w:w="89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992"/>
              <w:gridCol w:w="1133"/>
              <w:gridCol w:w="1133"/>
              <w:gridCol w:w="1700"/>
              <w:gridCol w:w="1416"/>
              <w:gridCol w:w="1378"/>
            </w:tblGrid>
            <w:tr w:rsidR="00A87060" w:rsidRPr="0022090D" w14:paraId="65E650B7" w14:textId="77777777" w:rsidTr="00A26E0A">
              <w:trPr>
                <w:cantSplit/>
              </w:trPr>
              <w:tc>
                <w:tcPr>
                  <w:tcW w:w="2195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19747C5B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  <w:szCs w:val="22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Topení (MW)</w:t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6" w:space="0" w:color="auto"/>
                  </w:tcBorders>
                  <w:hideMark/>
                </w:tcPr>
                <w:p w14:paraId="24D36E86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Ohřev TUV (MW)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nil"/>
                    <w:right w:val="single" w:sz="6" w:space="0" w:color="auto"/>
                  </w:tcBorders>
                  <w:hideMark/>
                </w:tcPr>
                <w:p w14:paraId="5E43DEBF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Technologie (MW)</w:t>
                  </w:r>
                </w:p>
              </w:tc>
              <w:tc>
                <w:tcPr>
                  <w:tcW w:w="279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6" w:space="0" w:color="auto"/>
                  </w:tcBorders>
                  <w:hideMark/>
                </w:tcPr>
                <w:p w14:paraId="6CC53DF2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%rozdělení dodaného tepla</w:t>
                  </w:r>
                </w:p>
              </w:tc>
            </w:tr>
            <w:tr w:rsidR="00A87060" w:rsidRPr="0022090D" w14:paraId="6FEC7EE9" w14:textId="77777777" w:rsidTr="00A26E0A">
              <w:trPr>
                <w:cantSplit/>
              </w:trPr>
              <w:tc>
                <w:tcPr>
                  <w:tcW w:w="120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4FB37A96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byty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33729ADE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proofErr w:type="spellStart"/>
                  <w:r w:rsidRPr="0022090D">
                    <w:rPr>
                      <w:rFonts w:ascii="Arial" w:hAnsi="Arial" w:cs="Arial"/>
                      <w:sz w:val="16"/>
                    </w:rPr>
                    <w:t>nebyty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hideMark/>
                </w:tcPr>
                <w:p w14:paraId="4EAC1056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byty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39FB9D57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proofErr w:type="spellStart"/>
                  <w:r w:rsidRPr="0022090D">
                    <w:rPr>
                      <w:rFonts w:ascii="Arial" w:hAnsi="Arial" w:cs="Arial"/>
                      <w:sz w:val="16"/>
                    </w:rPr>
                    <w:t>nebyty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04CFF43E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proofErr w:type="spellStart"/>
                  <w:r w:rsidRPr="0022090D">
                    <w:rPr>
                      <w:rFonts w:ascii="Arial" w:hAnsi="Arial" w:cs="Arial"/>
                      <w:sz w:val="16"/>
                    </w:rPr>
                    <w:t>Nebyty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hideMark/>
                </w:tcPr>
                <w:p w14:paraId="38D995A3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proofErr w:type="spellStart"/>
                  <w:r w:rsidRPr="0022090D">
                    <w:rPr>
                      <w:rFonts w:ascii="Arial" w:hAnsi="Arial" w:cs="Arial"/>
                      <w:sz w:val="16"/>
                    </w:rPr>
                    <w:t>nebyty</w:t>
                  </w:r>
                  <w:proofErr w:type="spellEnd"/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hideMark/>
                </w:tcPr>
                <w:p w14:paraId="0E4E6104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byty</w:t>
                  </w:r>
                </w:p>
              </w:tc>
            </w:tr>
            <w:tr w:rsidR="00A87060" w:rsidRPr="0022090D" w14:paraId="29A91F21" w14:textId="77777777" w:rsidTr="00B92233">
              <w:trPr>
                <w:cantSplit/>
              </w:trPr>
              <w:tc>
                <w:tcPr>
                  <w:tcW w:w="120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CDB424" w14:textId="2482BE5B" w:rsidR="00A87060" w:rsidRPr="00B92233" w:rsidRDefault="00A87060" w:rsidP="00A26E0A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92233">
                    <w:rPr>
                      <w:rFonts w:ascii="Arial" w:hAnsi="Arial" w:cs="Arial"/>
                      <w:sz w:val="18"/>
                    </w:rPr>
                    <w:t>0,</w:t>
                  </w:r>
                  <w:r w:rsidR="005B38E4" w:rsidRPr="00B92233">
                    <w:rPr>
                      <w:rFonts w:ascii="Arial" w:hAnsi="Arial" w:cs="Arial"/>
                      <w:sz w:val="18"/>
                    </w:rPr>
                    <w:t>222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484C0E4" w14:textId="2536F594" w:rsidR="00A87060" w:rsidRPr="00B92233" w:rsidRDefault="00A87060" w:rsidP="00A26E0A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92233">
                    <w:rPr>
                      <w:rFonts w:ascii="Arial" w:hAnsi="Arial" w:cs="Arial"/>
                      <w:sz w:val="18"/>
                    </w:rPr>
                    <w:t>0,</w:t>
                  </w:r>
                  <w:r w:rsidR="005B38E4" w:rsidRPr="00B92233">
                    <w:rPr>
                      <w:rFonts w:ascii="Arial" w:hAnsi="Arial" w:cs="Arial"/>
                      <w:sz w:val="18"/>
                    </w:rPr>
                    <w:t>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3E8AF50" w14:textId="024DF8DA" w:rsidR="00A87060" w:rsidRPr="00B92233" w:rsidRDefault="00A87060" w:rsidP="00A26E0A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92233">
                    <w:rPr>
                      <w:rFonts w:ascii="Arial" w:hAnsi="Arial" w:cs="Arial"/>
                      <w:sz w:val="18"/>
                    </w:rPr>
                    <w:t>0,</w:t>
                  </w:r>
                  <w:r w:rsidR="005B38E4" w:rsidRPr="00B92233">
                    <w:rPr>
                      <w:rFonts w:ascii="Arial" w:hAnsi="Arial" w:cs="Arial"/>
                      <w:sz w:val="18"/>
                    </w:rPr>
                    <w:t>150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09A6AA6" w14:textId="77777777" w:rsidR="00A87060" w:rsidRPr="00B92233" w:rsidRDefault="00A87060" w:rsidP="00A26E0A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92233">
                    <w:rPr>
                      <w:rFonts w:ascii="Arial" w:hAnsi="Arial" w:cs="Arial"/>
                      <w:sz w:val="18"/>
                    </w:rPr>
                    <w:t>0,000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EFA534C" w14:textId="1339EDA1" w:rsidR="00A87060" w:rsidRPr="00B92233" w:rsidRDefault="00A87060" w:rsidP="00A26E0A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92233">
                    <w:rPr>
                      <w:rFonts w:ascii="Arial" w:hAnsi="Arial" w:cs="Arial"/>
                      <w:sz w:val="18"/>
                    </w:rPr>
                    <w:t>0,0</w:t>
                  </w:r>
                  <w:r w:rsidR="00E36B90" w:rsidRPr="00B92233">
                    <w:rPr>
                      <w:rFonts w:ascii="Arial" w:hAnsi="Arial" w:cs="Arial"/>
                      <w:sz w:val="18"/>
                    </w:rPr>
                    <w:t>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45A6126" w14:textId="77777777" w:rsidR="00A87060" w:rsidRPr="00B92233" w:rsidRDefault="00A87060" w:rsidP="00A26E0A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92233">
                    <w:rPr>
                      <w:rFonts w:ascii="Arial" w:hAnsi="Arial" w:cs="Arial"/>
                      <w:sz w:val="18"/>
                    </w:rPr>
                    <w:t>0,00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A4DE724" w14:textId="77777777" w:rsidR="00A87060" w:rsidRPr="00B92233" w:rsidRDefault="00A87060" w:rsidP="00A26E0A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92233">
                    <w:rPr>
                      <w:rFonts w:ascii="Arial" w:hAnsi="Arial" w:cs="Arial"/>
                      <w:sz w:val="18"/>
                    </w:rPr>
                    <w:t>100,00</w:t>
                  </w:r>
                </w:p>
              </w:tc>
            </w:tr>
          </w:tbl>
          <w:p w14:paraId="581C00AA" w14:textId="77777777" w:rsidR="00F37650" w:rsidRDefault="00F37650" w:rsidP="00A26E0A">
            <w:pPr>
              <w:tabs>
                <w:tab w:val="left" w:pos="8789"/>
              </w:tabs>
              <w:spacing w:before="40" w:after="20"/>
              <w:rPr>
                <w:rFonts w:ascii="Arial" w:hAnsi="Arial" w:cs="Arial"/>
                <w:b/>
                <w:sz w:val="20"/>
              </w:rPr>
            </w:pPr>
          </w:p>
          <w:p w14:paraId="47892B07" w14:textId="77777777" w:rsidR="00A87060" w:rsidRPr="0022090D" w:rsidRDefault="00A87060" w:rsidP="00A26E0A">
            <w:pPr>
              <w:tabs>
                <w:tab w:val="left" w:pos="8789"/>
              </w:tabs>
              <w:spacing w:before="40" w:after="20"/>
              <w:rPr>
                <w:rFonts w:ascii="Arial" w:hAnsi="Arial" w:cs="Arial"/>
                <w:b/>
              </w:rPr>
            </w:pPr>
            <w:r w:rsidRPr="0022090D">
              <w:rPr>
                <w:rFonts w:ascii="Arial" w:hAnsi="Arial" w:cs="Arial"/>
                <w:b/>
              </w:rPr>
              <w:t xml:space="preserve">5. Technické podmínky dodávky </w:t>
            </w:r>
            <w:r w:rsidRPr="0022090D">
              <w:rPr>
                <w:rFonts w:ascii="Arial" w:hAnsi="Arial" w:cs="Arial"/>
                <w:b/>
              </w:rPr>
              <w:tab/>
            </w:r>
          </w:p>
          <w:tbl>
            <w:tblPr>
              <w:tblW w:w="8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17"/>
            </w:tblGrid>
            <w:tr w:rsidR="00A87060" w:rsidRPr="0022090D" w14:paraId="2AD475C8" w14:textId="77777777" w:rsidTr="00A26E0A">
              <w:trPr>
                <w:cantSplit/>
                <w:trHeight w:val="827"/>
              </w:trPr>
              <w:tc>
                <w:tcPr>
                  <w:tcW w:w="8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8C3A2" w14:textId="05AF0267" w:rsidR="004C1056" w:rsidRDefault="00A87060" w:rsidP="00A26E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>Dodávka tepla je</w:t>
                  </w:r>
                  <w:r w:rsidR="00365A6C">
                    <w:rPr>
                      <w:rFonts w:ascii="Arial" w:hAnsi="Arial" w:cs="Arial"/>
                      <w:sz w:val="18"/>
                      <w:szCs w:val="18"/>
                    </w:rPr>
                    <w:t xml:space="preserve"> uskutečňována prostřednictvím potrubí dálkového teplovodu DN65. Domovní předávací stanice </w:t>
                  </w: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 xml:space="preserve">(DPS) </w:t>
                  </w:r>
                  <w:r w:rsidR="00365A6C">
                    <w:rPr>
                      <w:rFonts w:ascii="Arial" w:hAnsi="Arial" w:cs="Arial"/>
                      <w:sz w:val="18"/>
                      <w:szCs w:val="18"/>
                    </w:rPr>
                    <w:t>není ve vlastnictví dodavatele tepla. Předávací místo</w:t>
                  </w: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 xml:space="preserve"> je umístěn</w:t>
                  </w:r>
                  <w:r w:rsidR="00365A6C">
                    <w:rPr>
                      <w:rFonts w:ascii="Arial" w:hAnsi="Arial" w:cs="Arial"/>
                      <w:sz w:val="18"/>
                      <w:szCs w:val="18"/>
                    </w:rPr>
                    <w:t>o</w:t>
                  </w:r>
                  <w:r w:rsidR="004C1056">
                    <w:rPr>
                      <w:rFonts w:ascii="Arial" w:hAnsi="Arial" w:cs="Arial"/>
                      <w:sz w:val="18"/>
                      <w:szCs w:val="18"/>
                    </w:rPr>
                    <w:t xml:space="preserve"> v 1.PP</w:t>
                  </w:r>
                  <w:r w:rsidR="00C90E5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>prostorách</w:t>
                  </w:r>
                  <w:r w:rsidR="00365A6C">
                    <w:rPr>
                      <w:rFonts w:ascii="Arial" w:hAnsi="Arial" w:cs="Arial"/>
                      <w:sz w:val="18"/>
                      <w:szCs w:val="18"/>
                    </w:rPr>
                    <w:t xml:space="preserve"> budovy</w:t>
                  </w:r>
                  <w:r w:rsidR="004C105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65A6C">
                    <w:rPr>
                      <w:rFonts w:ascii="Arial" w:hAnsi="Arial" w:cs="Arial"/>
                      <w:sz w:val="18"/>
                      <w:szCs w:val="18"/>
                    </w:rPr>
                    <w:t>č.p. 90</w:t>
                  </w:r>
                  <w:r w:rsidR="00012671">
                    <w:rPr>
                      <w:rFonts w:ascii="Arial" w:hAnsi="Arial" w:cs="Arial"/>
                      <w:sz w:val="18"/>
                      <w:szCs w:val="18"/>
                    </w:rPr>
                    <w:t xml:space="preserve"> ve strojovně vzduchotechniky.</w:t>
                  </w:r>
                  <w:r w:rsidR="004C1056">
                    <w:rPr>
                      <w:rFonts w:ascii="Arial" w:hAnsi="Arial" w:cs="Arial"/>
                      <w:sz w:val="18"/>
                      <w:szCs w:val="18"/>
                    </w:rPr>
                    <w:t xml:space="preserve"> Schéma DPS je uvedeno v příloze č. 4 – Schéma DPS.</w:t>
                  </w:r>
                </w:p>
                <w:p w14:paraId="0416EE45" w14:textId="77777777" w:rsidR="00A87060" w:rsidRPr="0022090D" w:rsidRDefault="00A87060" w:rsidP="00A26E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>Technické podmínky dodávky jsou uvedeny v příloze č.3 (ZPDT) smlouvy o dodávkách tepla.</w:t>
                  </w:r>
                </w:p>
                <w:p w14:paraId="2509D309" w14:textId="052063AF" w:rsidR="00A87060" w:rsidRDefault="00A87060" w:rsidP="00A26E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>Dodavatel zaručuje v předávacím místě následující parametry:</w:t>
                  </w:r>
                </w:p>
                <w:p w14:paraId="1DEDBD45" w14:textId="3A1E903E" w:rsidR="004C1056" w:rsidRPr="0022090D" w:rsidRDefault="004C1056" w:rsidP="00A26E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Dodávka tepelné energie pro ohřev TUV je zajišťována celoročně, 24 hod. denně.</w:t>
                  </w:r>
                </w:p>
                <w:p w14:paraId="04F1CAFA" w14:textId="4BEBD9DD" w:rsidR="00A87060" w:rsidRPr="0022090D" w:rsidRDefault="00A87060" w:rsidP="00A26E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>Topná voda: Dodávka topné vody je zajišťována v otopném období od 1.9.</w:t>
                  </w:r>
                  <w:r w:rsidR="005F3C4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 xml:space="preserve">do 31.5. </w:t>
                  </w:r>
                  <w:r w:rsidR="00D0500C" w:rsidRPr="00D0500C">
                    <w:rPr>
                      <w:rStyle w:val="hgkelc"/>
                      <w:rFonts w:ascii="Arial" w:hAnsi="Arial" w:cs="Arial"/>
                      <w:sz w:val="18"/>
                      <w:szCs w:val="18"/>
                    </w:rPr>
                    <w:t>Zahájení, přerušení a ukončení dodávek tepla se odvíjí od průměrných denních teplot venkovního vzduchu a prognózy počasí podle ČHMÚ.</w:t>
                  </w:r>
                </w:p>
                <w:p w14:paraId="4B048FF8" w14:textId="77777777" w:rsidR="00A87060" w:rsidRPr="0022090D" w:rsidRDefault="00A87060" w:rsidP="00A26E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 xml:space="preserve">Noční teplotní útlum v otopném období je sjednán od 22:00 hod. do 5:00 hod. </w:t>
                  </w:r>
                </w:p>
                <w:p w14:paraId="0913EAF3" w14:textId="66DD374D" w:rsidR="00A87060" w:rsidRDefault="00A87060" w:rsidP="00A26E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>Tlak topné vody</w:t>
                  </w:r>
                  <w:r w:rsidR="004C1056">
                    <w:rPr>
                      <w:rFonts w:ascii="Arial" w:hAnsi="Arial" w:cs="Arial"/>
                      <w:sz w:val="18"/>
                      <w:szCs w:val="18"/>
                    </w:rPr>
                    <w:t xml:space="preserve"> na předávacím místě je udržován dle přílohy č. 3 </w:t>
                  </w:r>
                  <w:r w:rsidR="000C3EB5">
                    <w:rPr>
                      <w:rFonts w:ascii="Arial" w:hAnsi="Arial" w:cs="Arial"/>
                      <w:sz w:val="18"/>
                      <w:szCs w:val="18"/>
                    </w:rPr>
                    <w:t xml:space="preserve">- </w:t>
                  </w:r>
                  <w:r w:rsidR="0009614E">
                    <w:rPr>
                      <w:rFonts w:ascii="Arial" w:hAnsi="Arial" w:cs="Arial"/>
                      <w:sz w:val="18"/>
                      <w:szCs w:val="18"/>
                    </w:rPr>
                    <w:t>(ZPDT) smlouvy o dodávkách tepla.</w:t>
                  </w:r>
                </w:p>
                <w:p w14:paraId="2F390FDA" w14:textId="357A2462" w:rsidR="0009614E" w:rsidRDefault="0009614E" w:rsidP="00A26E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Teplota topné vody na předávacím místě</w:t>
                  </w:r>
                  <w:r w:rsidR="000C3EB5">
                    <w:rPr>
                      <w:rFonts w:ascii="Arial" w:hAnsi="Arial" w:cs="Arial"/>
                      <w:sz w:val="18"/>
                      <w:szCs w:val="18"/>
                    </w:rPr>
                    <w:t xml:space="preserve"> je udržována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dle přílohy č. 3 </w:t>
                  </w:r>
                  <w:r w:rsidR="000C3EB5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(ZPDT) smlouvy o dodávkách tepla.</w:t>
                  </w:r>
                </w:p>
                <w:p w14:paraId="68798EB7" w14:textId="77777777" w:rsidR="0009614E" w:rsidRDefault="0009614E" w:rsidP="00A26E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7C6A5D3" w14:textId="75FE90C3" w:rsidR="00325B7F" w:rsidRPr="00985B36" w:rsidRDefault="00325B7F" w:rsidP="00985B3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469BCB8" w14:textId="77777777" w:rsidR="0009614E" w:rsidRDefault="0009614E" w:rsidP="00A26E0A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6C36B652" w14:textId="77777777" w:rsidR="00B61FAD" w:rsidRDefault="00B61FAD" w:rsidP="00A26E0A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167B1C51" w14:textId="4A164BE0" w:rsidR="00A87060" w:rsidRPr="0022090D" w:rsidRDefault="00A87060" w:rsidP="00A26E0A">
            <w:pPr>
              <w:spacing w:before="40" w:after="40"/>
              <w:rPr>
                <w:rFonts w:ascii="Arial" w:hAnsi="Arial" w:cs="Arial"/>
                <w:b/>
                <w:lang w:eastAsia="en-US"/>
              </w:rPr>
            </w:pPr>
            <w:r w:rsidRPr="0022090D">
              <w:rPr>
                <w:rFonts w:ascii="Arial" w:hAnsi="Arial" w:cs="Arial"/>
                <w:b/>
              </w:rPr>
              <w:lastRenderedPageBreak/>
              <w:t xml:space="preserve">6. Údaje o doplňovací vodě   </w:t>
            </w:r>
          </w:p>
          <w:tbl>
            <w:tblPr>
              <w:tblW w:w="682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4690"/>
            </w:tblGrid>
            <w:tr w:rsidR="00A87060" w:rsidRPr="0022090D" w14:paraId="0008CEE3" w14:textId="77777777" w:rsidTr="00A26E0A">
              <w:trPr>
                <w:cantSplit/>
                <w:trHeight w:val="413"/>
              </w:trPr>
              <w:tc>
                <w:tcPr>
                  <w:tcW w:w="21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14:paraId="0BFA1915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 xml:space="preserve">Odběr doplňovací vody: 1 – ano, 2 – ne  </w:t>
                  </w:r>
                </w:p>
              </w:tc>
              <w:tc>
                <w:tcPr>
                  <w:tcW w:w="46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14A10350" w14:textId="71334811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 xml:space="preserve">Doplňování sekundárního systému </w:t>
                  </w:r>
                  <w:r w:rsidR="005F3C43">
                    <w:rPr>
                      <w:rFonts w:ascii="Arial" w:hAnsi="Arial" w:cs="Arial"/>
                      <w:sz w:val="16"/>
                    </w:rPr>
                    <w:t>o</w:t>
                  </w:r>
                  <w:r w:rsidRPr="0022090D">
                    <w:rPr>
                      <w:rFonts w:ascii="Arial" w:hAnsi="Arial" w:cs="Arial"/>
                      <w:sz w:val="16"/>
                    </w:rPr>
                    <w:t xml:space="preserve">dběratele vodou z primárního systému </w:t>
                  </w:r>
                  <w:r w:rsidR="005F3C43">
                    <w:rPr>
                      <w:rFonts w:ascii="Arial" w:hAnsi="Arial" w:cs="Arial"/>
                      <w:sz w:val="16"/>
                    </w:rPr>
                    <w:t>d</w:t>
                  </w:r>
                  <w:r w:rsidRPr="0022090D">
                    <w:rPr>
                      <w:rFonts w:ascii="Arial" w:hAnsi="Arial" w:cs="Arial"/>
                      <w:sz w:val="16"/>
                    </w:rPr>
                    <w:t>odavatele bude spotřeba Vratného média vyúčtována v souladu s článkem 12.3 ZPDT</w:t>
                  </w:r>
                </w:p>
              </w:tc>
            </w:tr>
            <w:tr w:rsidR="00A87060" w:rsidRPr="0022090D" w14:paraId="6431B2E0" w14:textId="77777777" w:rsidTr="00A26E0A">
              <w:trPr>
                <w:cantSplit/>
                <w:trHeight w:val="270"/>
              </w:trPr>
              <w:tc>
                <w:tcPr>
                  <w:tcW w:w="21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CF57E21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22090D">
                    <w:rPr>
                      <w:rFonts w:ascii="Arial" w:hAnsi="Arial" w:cs="Arial"/>
                      <w:sz w:val="18"/>
                    </w:rPr>
                    <w:t>1</w:t>
                  </w:r>
                </w:p>
              </w:tc>
              <w:tc>
                <w:tcPr>
                  <w:tcW w:w="46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F4A384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61A836DB" w14:textId="77777777" w:rsidR="00C45353" w:rsidRDefault="00C45353" w:rsidP="00A26E0A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0D4D5697" w14:textId="77777777" w:rsidR="00A87060" w:rsidRPr="0022090D" w:rsidRDefault="00A87060" w:rsidP="00A26E0A">
            <w:pPr>
              <w:spacing w:before="40" w:after="40"/>
              <w:rPr>
                <w:rFonts w:ascii="Arial" w:hAnsi="Arial" w:cs="Arial"/>
                <w:sz w:val="20"/>
                <w:lang w:eastAsia="en-US"/>
              </w:rPr>
            </w:pPr>
            <w:r w:rsidRPr="0022090D">
              <w:rPr>
                <w:rFonts w:ascii="Arial" w:hAnsi="Arial" w:cs="Arial"/>
                <w:b/>
              </w:rPr>
              <w:t>7. Adresa odběratele pro zasílání faktur a korespondence</w:t>
            </w:r>
            <w:r w:rsidRPr="0022090D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22090D">
              <w:rPr>
                <w:rFonts w:ascii="Arial" w:hAnsi="Arial" w:cs="Arial"/>
                <w:sz w:val="16"/>
                <w:szCs w:val="16"/>
              </w:rPr>
              <w:t>(pokud se liší od výše uvedené)</w:t>
            </w:r>
          </w:p>
          <w:tbl>
            <w:tblPr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4"/>
              <w:gridCol w:w="2124"/>
              <w:gridCol w:w="867"/>
              <w:gridCol w:w="1897"/>
            </w:tblGrid>
            <w:tr w:rsidR="00A87060" w:rsidRPr="00AF4332" w14:paraId="6DB839DB" w14:textId="77777777" w:rsidTr="00A6080D">
              <w:tc>
                <w:tcPr>
                  <w:tcW w:w="3754" w:type="dxa"/>
                  <w:shd w:val="clear" w:color="auto" w:fill="auto"/>
                  <w:hideMark/>
                </w:tcPr>
                <w:p w14:paraId="6AFF88F6" w14:textId="5760BAF8" w:rsidR="00A87060" w:rsidRPr="00AF4332" w:rsidRDefault="00A87060" w:rsidP="00A26E0A">
                  <w:pPr>
                    <w:rPr>
                      <w:rFonts w:ascii="Arial" w:eastAsia="Calibri" w:hAnsi="Arial" w:cs="Arial"/>
                      <w:sz w:val="16"/>
                      <w:szCs w:val="22"/>
                    </w:rPr>
                  </w:pPr>
                  <w:r w:rsidRPr="00AF4332">
                    <w:rPr>
                      <w:rFonts w:ascii="Arial" w:eastAsia="Calibri" w:hAnsi="Arial" w:cs="Arial"/>
                      <w:sz w:val="16"/>
                      <w:szCs w:val="22"/>
                    </w:rPr>
                    <w:t xml:space="preserve">Adresa příjemce - jméno (název)    </w:t>
                  </w:r>
                </w:p>
              </w:tc>
              <w:tc>
                <w:tcPr>
                  <w:tcW w:w="2124" w:type="dxa"/>
                  <w:shd w:val="clear" w:color="auto" w:fill="auto"/>
                  <w:hideMark/>
                </w:tcPr>
                <w:p w14:paraId="683648B7" w14:textId="77777777" w:rsidR="00A87060" w:rsidRPr="00AF4332" w:rsidRDefault="00A87060" w:rsidP="00A26E0A">
                  <w:pPr>
                    <w:rPr>
                      <w:rFonts w:ascii="Arial" w:eastAsia="Calibri" w:hAnsi="Arial" w:cs="Arial"/>
                      <w:sz w:val="16"/>
                      <w:szCs w:val="22"/>
                    </w:rPr>
                  </w:pPr>
                  <w:r w:rsidRPr="00AF4332">
                    <w:rPr>
                      <w:rFonts w:ascii="Arial" w:eastAsia="Calibri" w:hAnsi="Arial" w:cs="Arial"/>
                      <w:sz w:val="16"/>
                      <w:szCs w:val="22"/>
                    </w:rPr>
                    <w:t xml:space="preserve">Ulice a číslo popisné                               </w:t>
                  </w:r>
                </w:p>
              </w:tc>
              <w:tc>
                <w:tcPr>
                  <w:tcW w:w="867" w:type="dxa"/>
                  <w:shd w:val="clear" w:color="auto" w:fill="auto"/>
                  <w:hideMark/>
                </w:tcPr>
                <w:p w14:paraId="05907E5C" w14:textId="77777777" w:rsidR="00A87060" w:rsidRPr="00AF4332" w:rsidRDefault="00A87060" w:rsidP="00A26E0A">
                  <w:pPr>
                    <w:rPr>
                      <w:rFonts w:ascii="Arial" w:eastAsia="Calibri" w:hAnsi="Arial" w:cs="Arial"/>
                      <w:sz w:val="16"/>
                      <w:szCs w:val="22"/>
                    </w:rPr>
                  </w:pPr>
                  <w:r w:rsidRPr="00AF4332">
                    <w:rPr>
                      <w:rFonts w:ascii="Arial" w:eastAsia="Calibri" w:hAnsi="Arial" w:cs="Arial"/>
                      <w:sz w:val="16"/>
                      <w:szCs w:val="22"/>
                    </w:rPr>
                    <w:t xml:space="preserve">PSČ                      </w:t>
                  </w:r>
                </w:p>
              </w:tc>
              <w:tc>
                <w:tcPr>
                  <w:tcW w:w="1897" w:type="dxa"/>
                  <w:shd w:val="clear" w:color="auto" w:fill="auto"/>
                  <w:hideMark/>
                </w:tcPr>
                <w:p w14:paraId="134C35CA" w14:textId="77777777" w:rsidR="00A87060" w:rsidRPr="00AF4332" w:rsidRDefault="00A87060" w:rsidP="00A26E0A">
                  <w:pPr>
                    <w:rPr>
                      <w:rFonts w:ascii="Arial" w:eastAsia="Calibri" w:hAnsi="Arial" w:cs="Arial"/>
                      <w:sz w:val="16"/>
                      <w:szCs w:val="22"/>
                    </w:rPr>
                  </w:pPr>
                  <w:r w:rsidRPr="00AF4332">
                    <w:rPr>
                      <w:rFonts w:ascii="Arial" w:eastAsia="Calibri" w:hAnsi="Arial" w:cs="Arial"/>
                      <w:sz w:val="16"/>
                      <w:szCs w:val="22"/>
                    </w:rPr>
                    <w:t>Obec</w:t>
                  </w:r>
                </w:p>
              </w:tc>
            </w:tr>
            <w:tr w:rsidR="00A87060" w:rsidRPr="00AF4332" w14:paraId="718D75D2" w14:textId="77777777" w:rsidTr="00A6080D">
              <w:tc>
                <w:tcPr>
                  <w:tcW w:w="3754" w:type="dxa"/>
                  <w:shd w:val="clear" w:color="auto" w:fill="auto"/>
                  <w:hideMark/>
                </w:tcPr>
                <w:p w14:paraId="4F907E98" w14:textId="337105CA" w:rsidR="00A87060" w:rsidRPr="00AF4332" w:rsidRDefault="00264E31" w:rsidP="00A26E0A">
                  <w:pPr>
                    <w:jc w:val="center"/>
                    <w:rPr>
                      <w:rFonts w:ascii="Arial" w:eastAsia="Calibri" w:hAnsi="Arial" w:cs="Arial"/>
                      <w:sz w:val="18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Domov pro seniory Jindřichův Hradec</w:t>
                  </w:r>
                  <w:r w:rsidR="00ED355F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p.</w:t>
                  </w:r>
                  <w:r w:rsidR="009E2FE5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ED355F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o.</w:t>
                  </w:r>
                </w:p>
              </w:tc>
              <w:tc>
                <w:tcPr>
                  <w:tcW w:w="2124" w:type="dxa"/>
                  <w:shd w:val="clear" w:color="auto" w:fill="auto"/>
                </w:tcPr>
                <w:p w14:paraId="755566C1" w14:textId="03FCD3E9" w:rsidR="00A87060" w:rsidRPr="00AF4332" w:rsidRDefault="00264E31" w:rsidP="00A26E0A">
                  <w:pPr>
                    <w:jc w:val="center"/>
                    <w:rPr>
                      <w:rFonts w:ascii="Arial" w:eastAsia="Calibri" w:hAnsi="Arial" w:cs="Arial"/>
                      <w:sz w:val="18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22"/>
                    </w:rPr>
                    <w:t>Otín čp. 90</w:t>
                  </w:r>
                </w:p>
              </w:tc>
              <w:tc>
                <w:tcPr>
                  <w:tcW w:w="867" w:type="dxa"/>
                  <w:shd w:val="clear" w:color="auto" w:fill="auto"/>
                </w:tcPr>
                <w:p w14:paraId="6853FCA3" w14:textId="18C6E3D7" w:rsidR="00A87060" w:rsidRPr="00B05D4D" w:rsidRDefault="00264E31" w:rsidP="00A26E0A">
                  <w:pPr>
                    <w:jc w:val="center"/>
                    <w:rPr>
                      <w:rFonts w:ascii="Arial" w:eastAsia="Calibri" w:hAnsi="Arial" w:cs="Arial"/>
                      <w:sz w:val="18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22"/>
                    </w:rPr>
                    <w:t>37701</w:t>
                  </w:r>
                </w:p>
              </w:tc>
              <w:tc>
                <w:tcPr>
                  <w:tcW w:w="1897" w:type="dxa"/>
                  <w:shd w:val="clear" w:color="auto" w:fill="auto"/>
                </w:tcPr>
                <w:p w14:paraId="790FE33C" w14:textId="07527012" w:rsidR="00A87060" w:rsidRPr="00B05D4D" w:rsidRDefault="00264E31" w:rsidP="00A26E0A">
                  <w:pPr>
                    <w:jc w:val="center"/>
                    <w:rPr>
                      <w:rFonts w:ascii="Arial" w:eastAsia="Calibri" w:hAnsi="Arial" w:cs="Arial"/>
                      <w:sz w:val="18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22"/>
                    </w:rPr>
                    <w:t>Jindřichův Hradec</w:t>
                  </w:r>
                </w:p>
              </w:tc>
            </w:tr>
            <w:tr w:rsidR="00A87060" w:rsidRPr="00AF4332" w14:paraId="012FAA7D" w14:textId="77777777" w:rsidTr="00A6080D">
              <w:trPr>
                <w:trHeight w:val="278"/>
              </w:trPr>
              <w:tc>
                <w:tcPr>
                  <w:tcW w:w="3754" w:type="dxa"/>
                  <w:shd w:val="clear" w:color="auto" w:fill="auto"/>
                  <w:hideMark/>
                </w:tcPr>
                <w:p w14:paraId="5AEDF166" w14:textId="77777777" w:rsidR="00A87060" w:rsidRPr="00AF4332" w:rsidRDefault="00A87060" w:rsidP="00A26E0A">
                  <w:pPr>
                    <w:rPr>
                      <w:rFonts w:ascii="Arial" w:eastAsia="Calibri" w:hAnsi="Arial" w:cs="Arial"/>
                      <w:sz w:val="20"/>
                      <w:szCs w:val="22"/>
                    </w:rPr>
                  </w:pPr>
                  <w:r w:rsidRPr="00AF4332">
                    <w:rPr>
                      <w:rFonts w:ascii="Arial" w:eastAsia="Calibri" w:hAnsi="Arial" w:cs="Arial"/>
                      <w:sz w:val="18"/>
                      <w:szCs w:val="22"/>
                    </w:rPr>
                    <w:t>E-mailová adresa pro PDF faktury</w:t>
                  </w:r>
                </w:p>
              </w:tc>
              <w:tc>
                <w:tcPr>
                  <w:tcW w:w="4888" w:type="dxa"/>
                  <w:gridSpan w:val="3"/>
                  <w:shd w:val="clear" w:color="auto" w:fill="auto"/>
                </w:tcPr>
                <w:p w14:paraId="7552B67C" w14:textId="2139A324" w:rsidR="00A87060" w:rsidRPr="00E059B6" w:rsidRDefault="00A87060" w:rsidP="00E059B6">
                  <w:pPr>
                    <w:jc w:val="center"/>
                    <w:rPr>
                      <w:rStyle w:val="Hypertextovodkaz"/>
                      <w:rFonts w:ascii="Arial" w:eastAsia="Calibri" w:hAnsi="Arial" w:cs="Arial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A87060" w:rsidRPr="00AF4332" w14:paraId="1235E4A9" w14:textId="77777777" w:rsidTr="00A6080D">
              <w:tc>
                <w:tcPr>
                  <w:tcW w:w="8642" w:type="dxa"/>
                  <w:gridSpan w:val="4"/>
                  <w:shd w:val="clear" w:color="auto" w:fill="auto"/>
                </w:tcPr>
                <w:p w14:paraId="1CAC1F35" w14:textId="1C09F5BE" w:rsidR="00A87060" w:rsidRPr="00AF4332" w:rsidRDefault="00325B7F" w:rsidP="00A26E0A">
                  <w:pPr>
                    <w:spacing w:before="40" w:after="40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AF433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Pozn.:</w:t>
                  </w:r>
                  <w:r w:rsidR="00A87060" w:rsidRPr="00AF433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="00A52F92" w:rsidRPr="00AF433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Rozúčtování nákladů mezi jednotlivé odběratele provádí </w:t>
                  </w:r>
                  <w:r w:rsidR="00A52F9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dle dohody stran Domov pro seniory Jindřichův Hradec, příspěvková organizace</w:t>
                  </w:r>
                  <w:r w:rsidR="00985B3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5233D454" w14:textId="77777777" w:rsidR="00C45353" w:rsidRPr="0022090D" w:rsidRDefault="00C45353" w:rsidP="00A26E0A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2965801F" w14:textId="77777777" w:rsidR="00A87060" w:rsidRPr="0022090D" w:rsidRDefault="00A87060" w:rsidP="00A26E0A">
            <w:pPr>
              <w:spacing w:before="40" w:after="40"/>
              <w:rPr>
                <w:rFonts w:ascii="Arial" w:hAnsi="Arial" w:cs="Arial"/>
                <w:b/>
                <w:lang w:eastAsia="en-US"/>
              </w:rPr>
            </w:pPr>
            <w:r w:rsidRPr="0022090D">
              <w:rPr>
                <w:rFonts w:ascii="Arial" w:hAnsi="Arial" w:cs="Arial"/>
                <w:b/>
              </w:rPr>
              <w:t>8. Adresa dodavatele pro zasílání korespondence</w:t>
            </w:r>
          </w:p>
          <w:tbl>
            <w:tblPr>
              <w:tblW w:w="8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8"/>
            </w:tblGrid>
            <w:tr w:rsidR="00A87060" w:rsidRPr="0022090D" w14:paraId="75780827" w14:textId="77777777" w:rsidTr="00A26E0A">
              <w:tc>
                <w:tcPr>
                  <w:tcW w:w="8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F0E46D" w14:textId="77777777" w:rsidR="00A87060" w:rsidRPr="0022090D" w:rsidRDefault="00A87060" w:rsidP="00A26E0A">
                  <w:pPr>
                    <w:spacing w:before="40" w:after="40"/>
                    <w:rPr>
                      <w:rFonts w:ascii="Arial" w:hAnsi="Arial" w:cs="Arial"/>
                      <w:b/>
                      <w:sz w:val="18"/>
                      <w:szCs w:val="22"/>
                    </w:rPr>
                  </w:pPr>
                  <w:r w:rsidRPr="0022090D">
                    <w:rPr>
                      <w:rFonts w:ascii="Arial" w:hAnsi="Arial" w:cs="Arial"/>
                      <w:sz w:val="18"/>
                      <w:szCs w:val="18"/>
                    </w:rPr>
                    <w:t>Energetické centrum s.r.o., Otín 3, 377 01 Jindřichův Hradec</w:t>
                  </w:r>
                </w:p>
              </w:tc>
            </w:tr>
          </w:tbl>
          <w:p w14:paraId="18DDC937" w14:textId="77777777" w:rsidR="00C45353" w:rsidRDefault="00C45353" w:rsidP="00A26E0A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0F7CFF00" w14:textId="77777777" w:rsidR="00A87060" w:rsidRPr="0022090D" w:rsidRDefault="00A87060" w:rsidP="00A26E0A">
            <w:pPr>
              <w:spacing w:before="40" w:after="40"/>
              <w:rPr>
                <w:rFonts w:ascii="Arial" w:hAnsi="Arial" w:cs="Arial"/>
                <w:b/>
                <w:lang w:eastAsia="en-US"/>
              </w:rPr>
            </w:pPr>
            <w:r w:rsidRPr="0022090D">
              <w:rPr>
                <w:rFonts w:ascii="Arial" w:hAnsi="Arial" w:cs="Arial"/>
                <w:b/>
              </w:rPr>
              <w:t>9. Osoba oprávněná k zastupování dodavatele ve věcech technických (kontaktní osoba)</w:t>
            </w:r>
          </w:p>
          <w:tbl>
            <w:tblPr>
              <w:tblW w:w="89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79"/>
              <w:gridCol w:w="1565"/>
              <w:gridCol w:w="1722"/>
              <w:gridCol w:w="2689"/>
            </w:tblGrid>
            <w:tr w:rsidR="00A87060" w:rsidRPr="0022090D" w14:paraId="6F19D6A7" w14:textId="77777777" w:rsidTr="00E411BF">
              <w:trPr>
                <w:cantSplit/>
              </w:trPr>
              <w:tc>
                <w:tcPr>
                  <w:tcW w:w="297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494F696F" w14:textId="77777777" w:rsidR="00A87060" w:rsidRPr="0022090D" w:rsidRDefault="00A87060" w:rsidP="00A26E0A">
                  <w:pPr>
                    <w:rPr>
                      <w:rFonts w:ascii="Arial" w:hAnsi="Arial" w:cs="Arial"/>
                      <w:sz w:val="16"/>
                      <w:szCs w:val="22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Jméno a příjmení</w:t>
                  </w:r>
                </w:p>
              </w:tc>
              <w:tc>
                <w:tcPr>
                  <w:tcW w:w="15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068C9747" w14:textId="77777777" w:rsidR="00A87060" w:rsidRPr="0022090D" w:rsidRDefault="00A87060" w:rsidP="00A26E0A">
                  <w:pPr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 xml:space="preserve">Telefon  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5A942B00" w14:textId="77777777" w:rsidR="00A87060" w:rsidRPr="0022090D" w:rsidRDefault="00A87060" w:rsidP="00A26E0A">
                  <w:pPr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Mobil</w:t>
                  </w:r>
                </w:p>
              </w:tc>
              <w:tc>
                <w:tcPr>
                  <w:tcW w:w="268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01427F49" w14:textId="77777777" w:rsidR="00A87060" w:rsidRPr="0022090D" w:rsidRDefault="00A87060" w:rsidP="00A26E0A">
                  <w:pPr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 xml:space="preserve">E-mail                                </w:t>
                  </w:r>
                </w:p>
              </w:tc>
            </w:tr>
            <w:tr w:rsidR="00A87060" w:rsidRPr="0022090D" w14:paraId="415FA1F4" w14:textId="77777777" w:rsidTr="00E411BF">
              <w:trPr>
                <w:cantSplit/>
              </w:trPr>
              <w:tc>
                <w:tcPr>
                  <w:tcW w:w="297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4CBB48" w14:textId="5B703C49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6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B98CDB" w14:textId="77777777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22090D">
                    <w:rPr>
                      <w:rFonts w:ascii="Arial" w:hAnsi="Arial" w:cs="Arial"/>
                      <w:sz w:val="18"/>
                    </w:rPr>
                    <w:t>-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5D5CEA" w14:textId="7BC5A424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68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C24F0E" w14:textId="6837014C" w:rsidR="00A87060" w:rsidRPr="0022090D" w:rsidRDefault="00A87060" w:rsidP="00A26E0A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0CD4EDA1" w14:textId="77777777" w:rsidR="00C45353" w:rsidRDefault="00C45353" w:rsidP="00A26E0A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5FACE0C0" w14:textId="77777777" w:rsidR="00A87060" w:rsidRPr="0022090D" w:rsidRDefault="00A87060" w:rsidP="00A26E0A">
            <w:pPr>
              <w:spacing w:before="40" w:after="40"/>
              <w:rPr>
                <w:rFonts w:ascii="Arial" w:hAnsi="Arial" w:cs="Arial"/>
                <w:b/>
                <w:lang w:eastAsia="en-US"/>
              </w:rPr>
            </w:pPr>
            <w:r w:rsidRPr="0022090D">
              <w:rPr>
                <w:rFonts w:ascii="Arial" w:hAnsi="Arial" w:cs="Arial"/>
                <w:b/>
              </w:rPr>
              <w:t>10. Osoba oprávněná k zastupování odběratele (kontaktní osoba)</w:t>
            </w:r>
          </w:p>
          <w:tbl>
            <w:tblPr>
              <w:tblW w:w="89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79"/>
              <w:gridCol w:w="1444"/>
              <w:gridCol w:w="1701"/>
              <w:gridCol w:w="2831"/>
            </w:tblGrid>
            <w:tr w:rsidR="00B05D4D" w:rsidRPr="0022090D" w14:paraId="196CA2F2" w14:textId="77777777" w:rsidTr="00E411BF">
              <w:trPr>
                <w:cantSplit/>
              </w:trPr>
              <w:tc>
                <w:tcPr>
                  <w:tcW w:w="297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3075411B" w14:textId="77777777" w:rsidR="00B05D4D" w:rsidRPr="0022090D" w:rsidRDefault="00B05D4D" w:rsidP="00B05D4D">
                  <w:pPr>
                    <w:rPr>
                      <w:rFonts w:ascii="Arial" w:hAnsi="Arial" w:cs="Arial"/>
                      <w:sz w:val="16"/>
                      <w:szCs w:val="22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Jméno a příjmení</w:t>
                  </w:r>
                </w:p>
              </w:tc>
              <w:tc>
                <w:tcPr>
                  <w:tcW w:w="144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1D4F7A8F" w14:textId="77777777" w:rsidR="00B05D4D" w:rsidRPr="0022090D" w:rsidRDefault="00B05D4D" w:rsidP="00B05D4D">
                  <w:pPr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 xml:space="preserve">Telefon  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0D1D79F2" w14:textId="77777777" w:rsidR="00B05D4D" w:rsidRPr="0022090D" w:rsidRDefault="00B05D4D" w:rsidP="00B05D4D">
                  <w:pPr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>Mobil</w:t>
                  </w:r>
                </w:p>
              </w:tc>
              <w:tc>
                <w:tcPr>
                  <w:tcW w:w="283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3EDC0305" w14:textId="77777777" w:rsidR="00B05D4D" w:rsidRPr="0022090D" w:rsidRDefault="00B05D4D" w:rsidP="00B05D4D">
                  <w:pPr>
                    <w:rPr>
                      <w:rFonts w:ascii="Arial" w:hAnsi="Arial" w:cs="Arial"/>
                      <w:sz w:val="16"/>
                    </w:rPr>
                  </w:pPr>
                  <w:r w:rsidRPr="0022090D">
                    <w:rPr>
                      <w:rFonts w:ascii="Arial" w:hAnsi="Arial" w:cs="Arial"/>
                      <w:sz w:val="16"/>
                    </w:rPr>
                    <w:t xml:space="preserve">E-mail                                </w:t>
                  </w:r>
                </w:p>
              </w:tc>
            </w:tr>
            <w:tr w:rsidR="00B05D4D" w:rsidRPr="0022090D" w14:paraId="0E59E071" w14:textId="77777777" w:rsidTr="00E411BF">
              <w:trPr>
                <w:cantSplit/>
              </w:trPr>
              <w:tc>
                <w:tcPr>
                  <w:tcW w:w="297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B3E65E" w14:textId="0092AB2A" w:rsidR="00B05D4D" w:rsidRPr="00A8294A" w:rsidRDefault="00D578BE" w:rsidP="00B05D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8294A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Mgr. Bc. Radka Stejskalová</w:t>
                  </w:r>
                  <w:r w:rsidR="00B05D4D" w:rsidRPr="00A8294A" w:rsidDel="00EE3E75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9996CA" w14:textId="31C6A874" w:rsidR="00B05D4D" w:rsidRPr="00A8294A" w:rsidRDefault="00B92233" w:rsidP="00B05D4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A8294A">
                    <w:rPr>
                      <w:rFonts w:ascii="Arial" w:hAnsi="Arial" w:cs="Arial"/>
                      <w:sz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3A99EC" w14:textId="7FA07CA2" w:rsidR="00B05D4D" w:rsidRPr="00A8294A" w:rsidRDefault="00797E77" w:rsidP="00B05D4D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A8294A">
                    <w:rPr>
                      <w:rFonts w:ascii="Arial" w:hAnsi="Arial" w:cs="Arial"/>
                      <w:sz w:val="18"/>
                    </w:rPr>
                    <w:t>+420</w:t>
                  </w:r>
                  <w:r w:rsidR="00E411BF" w:rsidRPr="00A8294A">
                    <w:rPr>
                      <w:rFonts w:ascii="Arial" w:hAnsi="Arial" w:cs="Arial"/>
                      <w:sz w:val="18"/>
                    </w:rPr>
                    <w:t xml:space="preserve"> 723 538 855   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2FEB13" w14:textId="2413FEE7" w:rsidR="00B05D4D" w:rsidRPr="00A8294A" w:rsidRDefault="00EF4A32" w:rsidP="00797E77">
                  <w:pPr>
                    <w:rPr>
                      <w:rFonts w:ascii="Arial" w:hAnsi="Arial" w:cs="Arial"/>
                      <w:sz w:val="18"/>
                    </w:rPr>
                  </w:pPr>
                  <w:hyperlink r:id="rId8" w:history="1">
                    <w:r w:rsidR="00E411BF" w:rsidRPr="00A8294A">
                      <w:rPr>
                        <w:rStyle w:val="Hypertextovodkaz"/>
                        <w:rFonts w:ascii="Arial" w:hAnsi="Arial" w:cs="Arial"/>
                        <w:color w:val="auto"/>
                        <w:sz w:val="18"/>
                        <w:u w:val="none"/>
                      </w:rPr>
                      <w:t>reditel@dsjh.cz</w:t>
                    </w:r>
                  </w:hyperlink>
                </w:p>
              </w:tc>
            </w:tr>
          </w:tbl>
          <w:p w14:paraId="20AF3704" w14:textId="77777777" w:rsidR="00A87060" w:rsidRPr="0022090D" w:rsidRDefault="00A87060" w:rsidP="0022090D">
            <w:pPr>
              <w:pStyle w:val="NormlnNimbusCEZ"/>
              <w:tabs>
                <w:tab w:val="center" w:pos="-1560"/>
                <w:tab w:val="left" w:pos="5529"/>
              </w:tabs>
              <w:spacing w:before="60"/>
            </w:pPr>
          </w:p>
        </w:tc>
      </w:tr>
    </w:tbl>
    <w:p w14:paraId="77124C4C" w14:textId="77777777" w:rsidR="0009614E" w:rsidRDefault="0009614E" w:rsidP="0022090D">
      <w:pPr>
        <w:pStyle w:val="NormlnNimbusCEZ"/>
        <w:tabs>
          <w:tab w:val="center" w:pos="-1560"/>
          <w:tab w:val="left" w:pos="5529"/>
        </w:tabs>
        <w:spacing w:before="60"/>
        <w:rPr>
          <w:rFonts w:ascii="Arial" w:hAnsi="Arial" w:cs="Arial"/>
          <w:sz w:val="20"/>
          <w:szCs w:val="20"/>
        </w:rPr>
      </w:pPr>
    </w:p>
    <w:p w14:paraId="3073BA99" w14:textId="77777777" w:rsidR="00A8294A" w:rsidRDefault="00A8294A" w:rsidP="0022090D">
      <w:pPr>
        <w:pStyle w:val="NormlnNimbusCEZ"/>
        <w:tabs>
          <w:tab w:val="center" w:pos="-1560"/>
          <w:tab w:val="left" w:pos="5529"/>
        </w:tabs>
        <w:spacing w:before="60"/>
        <w:rPr>
          <w:rFonts w:ascii="Arial" w:hAnsi="Arial" w:cs="Arial"/>
          <w:sz w:val="20"/>
          <w:szCs w:val="20"/>
        </w:rPr>
      </w:pPr>
    </w:p>
    <w:p w14:paraId="034C0A28" w14:textId="77777777" w:rsidR="00A8294A" w:rsidRDefault="00A8294A" w:rsidP="0022090D">
      <w:pPr>
        <w:pStyle w:val="NormlnNimbusCEZ"/>
        <w:tabs>
          <w:tab w:val="center" w:pos="-1560"/>
          <w:tab w:val="left" w:pos="5529"/>
        </w:tabs>
        <w:spacing w:before="60"/>
        <w:rPr>
          <w:rFonts w:ascii="Arial" w:hAnsi="Arial" w:cs="Arial"/>
          <w:sz w:val="20"/>
          <w:szCs w:val="20"/>
        </w:rPr>
      </w:pPr>
    </w:p>
    <w:p w14:paraId="0125922E" w14:textId="77777777" w:rsidR="00594035" w:rsidRDefault="00594035" w:rsidP="0022090D">
      <w:pPr>
        <w:pStyle w:val="NormlnNimbusCEZ"/>
        <w:tabs>
          <w:tab w:val="center" w:pos="-1560"/>
          <w:tab w:val="left" w:pos="5529"/>
        </w:tabs>
        <w:spacing w:before="60"/>
        <w:rPr>
          <w:rFonts w:ascii="Arial" w:hAnsi="Arial" w:cs="Arial"/>
          <w:sz w:val="20"/>
          <w:szCs w:val="20"/>
        </w:rPr>
      </w:pPr>
    </w:p>
    <w:p w14:paraId="6D7E80EA" w14:textId="77777777" w:rsidR="00594035" w:rsidRDefault="00594035" w:rsidP="0022090D">
      <w:pPr>
        <w:pStyle w:val="NormlnNimbusCEZ"/>
        <w:tabs>
          <w:tab w:val="center" w:pos="-1560"/>
          <w:tab w:val="left" w:pos="5529"/>
        </w:tabs>
        <w:spacing w:before="60"/>
        <w:rPr>
          <w:rFonts w:ascii="Arial" w:hAnsi="Arial" w:cs="Arial"/>
          <w:sz w:val="20"/>
          <w:szCs w:val="20"/>
        </w:rPr>
      </w:pPr>
    </w:p>
    <w:p w14:paraId="7A246F00" w14:textId="77777777" w:rsidR="00594035" w:rsidRDefault="00594035" w:rsidP="0022090D">
      <w:pPr>
        <w:pStyle w:val="NormlnNimbusCEZ"/>
        <w:tabs>
          <w:tab w:val="center" w:pos="-1560"/>
          <w:tab w:val="left" w:pos="5529"/>
        </w:tabs>
        <w:spacing w:before="60"/>
        <w:rPr>
          <w:rFonts w:ascii="Arial" w:hAnsi="Arial" w:cs="Arial"/>
          <w:sz w:val="20"/>
          <w:szCs w:val="20"/>
        </w:rPr>
      </w:pPr>
    </w:p>
    <w:p w14:paraId="4519C18C" w14:textId="77777777" w:rsidR="0009614E" w:rsidRDefault="0009614E" w:rsidP="0022090D">
      <w:pPr>
        <w:pStyle w:val="NormlnNimbusCEZ"/>
        <w:tabs>
          <w:tab w:val="center" w:pos="-1560"/>
          <w:tab w:val="left" w:pos="5529"/>
        </w:tabs>
        <w:spacing w:before="60"/>
        <w:rPr>
          <w:rFonts w:ascii="Arial" w:hAnsi="Arial" w:cs="Arial"/>
          <w:sz w:val="20"/>
          <w:szCs w:val="20"/>
        </w:rPr>
      </w:pPr>
    </w:p>
    <w:p w14:paraId="78D02C3B" w14:textId="2071FE49" w:rsidR="00E9102C" w:rsidRDefault="00E9102C" w:rsidP="0022090D">
      <w:pPr>
        <w:pStyle w:val="NormlnNimbusCEZ"/>
        <w:tabs>
          <w:tab w:val="center" w:pos="-1560"/>
          <w:tab w:val="left" w:pos="5529"/>
        </w:tabs>
        <w:spacing w:before="60"/>
        <w:rPr>
          <w:rFonts w:ascii="Arial" w:hAnsi="Arial" w:cs="Arial"/>
          <w:sz w:val="22"/>
          <w:szCs w:val="22"/>
        </w:rPr>
      </w:pPr>
      <w:r w:rsidRPr="007B36B7">
        <w:rPr>
          <w:rFonts w:ascii="Arial" w:hAnsi="Arial" w:cs="Arial"/>
          <w:sz w:val="22"/>
          <w:szCs w:val="22"/>
        </w:rPr>
        <w:t>Dodavatel:</w:t>
      </w:r>
    </w:p>
    <w:p w14:paraId="092C6024" w14:textId="77777777" w:rsidR="007B36B7" w:rsidRPr="007B36B7" w:rsidRDefault="007B36B7" w:rsidP="0022090D">
      <w:pPr>
        <w:pStyle w:val="NormlnNimbusCEZ"/>
        <w:tabs>
          <w:tab w:val="center" w:pos="-1560"/>
          <w:tab w:val="left" w:pos="5529"/>
        </w:tabs>
        <w:spacing w:before="60"/>
        <w:rPr>
          <w:rFonts w:ascii="Arial" w:hAnsi="Arial" w:cs="Arial"/>
          <w:sz w:val="22"/>
          <w:szCs w:val="22"/>
          <w:lang w:eastAsia="en-US"/>
        </w:rPr>
      </w:pPr>
    </w:p>
    <w:p w14:paraId="653DC626" w14:textId="77777777" w:rsidR="00436582" w:rsidRPr="007B36B7" w:rsidRDefault="00E9102C" w:rsidP="0005661C">
      <w:pPr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hAnsi="Arial" w:cs="Arial"/>
          <w:sz w:val="22"/>
          <w:szCs w:val="22"/>
        </w:rPr>
        <w:t>V Jindřichově Hradci dne………………</w:t>
      </w:r>
    </w:p>
    <w:p w14:paraId="180D9AAC" w14:textId="77777777" w:rsidR="00594035" w:rsidRDefault="00594035" w:rsidP="0005661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4BC7A69" w14:textId="2AB9730F" w:rsidR="00E9102C" w:rsidRPr="007B36B7" w:rsidRDefault="00E9102C" w:rsidP="0005661C">
      <w:pPr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ab/>
      </w:r>
      <w:r w:rsidRPr="007B36B7">
        <w:rPr>
          <w:rFonts w:ascii="Arial" w:eastAsia="Calibri" w:hAnsi="Arial" w:cs="Arial"/>
          <w:sz w:val="22"/>
          <w:szCs w:val="22"/>
          <w:lang w:eastAsia="en-US"/>
        </w:rPr>
        <w:tab/>
      </w:r>
      <w:r w:rsidRPr="007B36B7">
        <w:rPr>
          <w:rFonts w:ascii="Arial" w:eastAsia="Calibri" w:hAnsi="Arial" w:cs="Arial"/>
          <w:sz w:val="22"/>
          <w:szCs w:val="22"/>
          <w:lang w:eastAsia="en-US"/>
        </w:rPr>
        <w:tab/>
      </w:r>
      <w:r w:rsidR="00CA1458">
        <w:rPr>
          <w:rFonts w:ascii="Arial" w:eastAsia="Calibri" w:hAnsi="Arial" w:cs="Arial"/>
          <w:sz w:val="22"/>
          <w:szCs w:val="22"/>
          <w:lang w:eastAsia="en-US"/>
        </w:rPr>
        <w:tab/>
      </w:r>
      <w:r w:rsidRPr="007B36B7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</w:p>
    <w:p w14:paraId="4DB0BB2D" w14:textId="77777777" w:rsidR="00E9102C" w:rsidRPr="007B36B7" w:rsidRDefault="00E9102C" w:rsidP="0005661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1683BC38" w14:textId="77777777" w:rsidR="005F3C43" w:rsidRPr="007B36B7" w:rsidRDefault="005F3C43" w:rsidP="0005661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6EF0B27" w14:textId="77777777" w:rsidR="00594035" w:rsidRDefault="00594035" w:rsidP="0022090D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10098D8F" w14:textId="4B8BDBCA" w:rsidR="0005661C" w:rsidRDefault="00DA1400" w:rsidP="0022090D">
      <w:pPr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>Odběratel</w:t>
      </w:r>
      <w:r w:rsidR="00B05D4D">
        <w:rPr>
          <w:rFonts w:ascii="Arial" w:eastAsia="Calibri" w:hAnsi="Arial" w:cs="Arial"/>
          <w:sz w:val="22"/>
          <w:szCs w:val="22"/>
          <w:lang w:eastAsia="en-US"/>
        </w:rPr>
        <w:t xml:space="preserve"> zastoupený</w:t>
      </w:r>
      <w:r w:rsidRPr="007B36B7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212CA45E" w14:textId="77777777" w:rsidR="007B36B7" w:rsidRPr="007B36B7" w:rsidRDefault="007B36B7" w:rsidP="0022090D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04F4A44" w14:textId="599353B0" w:rsidR="0005661C" w:rsidRDefault="0005661C" w:rsidP="0022090D">
      <w:pPr>
        <w:rPr>
          <w:rFonts w:ascii="Arial" w:eastAsia="Calibri" w:hAnsi="Arial" w:cs="Arial"/>
          <w:sz w:val="22"/>
          <w:szCs w:val="22"/>
          <w:lang w:eastAsia="en-US"/>
        </w:rPr>
      </w:pPr>
      <w:r w:rsidRPr="007B36B7">
        <w:rPr>
          <w:rFonts w:ascii="Arial" w:eastAsia="Calibri" w:hAnsi="Arial" w:cs="Arial"/>
          <w:sz w:val="22"/>
          <w:szCs w:val="22"/>
          <w:lang w:eastAsia="en-US"/>
        </w:rPr>
        <w:t>V Jindřichově Hradci dne……………</w:t>
      </w:r>
      <w:r w:rsidR="009E2FE5">
        <w:rPr>
          <w:rFonts w:ascii="Arial" w:eastAsia="Calibri" w:hAnsi="Arial" w:cs="Arial"/>
          <w:sz w:val="22"/>
          <w:szCs w:val="22"/>
          <w:lang w:eastAsia="en-US"/>
        </w:rPr>
        <w:t>….</w:t>
      </w:r>
    </w:p>
    <w:p w14:paraId="26097669" w14:textId="77777777" w:rsidR="00CA1458" w:rsidRDefault="00CA1458" w:rsidP="00B05D4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29EB17A0" w14:textId="52A52F03" w:rsidR="00B05D4D" w:rsidRPr="009E2FE5" w:rsidRDefault="00D578BE" w:rsidP="00B05D4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9E2FE5">
        <w:rPr>
          <w:rFonts w:ascii="Arial" w:eastAsia="Calibri" w:hAnsi="Arial" w:cs="Arial"/>
          <w:sz w:val="22"/>
          <w:szCs w:val="22"/>
          <w:lang w:eastAsia="en-US"/>
        </w:rPr>
        <w:t>Mgr. Bc. Radka Stejskalová</w:t>
      </w:r>
      <w:r w:rsidR="009E2FE5">
        <w:rPr>
          <w:rFonts w:ascii="Arial" w:eastAsia="Calibri" w:hAnsi="Arial" w:cs="Arial"/>
          <w:sz w:val="22"/>
          <w:szCs w:val="22"/>
          <w:lang w:eastAsia="en-US"/>
        </w:rPr>
        <w:tab/>
      </w:r>
      <w:r w:rsidR="009E2FE5">
        <w:rPr>
          <w:rFonts w:ascii="Arial" w:eastAsia="Calibri" w:hAnsi="Arial" w:cs="Arial"/>
          <w:sz w:val="22"/>
          <w:szCs w:val="22"/>
          <w:lang w:eastAsia="en-US"/>
        </w:rPr>
        <w:tab/>
      </w:r>
      <w:r w:rsidR="009E2FE5">
        <w:rPr>
          <w:rFonts w:ascii="Arial" w:eastAsia="Calibri" w:hAnsi="Arial" w:cs="Arial"/>
          <w:sz w:val="22"/>
          <w:szCs w:val="22"/>
          <w:lang w:eastAsia="en-US"/>
        </w:rPr>
        <w:tab/>
      </w:r>
      <w:r w:rsidR="009E2FE5">
        <w:rPr>
          <w:rFonts w:ascii="Arial" w:eastAsia="Calibri" w:hAnsi="Arial" w:cs="Arial"/>
          <w:sz w:val="22"/>
          <w:szCs w:val="22"/>
          <w:lang w:eastAsia="en-US"/>
        </w:rPr>
        <w:tab/>
      </w:r>
      <w:r w:rsidR="00CA1458">
        <w:rPr>
          <w:rFonts w:ascii="Arial" w:eastAsia="Calibri" w:hAnsi="Arial" w:cs="Arial"/>
          <w:sz w:val="22"/>
          <w:szCs w:val="22"/>
          <w:lang w:eastAsia="en-US"/>
        </w:rPr>
        <w:tab/>
      </w:r>
      <w:r w:rsidR="00B05D4D" w:rsidRPr="009E2FE5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</w:p>
    <w:p w14:paraId="1A2253A4" w14:textId="53C87B80" w:rsidR="00B05D4D" w:rsidRPr="007B36B7" w:rsidRDefault="009E2FE5" w:rsidP="0022090D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ředitelka</w:t>
      </w:r>
    </w:p>
    <w:sectPr w:rsidR="00B05D4D" w:rsidRPr="007B36B7" w:rsidSect="0077185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127" w:right="1418" w:bottom="2410" w:left="1418" w:header="539" w:footer="1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08AD" w14:textId="77777777" w:rsidR="00EF4A32" w:rsidRDefault="00EF4A32">
      <w:r>
        <w:separator/>
      </w:r>
    </w:p>
  </w:endnote>
  <w:endnote w:type="continuationSeparator" w:id="0">
    <w:p w14:paraId="6CD9C1BB" w14:textId="77777777" w:rsidR="00EF4A32" w:rsidRDefault="00EF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CEZ">
    <w:altName w:val="Calibri"/>
    <w:charset w:val="EE"/>
    <w:family w:val="auto"/>
    <w:pitch w:val="variable"/>
    <w:sig w:usb0="800000AF" w:usb1="0000204A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67B7" w14:textId="77777777" w:rsidR="0093645F" w:rsidRDefault="0093645F" w:rsidP="004A337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B76ED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D8CD" w14:textId="77777777" w:rsidR="0093645F" w:rsidRDefault="0093645F" w:rsidP="000D193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16A8" w14:textId="77777777" w:rsidR="00EF4A32" w:rsidRDefault="00EF4A32">
      <w:r>
        <w:separator/>
      </w:r>
    </w:p>
  </w:footnote>
  <w:footnote w:type="continuationSeparator" w:id="0">
    <w:p w14:paraId="5998872F" w14:textId="77777777" w:rsidR="00EF4A32" w:rsidRDefault="00EF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F821" w14:textId="77777777" w:rsidR="0093645F" w:rsidRDefault="0093645F" w:rsidP="00F44776">
    <w:pPr>
      <w:pStyle w:val="Zhlav"/>
      <w:tabs>
        <w:tab w:val="clear" w:pos="9072"/>
        <w:tab w:val="right" w:pos="10080"/>
      </w:tabs>
      <w:ind w:left="-900" w:right="-100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0610" w14:textId="17C59E88" w:rsidR="00EF39AD" w:rsidRDefault="00761774" w:rsidP="008B3CF7">
    <w:pPr>
      <w:pStyle w:val="Zhlav"/>
      <w:ind w:left="-9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23303" wp14:editId="4D502C70">
          <wp:simplePos x="0" y="0"/>
          <wp:positionH relativeFrom="column">
            <wp:posOffset>5674995</wp:posOffset>
          </wp:positionH>
          <wp:positionV relativeFrom="paragraph">
            <wp:posOffset>174625</wp:posOffset>
          </wp:positionV>
          <wp:extent cx="676275" cy="47625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6BA625" wp14:editId="43EE8411">
          <wp:extent cx="914400" cy="7334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1D1D227" wp14:editId="3694FB21">
              <wp:simplePos x="0" y="0"/>
              <wp:positionH relativeFrom="page">
                <wp:posOffset>327660</wp:posOffset>
              </wp:positionH>
              <wp:positionV relativeFrom="paragraph">
                <wp:posOffset>810260</wp:posOffset>
              </wp:positionV>
              <wp:extent cx="6972935" cy="43180"/>
              <wp:effectExtent l="3810" t="635" r="0" b="3810"/>
              <wp:wrapNone/>
              <wp:docPr id="206698319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935" cy="4318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399"/>
                          </a:gs>
                          <a:gs pos="50000">
                            <a:srgbClr val="FFFFFF"/>
                          </a:gs>
                          <a:gs pos="100000">
                            <a:srgbClr val="333399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FF89DC3" id="Rectangle 3" o:spid="_x0000_s1026" style="position:absolute;margin-left:25.8pt;margin-top:63.8pt;width:549.05pt;height:3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" fillcolor="#339" stroked="f" strokecolor="blue">
              <v:fill rotate="t" focus="50%" type="gradient"/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977ED9F" wp14:editId="2ECF9245">
              <wp:simplePos x="0" y="0"/>
              <wp:positionH relativeFrom="page">
                <wp:posOffset>2502535</wp:posOffset>
              </wp:positionH>
              <wp:positionV relativeFrom="paragraph">
                <wp:posOffset>650875</wp:posOffset>
              </wp:positionV>
              <wp:extent cx="2689225" cy="342900"/>
              <wp:effectExtent l="0" t="3175" r="0" b="0"/>
              <wp:wrapNone/>
              <wp:docPr id="12428077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2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57971" w14:textId="77777777" w:rsidR="00EF39AD" w:rsidRPr="00761774" w:rsidRDefault="00EF39AD" w:rsidP="008B3CF7">
                          <w:pPr>
                            <w:pStyle w:val="Nadpis1"/>
                            <w:rPr>
                              <w:rFonts w:ascii="Verdana" w:hAnsi="Verdana"/>
                              <w:color w:val="000066"/>
                              <w:sz w:val="20"/>
                              <w:szCs w:val="20"/>
                            </w:rPr>
                          </w:pPr>
                          <w:r w:rsidRPr="00761774">
                            <w:rPr>
                              <w:rFonts w:ascii="Verdana" w:hAnsi="Verdana"/>
                              <w:color w:val="000066"/>
                              <w:sz w:val="20"/>
                              <w:szCs w:val="20"/>
                            </w:rPr>
                            <w:t>Otín 3, 377 01 Jindřichův Hradec</w:t>
                          </w:r>
                        </w:p>
                      </w:txbxContent>
                    </wps:txbx>
                    <wps:bodyPr rot="0" vert="horz" wrap="square" lIns="91440" tIns="90000" rIns="9144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7ED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7.05pt;margin-top:51.25pt;width:211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" stroked="f">
              <v:textbox inset=",2.5mm,,.5mm">
                <w:txbxContent>
                  <w:p w14:paraId="04C57971" w14:textId="77777777" w:rsidR="00EF39AD" w:rsidRPr="00761774" w:rsidRDefault="00EF39AD" w:rsidP="008B3CF7">
                    <w:pPr>
                      <w:pStyle w:val="Nadpis1"/>
                      <w:rPr>
                        <w:rFonts w:ascii="Verdana" w:hAnsi="Verdana"/>
                        <w:color w:val="000066"/>
                        <w:sz w:val="20"/>
                        <w:szCs w:val="20"/>
                      </w:rPr>
                    </w:pPr>
                    <w:r w:rsidRPr="00761774">
                      <w:rPr>
                        <w:rFonts w:ascii="Verdana" w:hAnsi="Verdana"/>
                        <w:color w:val="000066"/>
                        <w:sz w:val="20"/>
                        <w:szCs w:val="20"/>
                      </w:rPr>
                      <w:t>Otín 3, 377 01 Jindřichův Hradec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0" wp14:anchorId="68E3C33A" wp14:editId="02AC4A4D">
              <wp:simplePos x="0" y="0"/>
              <wp:positionH relativeFrom="page">
                <wp:posOffset>1431925</wp:posOffset>
              </wp:positionH>
              <wp:positionV relativeFrom="page">
                <wp:posOffset>516890</wp:posOffset>
              </wp:positionV>
              <wp:extent cx="4978400" cy="352425"/>
              <wp:effectExtent l="3175" t="2540" r="0" b="6985"/>
              <wp:wrapNone/>
              <wp:docPr id="474283625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978400" cy="3524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90A14B" w14:textId="77777777" w:rsidR="00761774" w:rsidRDefault="00761774" w:rsidP="00761774">
                          <w:pPr>
                            <w:jc w:val="center"/>
                            <w:rPr>
                              <w:rFonts w:ascii="Tw Cen MT" w:hAnsi="Tw Cen MT"/>
                              <w:color w:val="000066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w Cen MT" w:hAnsi="Tw Cen MT"/>
                              <w:color w:val="000066"/>
                              <w:sz w:val="48"/>
                              <w:szCs w:val="48"/>
                            </w:rPr>
                            <w:t>Energetické centrum s.r.o.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E3C33A" id="WordArt 1" o:spid="_x0000_s1027" type="#_x0000_t202" style="position:absolute;left:0;text-align:left;margin-left:112.75pt;margin-top:40.7pt;width:392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" o:allowoverlap="f" filled="f" stroked="f">
              <v:stroke joinstyle="round"/>
              <o:lock v:ext="edit" shapetype="t"/>
              <v:textbox style="mso-fit-shape-to-text:t">
                <w:txbxContent>
                  <w:p w14:paraId="3790A14B" w14:textId="77777777" w:rsidR="00761774" w:rsidRDefault="00761774" w:rsidP="00761774">
                    <w:pPr>
                      <w:jc w:val="center"/>
                      <w:rPr>
                        <w:rFonts w:ascii="Tw Cen MT" w:hAnsi="Tw Cen MT"/>
                        <w:color w:val="000066"/>
                        <w:sz w:val="48"/>
                        <w:szCs w:val="48"/>
                      </w:rPr>
                    </w:pPr>
                    <w:r>
                      <w:rPr>
                        <w:rFonts w:ascii="Tw Cen MT" w:hAnsi="Tw Cen MT"/>
                        <w:color w:val="000066"/>
                        <w:sz w:val="48"/>
                        <w:szCs w:val="48"/>
                      </w:rPr>
                      <w:t>Energetické centrum s.r.o.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06E572D" w14:textId="77777777" w:rsidR="0093645F" w:rsidRDefault="0093645F" w:rsidP="008B3CF7">
    <w:pPr>
      <w:pStyle w:val="Zhlav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9ED"/>
    <w:multiLevelType w:val="hybridMultilevel"/>
    <w:tmpl w:val="DEE0F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51F80"/>
    <w:multiLevelType w:val="hybridMultilevel"/>
    <w:tmpl w:val="694CF0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7974D9"/>
    <w:multiLevelType w:val="hybridMultilevel"/>
    <w:tmpl w:val="37504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1F6B"/>
    <w:multiLevelType w:val="hybridMultilevel"/>
    <w:tmpl w:val="E5384F74"/>
    <w:lvl w:ilvl="0" w:tplc="040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4" w15:restartNumberingAfterBreak="0">
    <w:nsid w:val="67B31E7E"/>
    <w:multiLevelType w:val="hybridMultilevel"/>
    <w:tmpl w:val="A4303BA4"/>
    <w:lvl w:ilvl="0" w:tplc="C37E55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A3F3143"/>
    <w:multiLevelType w:val="hybridMultilevel"/>
    <w:tmpl w:val="47724D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84BFE"/>
    <w:multiLevelType w:val="hybridMultilevel"/>
    <w:tmpl w:val="45122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horizontal-relative:page" fill="f" fillcolor="#b2b2b2" stroke="f" strokecolor="blue">
      <v:fill color="#b2b2b2" on="f"/>
      <v:stroke color="blue" on="f"/>
      <v:imagedata embosscolor="shadow add(51)"/>
      <o:colormru v:ext="edit" colors="#b2b2b2,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DA"/>
    <w:rsid w:val="0000522A"/>
    <w:rsid w:val="00005DDD"/>
    <w:rsid w:val="00012671"/>
    <w:rsid w:val="000128CF"/>
    <w:rsid w:val="00016C5D"/>
    <w:rsid w:val="00017846"/>
    <w:rsid w:val="00030695"/>
    <w:rsid w:val="00031296"/>
    <w:rsid w:val="00036B7E"/>
    <w:rsid w:val="0004733E"/>
    <w:rsid w:val="0005661C"/>
    <w:rsid w:val="0006241C"/>
    <w:rsid w:val="00063C7E"/>
    <w:rsid w:val="000702CF"/>
    <w:rsid w:val="0007171D"/>
    <w:rsid w:val="000729B5"/>
    <w:rsid w:val="00083232"/>
    <w:rsid w:val="000853C8"/>
    <w:rsid w:val="00092B2B"/>
    <w:rsid w:val="0009368F"/>
    <w:rsid w:val="0009467D"/>
    <w:rsid w:val="0009614E"/>
    <w:rsid w:val="000A4066"/>
    <w:rsid w:val="000B0060"/>
    <w:rsid w:val="000C3EB5"/>
    <w:rsid w:val="000C7029"/>
    <w:rsid w:val="000D03A1"/>
    <w:rsid w:val="000D193C"/>
    <w:rsid w:val="000D2F6E"/>
    <w:rsid w:val="000E03BD"/>
    <w:rsid w:val="000F1480"/>
    <w:rsid w:val="000F3351"/>
    <w:rsid w:val="00115DCF"/>
    <w:rsid w:val="001329C1"/>
    <w:rsid w:val="00137671"/>
    <w:rsid w:val="001379E5"/>
    <w:rsid w:val="00140A10"/>
    <w:rsid w:val="001413CE"/>
    <w:rsid w:val="0014498C"/>
    <w:rsid w:val="001535BF"/>
    <w:rsid w:val="00154136"/>
    <w:rsid w:val="00164DB6"/>
    <w:rsid w:val="001659C8"/>
    <w:rsid w:val="00166A31"/>
    <w:rsid w:val="001702E5"/>
    <w:rsid w:val="00170671"/>
    <w:rsid w:val="001717D8"/>
    <w:rsid w:val="00171B91"/>
    <w:rsid w:val="001753AE"/>
    <w:rsid w:val="00175CC3"/>
    <w:rsid w:val="00183BB7"/>
    <w:rsid w:val="00187F57"/>
    <w:rsid w:val="00191786"/>
    <w:rsid w:val="001959A2"/>
    <w:rsid w:val="001A23D5"/>
    <w:rsid w:val="001A4086"/>
    <w:rsid w:val="001B0E3C"/>
    <w:rsid w:val="001B4D15"/>
    <w:rsid w:val="001B6010"/>
    <w:rsid w:val="001C5C6E"/>
    <w:rsid w:val="001D6894"/>
    <w:rsid w:val="001E504B"/>
    <w:rsid w:val="001F34DE"/>
    <w:rsid w:val="00200577"/>
    <w:rsid w:val="002008A1"/>
    <w:rsid w:val="00201CEE"/>
    <w:rsid w:val="002178AE"/>
    <w:rsid w:val="0022016C"/>
    <w:rsid w:val="0022090D"/>
    <w:rsid w:val="002264A4"/>
    <w:rsid w:val="00237245"/>
    <w:rsid w:val="0024007D"/>
    <w:rsid w:val="0024068F"/>
    <w:rsid w:val="00246B6B"/>
    <w:rsid w:val="00256C7B"/>
    <w:rsid w:val="00264743"/>
    <w:rsid w:val="00264E31"/>
    <w:rsid w:val="00266D52"/>
    <w:rsid w:val="0027149D"/>
    <w:rsid w:val="002735C3"/>
    <w:rsid w:val="00273A0C"/>
    <w:rsid w:val="00275C7C"/>
    <w:rsid w:val="002809C3"/>
    <w:rsid w:val="0029411A"/>
    <w:rsid w:val="00294616"/>
    <w:rsid w:val="00295854"/>
    <w:rsid w:val="00297822"/>
    <w:rsid w:val="002A0375"/>
    <w:rsid w:val="002A063B"/>
    <w:rsid w:val="002A3120"/>
    <w:rsid w:val="002A5EBE"/>
    <w:rsid w:val="002A6177"/>
    <w:rsid w:val="002A728B"/>
    <w:rsid w:val="002C1362"/>
    <w:rsid w:val="002D22BE"/>
    <w:rsid w:val="002E0A19"/>
    <w:rsid w:val="002E280E"/>
    <w:rsid w:val="002E350C"/>
    <w:rsid w:val="002E42AE"/>
    <w:rsid w:val="002E7579"/>
    <w:rsid w:val="002F0650"/>
    <w:rsid w:val="002F09B2"/>
    <w:rsid w:val="002F18ED"/>
    <w:rsid w:val="002F2053"/>
    <w:rsid w:val="002F45F7"/>
    <w:rsid w:val="00303122"/>
    <w:rsid w:val="003042AE"/>
    <w:rsid w:val="00306BD8"/>
    <w:rsid w:val="003223F8"/>
    <w:rsid w:val="00322C6B"/>
    <w:rsid w:val="00324472"/>
    <w:rsid w:val="00325B7F"/>
    <w:rsid w:val="00331193"/>
    <w:rsid w:val="0033309C"/>
    <w:rsid w:val="00335663"/>
    <w:rsid w:val="00335F2E"/>
    <w:rsid w:val="003370D2"/>
    <w:rsid w:val="00344016"/>
    <w:rsid w:val="00353472"/>
    <w:rsid w:val="00353E69"/>
    <w:rsid w:val="003572FB"/>
    <w:rsid w:val="003640AC"/>
    <w:rsid w:val="00365A6C"/>
    <w:rsid w:val="00373E2D"/>
    <w:rsid w:val="003865E6"/>
    <w:rsid w:val="003926A1"/>
    <w:rsid w:val="003A1553"/>
    <w:rsid w:val="003B2C58"/>
    <w:rsid w:val="003B3111"/>
    <w:rsid w:val="003B39F9"/>
    <w:rsid w:val="003B7CCF"/>
    <w:rsid w:val="003C2143"/>
    <w:rsid w:val="003C3971"/>
    <w:rsid w:val="003C5189"/>
    <w:rsid w:val="003C6E4C"/>
    <w:rsid w:val="003D5BA2"/>
    <w:rsid w:val="003D5C74"/>
    <w:rsid w:val="003F351A"/>
    <w:rsid w:val="003F696B"/>
    <w:rsid w:val="00402FAE"/>
    <w:rsid w:val="00410204"/>
    <w:rsid w:val="00420275"/>
    <w:rsid w:val="00436582"/>
    <w:rsid w:val="00437416"/>
    <w:rsid w:val="00437698"/>
    <w:rsid w:val="00437863"/>
    <w:rsid w:val="00445FBD"/>
    <w:rsid w:val="004637D7"/>
    <w:rsid w:val="004726AC"/>
    <w:rsid w:val="00474CAD"/>
    <w:rsid w:val="00474D57"/>
    <w:rsid w:val="00482BBD"/>
    <w:rsid w:val="00493253"/>
    <w:rsid w:val="00494A4B"/>
    <w:rsid w:val="00495F8D"/>
    <w:rsid w:val="00497CDC"/>
    <w:rsid w:val="004A0B04"/>
    <w:rsid w:val="004A16F8"/>
    <w:rsid w:val="004A3375"/>
    <w:rsid w:val="004B1A74"/>
    <w:rsid w:val="004B3FE5"/>
    <w:rsid w:val="004C085B"/>
    <w:rsid w:val="004C1056"/>
    <w:rsid w:val="004C35CB"/>
    <w:rsid w:val="004D0415"/>
    <w:rsid w:val="004D1847"/>
    <w:rsid w:val="004D522B"/>
    <w:rsid w:val="004E7191"/>
    <w:rsid w:val="004F0BBD"/>
    <w:rsid w:val="004F1290"/>
    <w:rsid w:val="0050741F"/>
    <w:rsid w:val="00511F97"/>
    <w:rsid w:val="00513A6C"/>
    <w:rsid w:val="005155B7"/>
    <w:rsid w:val="00520153"/>
    <w:rsid w:val="00522B4A"/>
    <w:rsid w:val="0052679A"/>
    <w:rsid w:val="0052691B"/>
    <w:rsid w:val="00531E5C"/>
    <w:rsid w:val="00533104"/>
    <w:rsid w:val="00537CF9"/>
    <w:rsid w:val="00545942"/>
    <w:rsid w:val="0055250E"/>
    <w:rsid w:val="0055273E"/>
    <w:rsid w:val="005667B5"/>
    <w:rsid w:val="00567F27"/>
    <w:rsid w:val="0057247E"/>
    <w:rsid w:val="0057467B"/>
    <w:rsid w:val="00582103"/>
    <w:rsid w:val="00586C2F"/>
    <w:rsid w:val="00591731"/>
    <w:rsid w:val="005937A8"/>
    <w:rsid w:val="00593845"/>
    <w:rsid w:val="00594035"/>
    <w:rsid w:val="005940F8"/>
    <w:rsid w:val="00595BDA"/>
    <w:rsid w:val="005960BD"/>
    <w:rsid w:val="00597AB6"/>
    <w:rsid w:val="005A5D62"/>
    <w:rsid w:val="005A74CD"/>
    <w:rsid w:val="005B38E4"/>
    <w:rsid w:val="005C22F8"/>
    <w:rsid w:val="005C2716"/>
    <w:rsid w:val="005C31BC"/>
    <w:rsid w:val="005C4DCC"/>
    <w:rsid w:val="005D04F9"/>
    <w:rsid w:val="005D335D"/>
    <w:rsid w:val="005D5189"/>
    <w:rsid w:val="005D7148"/>
    <w:rsid w:val="005E0AF2"/>
    <w:rsid w:val="005E116F"/>
    <w:rsid w:val="005E346F"/>
    <w:rsid w:val="005E48DD"/>
    <w:rsid w:val="005E4F48"/>
    <w:rsid w:val="005E61E7"/>
    <w:rsid w:val="005E7E20"/>
    <w:rsid w:val="005F1747"/>
    <w:rsid w:val="005F3C43"/>
    <w:rsid w:val="005F7C73"/>
    <w:rsid w:val="00604021"/>
    <w:rsid w:val="00606B02"/>
    <w:rsid w:val="006146F8"/>
    <w:rsid w:val="00621285"/>
    <w:rsid w:val="00621BC1"/>
    <w:rsid w:val="00622A9E"/>
    <w:rsid w:val="00622E0A"/>
    <w:rsid w:val="006259E3"/>
    <w:rsid w:val="00634072"/>
    <w:rsid w:val="00641B86"/>
    <w:rsid w:val="00645874"/>
    <w:rsid w:val="00645ADE"/>
    <w:rsid w:val="00646517"/>
    <w:rsid w:val="0064712C"/>
    <w:rsid w:val="0065240F"/>
    <w:rsid w:val="006550BC"/>
    <w:rsid w:val="00660CA6"/>
    <w:rsid w:val="006656FB"/>
    <w:rsid w:val="00666EE8"/>
    <w:rsid w:val="00674E4B"/>
    <w:rsid w:val="006812A8"/>
    <w:rsid w:val="00686C21"/>
    <w:rsid w:val="00694C47"/>
    <w:rsid w:val="00696BB4"/>
    <w:rsid w:val="006A00AC"/>
    <w:rsid w:val="006A6228"/>
    <w:rsid w:val="006A7E37"/>
    <w:rsid w:val="006B0366"/>
    <w:rsid w:val="006B201D"/>
    <w:rsid w:val="006B2236"/>
    <w:rsid w:val="006B272A"/>
    <w:rsid w:val="006B38E8"/>
    <w:rsid w:val="006C1168"/>
    <w:rsid w:val="006C59AE"/>
    <w:rsid w:val="006D0FBD"/>
    <w:rsid w:val="006D3372"/>
    <w:rsid w:val="006D4536"/>
    <w:rsid w:val="006D5259"/>
    <w:rsid w:val="006D6BF0"/>
    <w:rsid w:val="006E1A61"/>
    <w:rsid w:val="006E2695"/>
    <w:rsid w:val="006F1592"/>
    <w:rsid w:val="006F26E1"/>
    <w:rsid w:val="006F4685"/>
    <w:rsid w:val="00700509"/>
    <w:rsid w:val="00712AF8"/>
    <w:rsid w:val="007136F6"/>
    <w:rsid w:val="00721A77"/>
    <w:rsid w:val="00736DF2"/>
    <w:rsid w:val="00743506"/>
    <w:rsid w:val="00745351"/>
    <w:rsid w:val="00746460"/>
    <w:rsid w:val="00750E81"/>
    <w:rsid w:val="00751241"/>
    <w:rsid w:val="00752EE1"/>
    <w:rsid w:val="007565A8"/>
    <w:rsid w:val="00761774"/>
    <w:rsid w:val="00767932"/>
    <w:rsid w:val="007702D8"/>
    <w:rsid w:val="0077185E"/>
    <w:rsid w:val="007863F1"/>
    <w:rsid w:val="00790908"/>
    <w:rsid w:val="0079613B"/>
    <w:rsid w:val="00797E77"/>
    <w:rsid w:val="007A4A95"/>
    <w:rsid w:val="007A7475"/>
    <w:rsid w:val="007B2597"/>
    <w:rsid w:val="007B28CB"/>
    <w:rsid w:val="007B36B7"/>
    <w:rsid w:val="007C05D1"/>
    <w:rsid w:val="007D1FF2"/>
    <w:rsid w:val="007D5694"/>
    <w:rsid w:val="007D631C"/>
    <w:rsid w:val="007E708D"/>
    <w:rsid w:val="007E7978"/>
    <w:rsid w:val="007F76A6"/>
    <w:rsid w:val="00800AF8"/>
    <w:rsid w:val="008038F7"/>
    <w:rsid w:val="00805812"/>
    <w:rsid w:val="00806C34"/>
    <w:rsid w:val="0081529B"/>
    <w:rsid w:val="008353F4"/>
    <w:rsid w:val="0083637B"/>
    <w:rsid w:val="00837E8E"/>
    <w:rsid w:val="0084158A"/>
    <w:rsid w:val="00846830"/>
    <w:rsid w:val="00846A41"/>
    <w:rsid w:val="00846F31"/>
    <w:rsid w:val="008500A7"/>
    <w:rsid w:val="00855EAF"/>
    <w:rsid w:val="0086367C"/>
    <w:rsid w:val="00865775"/>
    <w:rsid w:val="00867DA2"/>
    <w:rsid w:val="00871149"/>
    <w:rsid w:val="00871E14"/>
    <w:rsid w:val="008751C7"/>
    <w:rsid w:val="00883650"/>
    <w:rsid w:val="0089236E"/>
    <w:rsid w:val="00892A05"/>
    <w:rsid w:val="00893129"/>
    <w:rsid w:val="008A2E2F"/>
    <w:rsid w:val="008A514B"/>
    <w:rsid w:val="008A7D1B"/>
    <w:rsid w:val="008B3CF7"/>
    <w:rsid w:val="008B4A54"/>
    <w:rsid w:val="008B5763"/>
    <w:rsid w:val="008C3192"/>
    <w:rsid w:val="008C48E8"/>
    <w:rsid w:val="008C7407"/>
    <w:rsid w:val="008D5692"/>
    <w:rsid w:val="008D56EB"/>
    <w:rsid w:val="008D6D82"/>
    <w:rsid w:val="008E2FBF"/>
    <w:rsid w:val="008E4817"/>
    <w:rsid w:val="008E56EE"/>
    <w:rsid w:val="008E6F7B"/>
    <w:rsid w:val="008F0BC0"/>
    <w:rsid w:val="00902355"/>
    <w:rsid w:val="009113A9"/>
    <w:rsid w:val="0092087B"/>
    <w:rsid w:val="0092588F"/>
    <w:rsid w:val="00925ACA"/>
    <w:rsid w:val="00925EDE"/>
    <w:rsid w:val="009325B7"/>
    <w:rsid w:val="00933A53"/>
    <w:rsid w:val="00934FDB"/>
    <w:rsid w:val="009353FD"/>
    <w:rsid w:val="00936099"/>
    <w:rsid w:val="0093645F"/>
    <w:rsid w:val="00945EA4"/>
    <w:rsid w:val="00953092"/>
    <w:rsid w:val="00957F36"/>
    <w:rsid w:val="009628BB"/>
    <w:rsid w:val="00964C09"/>
    <w:rsid w:val="00972800"/>
    <w:rsid w:val="0097408B"/>
    <w:rsid w:val="009753E8"/>
    <w:rsid w:val="00976ED6"/>
    <w:rsid w:val="0098178B"/>
    <w:rsid w:val="009829CB"/>
    <w:rsid w:val="00983726"/>
    <w:rsid w:val="00985B36"/>
    <w:rsid w:val="00990E1F"/>
    <w:rsid w:val="00995D31"/>
    <w:rsid w:val="009A085E"/>
    <w:rsid w:val="009A5878"/>
    <w:rsid w:val="009B4559"/>
    <w:rsid w:val="009B4AEF"/>
    <w:rsid w:val="009B59F3"/>
    <w:rsid w:val="009B6C46"/>
    <w:rsid w:val="009C1E6F"/>
    <w:rsid w:val="009C7F9C"/>
    <w:rsid w:val="009D37F2"/>
    <w:rsid w:val="009D39B9"/>
    <w:rsid w:val="009D6381"/>
    <w:rsid w:val="009E2FE5"/>
    <w:rsid w:val="009E64CD"/>
    <w:rsid w:val="009F07BD"/>
    <w:rsid w:val="009F2079"/>
    <w:rsid w:val="009F3A2F"/>
    <w:rsid w:val="00A03B94"/>
    <w:rsid w:val="00A04485"/>
    <w:rsid w:val="00A074C0"/>
    <w:rsid w:val="00A104CB"/>
    <w:rsid w:val="00A1563B"/>
    <w:rsid w:val="00A171CA"/>
    <w:rsid w:val="00A23259"/>
    <w:rsid w:val="00A26E0A"/>
    <w:rsid w:val="00A332CC"/>
    <w:rsid w:val="00A368BF"/>
    <w:rsid w:val="00A37E7E"/>
    <w:rsid w:val="00A423E7"/>
    <w:rsid w:val="00A42863"/>
    <w:rsid w:val="00A42DC0"/>
    <w:rsid w:val="00A504D2"/>
    <w:rsid w:val="00A52F92"/>
    <w:rsid w:val="00A5486F"/>
    <w:rsid w:val="00A6080D"/>
    <w:rsid w:val="00A62EE7"/>
    <w:rsid w:val="00A63DEA"/>
    <w:rsid w:val="00A67704"/>
    <w:rsid w:val="00A722C1"/>
    <w:rsid w:val="00A7253D"/>
    <w:rsid w:val="00A74F39"/>
    <w:rsid w:val="00A810FC"/>
    <w:rsid w:val="00A8294A"/>
    <w:rsid w:val="00A8502A"/>
    <w:rsid w:val="00A87060"/>
    <w:rsid w:val="00A90635"/>
    <w:rsid w:val="00AA6F9A"/>
    <w:rsid w:val="00AB008E"/>
    <w:rsid w:val="00AB16F9"/>
    <w:rsid w:val="00AB3349"/>
    <w:rsid w:val="00AC40B7"/>
    <w:rsid w:val="00AC4445"/>
    <w:rsid w:val="00AC4ADF"/>
    <w:rsid w:val="00AC58A7"/>
    <w:rsid w:val="00AC7EE6"/>
    <w:rsid w:val="00AD4D29"/>
    <w:rsid w:val="00AE1109"/>
    <w:rsid w:val="00AE3995"/>
    <w:rsid w:val="00AE3CE8"/>
    <w:rsid w:val="00AF1F53"/>
    <w:rsid w:val="00AF4332"/>
    <w:rsid w:val="00B05D4D"/>
    <w:rsid w:val="00B20715"/>
    <w:rsid w:val="00B23016"/>
    <w:rsid w:val="00B26636"/>
    <w:rsid w:val="00B2712C"/>
    <w:rsid w:val="00B30820"/>
    <w:rsid w:val="00B348D9"/>
    <w:rsid w:val="00B36327"/>
    <w:rsid w:val="00B40797"/>
    <w:rsid w:val="00B42EAB"/>
    <w:rsid w:val="00B436C2"/>
    <w:rsid w:val="00B44905"/>
    <w:rsid w:val="00B44CD8"/>
    <w:rsid w:val="00B4688C"/>
    <w:rsid w:val="00B5325F"/>
    <w:rsid w:val="00B61FAD"/>
    <w:rsid w:val="00B66244"/>
    <w:rsid w:val="00B66B58"/>
    <w:rsid w:val="00B70455"/>
    <w:rsid w:val="00B716A7"/>
    <w:rsid w:val="00B75909"/>
    <w:rsid w:val="00B92233"/>
    <w:rsid w:val="00B9398D"/>
    <w:rsid w:val="00BA2510"/>
    <w:rsid w:val="00BB1D84"/>
    <w:rsid w:val="00BB4639"/>
    <w:rsid w:val="00BB703E"/>
    <w:rsid w:val="00BC188B"/>
    <w:rsid w:val="00BC2728"/>
    <w:rsid w:val="00BC553D"/>
    <w:rsid w:val="00BD04FE"/>
    <w:rsid w:val="00BD26BA"/>
    <w:rsid w:val="00BD43DC"/>
    <w:rsid w:val="00BD6650"/>
    <w:rsid w:val="00BE19E3"/>
    <w:rsid w:val="00BE6C3F"/>
    <w:rsid w:val="00BE7310"/>
    <w:rsid w:val="00C026C5"/>
    <w:rsid w:val="00C044EA"/>
    <w:rsid w:val="00C05DB7"/>
    <w:rsid w:val="00C101A0"/>
    <w:rsid w:val="00C112CF"/>
    <w:rsid w:val="00C12A08"/>
    <w:rsid w:val="00C14E13"/>
    <w:rsid w:val="00C15A4A"/>
    <w:rsid w:val="00C22F7F"/>
    <w:rsid w:val="00C4223A"/>
    <w:rsid w:val="00C44A7C"/>
    <w:rsid w:val="00C45353"/>
    <w:rsid w:val="00C45828"/>
    <w:rsid w:val="00C50B65"/>
    <w:rsid w:val="00C61A56"/>
    <w:rsid w:val="00C72EEF"/>
    <w:rsid w:val="00C730D1"/>
    <w:rsid w:val="00C81373"/>
    <w:rsid w:val="00C90E55"/>
    <w:rsid w:val="00C929F3"/>
    <w:rsid w:val="00C93F73"/>
    <w:rsid w:val="00C9654A"/>
    <w:rsid w:val="00CA1458"/>
    <w:rsid w:val="00CA7001"/>
    <w:rsid w:val="00CA7654"/>
    <w:rsid w:val="00CB37F4"/>
    <w:rsid w:val="00CB3C85"/>
    <w:rsid w:val="00CB76ED"/>
    <w:rsid w:val="00CC14EB"/>
    <w:rsid w:val="00CC5817"/>
    <w:rsid w:val="00CD272D"/>
    <w:rsid w:val="00CD27B8"/>
    <w:rsid w:val="00CD59F2"/>
    <w:rsid w:val="00CE3CFB"/>
    <w:rsid w:val="00CE50AC"/>
    <w:rsid w:val="00CE705D"/>
    <w:rsid w:val="00CE7698"/>
    <w:rsid w:val="00D0122A"/>
    <w:rsid w:val="00D02457"/>
    <w:rsid w:val="00D040A3"/>
    <w:rsid w:val="00D0500C"/>
    <w:rsid w:val="00D0631D"/>
    <w:rsid w:val="00D11133"/>
    <w:rsid w:val="00D1421F"/>
    <w:rsid w:val="00D21574"/>
    <w:rsid w:val="00D239E3"/>
    <w:rsid w:val="00D331CC"/>
    <w:rsid w:val="00D34E24"/>
    <w:rsid w:val="00D3501E"/>
    <w:rsid w:val="00D425F2"/>
    <w:rsid w:val="00D47C06"/>
    <w:rsid w:val="00D56C69"/>
    <w:rsid w:val="00D578BE"/>
    <w:rsid w:val="00D6243C"/>
    <w:rsid w:val="00D62ADB"/>
    <w:rsid w:val="00D64FC5"/>
    <w:rsid w:val="00D7407B"/>
    <w:rsid w:val="00D75CB0"/>
    <w:rsid w:val="00D75D77"/>
    <w:rsid w:val="00D903F6"/>
    <w:rsid w:val="00D95D66"/>
    <w:rsid w:val="00DA1400"/>
    <w:rsid w:val="00DA1FBF"/>
    <w:rsid w:val="00DB0EB5"/>
    <w:rsid w:val="00DB4C85"/>
    <w:rsid w:val="00DB4F9C"/>
    <w:rsid w:val="00DC0967"/>
    <w:rsid w:val="00DC450F"/>
    <w:rsid w:val="00DD13B6"/>
    <w:rsid w:val="00DD1ADB"/>
    <w:rsid w:val="00DD5898"/>
    <w:rsid w:val="00DD6626"/>
    <w:rsid w:val="00DE3BBF"/>
    <w:rsid w:val="00DE6479"/>
    <w:rsid w:val="00DF2257"/>
    <w:rsid w:val="00DF2D29"/>
    <w:rsid w:val="00E02A64"/>
    <w:rsid w:val="00E059B6"/>
    <w:rsid w:val="00E1165E"/>
    <w:rsid w:val="00E24323"/>
    <w:rsid w:val="00E32444"/>
    <w:rsid w:val="00E36B90"/>
    <w:rsid w:val="00E411BF"/>
    <w:rsid w:val="00E41FA8"/>
    <w:rsid w:val="00E4564A"/>
    <w:rsid w:val="00E6143A"/>
    <w:rsid w:val="00E659AB"/>
    <w:rsid w:val="00E66868"/>
    <w:rsid w:val="00E71BD4"/>
    <w:rsid w:val="00E73963"/>
    <w:rsid w:val="00E74BEC"/>
    <w:rsid w:val="00E828DF"/>
    <w:rsid w:val="00E83D1C"/>
    <w:rsid w:val="00E85C2D"/>
    <w:rsid w:val="00E87952"/>
    <w:rsid w:val="00E9102C"/>
    <w:rsid w:val="00E9350D"/>
    <w:rsid w:val="00E93DF8"/>
    <w:rsid w:val="00E9654B"/>
    <w:rsid w:val="00EA2B86"/>
    <w:rsid w:val="00EA332A"/>
    <w:rsid w:val="00EC304B"/>
    <w:rsid w:val="00EC42FD"/>
    <w:rsid w:val="00EC5454"/>
    <w:rsid w:val="00ED355F"/>
    <w:rsid w:val="00ED490F"/>
    <w:rsid w:val="00ED4CD8"/>
    <w:rsid w:val="00EE4BB8"/>
    <w:rsid w:val="00EE58DD"/>
    <w:rsid w:val="00EF35FE"/>
    <w:rsid w:val="00EF39AD"/>
    <w:rsid w:val="00EF4A32"/>
    <w:rsid w:val="00EF7BBB"/>
    <w:rsid w:val="00F036A7"/>
    <w:rsid w:val="00F05345"/>
    <w:rsid w:val="00F104A9"/>
    <w:rsid w:val="00F10B52"/>
    <w:rsid w:val="00F2242E"/>
    <w:rsid w:val="00F24E05"/>
    <w:rsid w:val="00F35DDE"/>
    <w:rsid w:val="00F36C77"/>
    <w:rsid w:val="00F37650"/>
    <w:rsid w:val="00F43949"/>
    <w:rsid w:val="00F44776"/>
    <w:rsid w:val="00F55605"/>
    <w:rsid w:val="00F55E35"/>
    <w:rsid w:val="00F55F4A"/>
    <w:rsid w:val="00F57A7C"/>
    <w:rsid w:val="00F60E9D"/>
    <w:rsid w:val="00F6719D"/>
    <w:rsid w:val="00F7048A"/>
    <w:rsid w:val="00F7267F"/>
    <w:rsid w:val="00F85F90"/>
    <w:rsid w:val="00F92E87"/>
    <w:rsid w:val="00FA1C9A"/>
    <w:rsid w:val="00FB02AC"/>
    <w:rsid w:val="00FB6F8C"/>
    <w:rsid w:val="00FC0D9F"/>
    <w:rsid w:val="00FC2CE1"/>
    <w:rsid w:val="00FC3B69"/>
    <w:rsid w:val="00FD1BFB"/>
    <w:rsid w:val="00FD49A1"/>
    <w:rsid w:val="00FD4CDF"/>
    <w:rsid w:val="00FD55A1"/>
    <w:rsid w:val="00FD74AB"/>
    <w:rsid w:val="00FE32DE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" fill="f" fillcolor="#b2b2b2" stroke="f" strokecolor="blue">
      <v:fill color="#b2b2b2" on="f"/>
      <v:stroke color="blue" on="f"/>
      <v:imagedata embosscolor="shadow add(51)"/>
      <o:colormru v:ext="edit" colors="#b2b2b2,#006"/>
    </o:shapedefaults>
    <o:shapelayout v:ext="edit">
      <o:idmap v:ext="edit" data="1"/>
    </o:shapelayout>
  </w:shapeDefaults>
  <w:decimalSymbol w:val=","/>
  <w:listSeparator w:val=";"/>
  <w14:docId w14:val="47965EE7"/>
  <w15:chartTrackingRefBased/>
  <w15:docId w15:val="{6B2A935A-1E58-4CDE-967E-A9139F1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3375"/>
  </w:style>
  <w:style w:type="paragraph" w:styleId="Textbubliny">
    <w:name w:val="Balloon Text"/>
    <w:basedOn w:val="Normln"/>
    <w:semiHidden/>
    <w:rsid w:val="008E6F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40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link w:val="Nadpis1"/>
    <w:rsid w:val="00EF39AD"/>
    <w:rPr>
      <w:rFonts w:ascii="Arial" w:hAnsi="Arial" w:cs="Arial"/>
      <w:b/>
      <w:bCs/>
      <w:color w:val="FF0000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hlavChar">
    <w:name w:val="Záhlaví Char"/>
    <w:link w:val="Zhlav"/>
    <w:rsid w:val="00EF39AD"/>
    <w:rPr>
      <w:sz w:val="24"/>
      <w:szCs w:val="24"/>
    </w:rPr>
  </w:style>
  <w:style w:type="character" w:customStyle="1" w:styleId="ZpatChar">
    <w:name w:val="Zápatí Char"/>
    <w:link w:val="Zpat"/>
    <w:uiPriority w:val="99"/>
    <w:rsid w:val="002264A4"/>
    <w:rPr>
      <w:sz w:val="24"/>
      <w:szCs w:val="24"/>
    </w:rPr>
  </w:style>
  <w:style w:type="character" w:styleId="Odkaznakoment">
    <w:name w:val="annotation reference"/>
    <w:uiPriority w:val="99"/>
    <w:rsid w:val="006656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656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56FB"/>
  </w:style>
  <w:style w:type="paragraph" w:styleId="Pedmtkomente">
    <w:name w:val="annotation subject"/>
    <w:basedOn w:val="Textkomente"/>
    <w:next w:val="Textkomente"/>
    <w:link w:val="PedmtkomenteChar"/>
    <w:rsid w:val="006656FB"/>
    <w:rPr>
      <w:b/>
      <w:bCs/>
    </w:rPr>
  </w:style>
  <w:style w:type="character" w:customStyle="1" w:styleId="PedmtkomenteChar">
    <w:name w:val="Předmět komentáře Char"/>
    <w:link w:val="Pedmtkomente"/>
    <w:rsid w:val="006656FB"/>
    <w:rPr>
      <w:b/>
      <w:bCs/>
    </w:rPr>
  </w:style>
  <w:style w:type="paragraph" w:styleId="Revize">
    <w:name w:val="Revision"/>
    <w:hidden/>
    <w:uiPriority w:val="99"/>
    <w:semiHidden/>
    <w:rsid w:val="001753A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3031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87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NimbusCEZ">
    <w:name w:val="Normální + Nimbus CEZ"/>
    <w:aliases w:val="9 b.,10 b.,Před:  2 b."/>
    <w:basedOn w:val="Nadpis1"/>
    <w:link w:val="NormlnNimbusCEZ1"/>
    <w:rsid w:val="00A87060"/>
    <w:pPr>
      <w:overflowPunct w:val="0"/>
      <w:autoSpaceDE w:val="0"/>
      <w:autoSpaceDN w:val="0"/>
      <w:adjustRightInd w:val="0"/>
      <w:jc w:val="left"/>
      <w:textAlignment w:val="baseline"/>
    </w:pPr>
    <w:rPr>
      <w:rFonts w:ascii="Nimbus CEZ" w:hAnsi="Nimbus CEZ" w:cs="Times New Roman"/>
      <w:b w:val="0"/>
      <w:bCs w:val="0"/>
      <w:color w:val="auto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NormlnNimbusCEZ1">
    <w:name w:val="Normální + Nimbus CEZ1"/>
    <w:aliases w:val="10 b.1,Před:  2 b. Char"/>
    <w:link w:val="NormlnNimbusCEZ"/>
    <w:locked/>
    <w:rsid w:val="00A87060"/>
    <w:rPr>
      <w:rFonts w:ascii="Nimbus CEZ" w:hAnsi="Nimbus CEZ"/>
      <w:sz w:val="16"/>
      <w:szCs w:val="16"/>
    </w:rPr>
  </w:style>
  <w:style w:type="character" w:customStyle="1" w:styleId="hgkelc">
    <w:name w:val="hgkelc"/>
    <w:basedOn w:val="Standardnpsmoodstavce"/>
    <w:rsid w:val="00D0500C"/>
  </w:style>
  <w:style w:type="paragraph" w:styleId="Odstavecseseznamem">
    <w:name w:val="List Paragraph"/>
    <w:basedOn w:val="Normln"/>
    <w:uiPriority w:val="34"/>
    <w:qFormat/>
    <w:rsid w:val="00F92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s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6CDA-19CF-44F6-ACC6-2721E3D5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2229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a.s.</Company>
  <LinksUpToDate>false</LinksUpToDate>
  <CharactersWithSpaces>15354</CharactersWithSpaces>
  <SharedDoc>false</SharedDoc>
  <HLinks>
    <vt:vector size="6" baseType="variant"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mailto:info@ecjh.cz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cp:lastModifiedBy>Aneta Šubrová</cp:lastModifiedBy>
  <cp:revision>5</cp:revision>
  <cp:lastPrinted>2023-08-15T11:05:00Z</cp:lastPrinted>
  <dcterms:created xsi:type="dcterms:W3CDTF">2025-02-05T06:53:00Z</dcterms:created>
  <dcterms:modified xsi:type="dcterms:W3CDTF">2025-02-05T07:09:00Z</dcterms:modified>
</cp:coreProperties>
</file>