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7221300629</w:t>
      </w:r>
    </w:p>
    <w:p>
      <w:pPr>
        <w:spacing w:line="425" w:lineRule="exact" w:before="0"/>
        <w:ind w:left="383" w:right="393"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383" w:right="396"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Těmice</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4"/>
        </w:rPr>
        <w:t> </w:t>
      </w:r>
      <w:r>
        <w:rPr/>
        <w:t>Těmice,</w:t>
      </w:r>
      <w:r>
        <w:rPr>
          <w:spacing w:val="-4"/>
        </w:rPr>
        <w:t> </w:t>
      </w:r>
      <w:r>
        <w:rPr/>
        <w:t>č.p.</w:t>
      </w:r>
      <w:r>
        <w:rPr>
          <w:spacing w:val="-4"/>
        </w:rPr>
        <w:t> </w:t>
      </w:r>
      <w:r>
        <w:rPr/>
        <w:t>176,</w:t>
      </w:r>
      <w:r>
        <w:rPr>
          <w:spacing w:val="-5"/>
        </w:rPr>
        <w:t> </w:t>
      </w:r>
      <w:r>
        <w:rPr/>
        <w:t>696</w:t>
      </w:r>
      <w:r>
        <w:rPr>
          <w:spacing w:val="-3"/>
        </w:rPr>
        <w:t> </w:t>
      </w:r>
      <w:r>
        <w:rPr/>
        <w:t>84</w:t>
      </w:r>
      <w:r>
        <w:rPr>
          <w:spacing w:val="-4"/>
        </w:rPr>
        <w:t> </w:t>
      </w:r>
      <w:r>
        <w:rPr>
          <w:spacing w:val="-2"/>
        </w:rPr>
        <w:t>Těmice</w:t>
      </w:r>
    </w:p>
    <w:p>
      <w:pPr>
        <w:pStyle w:val="BodyText"/>
        <w:tabs>
          <w:tab w:pos="2982" w:val="left" w:leader="none"/>
        </w:tabs>
        <w:ind w:left="102"/>
      </w:pPr>
      <w:r>
        <w:rPr>
          <w:spacing w:val="-4"/>
        </w:rPr>
        <w:t>IČO:</w:t>
      </w:r>
      <w:r>
        <w:rPr/>
        <w:tab/>
      </w:r>
      <w:r>
        <w:rPr>
          <w:spacing w:val="-2"/>
        </w:rPr>
        <w:t>00285404</w:t>
      </w:r>
    </w:p>
    <w:p>
      <w:pPr>
        <w:pStyle w:val="BodyText"/>
        <w:tabs>
          <w:tab w:pos="2982" w:val="left" w:leader="none"/>
        </w:tabs>
        <w:spacing w:before="1"/>
        <w:ind w:left="102"/>
      </w:pPr>
      <w:r>
        <w:rPr>
          <w:spacing w:val="-2"/>
        </w:rPr>
        <w:t>zastoupená:</w:t>
      </w:r>
      <w:r>
        <w:rPr/>
        <w:tab/>
        <w:t>Karlem</w:t>
      </w:r>
      <w:r>
        <w:rPr>
          <w:spacing w:val="-2"/>
        </w:rPr>
        <w:t> </w:t>
      </w:r>
      <w:r>
        <w:rPr/>
        <w:t>K</w:t>
      </w:r>
      <w:r>
        <w:rPr>
          <w:spacing w:val="-2"/>
        </w:rPr>
        <w:t> </w:t>
      </w:r>
      <w:r>
        <w:rPr/>
        <w:t>r</w:t>
      </w:r>
      <w:r>
        <w:rPr>
          <w:spacing w:val="-3"/>
        </w:rPr>
        <w:t> </w:t>
      </w:r>
      <w:r>
        <w:rPr/>
        <w:t>á</w:t>
      </w:r>
      <w:r>
        <w:rPr>
          <w:spacing w:val="-3"/>
        </w:rPr>
        <w:t> </w:t>
      </w:r>
      <w:r>
        <w:rPr/>
        <w:t>l e</w:t>
      </w:r>
      <w:r>
        <w:rPr>
          <w:spacing w:val="-4"/>
        </w:rPr>
        <w:t> </w:t>
      </w:r>
      <w:r>
        <w:rPr/>
        <w:t>m,</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3713671/0710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right="396"/>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7221300629 o poskytnutí finančních</w:t>
      </w:r>
      <w:r>
        <w:rPr>
          <w:spacing w:val="-3"/>
        </w:rPr>
        <w:t> </w:t>
      </w:r>
      <w:r>
        <w:rPr/>
        <w:t>prostředků</w:t>
      </w:r>
      <w:r>
        <w:rPr>
          <w:spacing w:val="-3"/>
        </w:rPr>
        <w:t> </w:t>
      </w:r>
      <w:r>
        <w:rPr/>
        <w:t>ze</w:t>
      </w:r>
      <w:r>
        <w:rPr>
          <w:spacing w:val="-4"/>
        </w:rPr>
        <w:t> </w:t>
      </w:r>
      <w:r>
        <w:rPr/>
        <w:t>Státního</w:t>
      </w:r>
      <w:r>
        <w:rPr>
          <w:spacing w:val="-3"/>
        </w:rPr>
        <w:t> </w:t>
      </w:r>
      <w:r>
        <w:rPr/>
        <w:t>fondu</w:t>
      </w:r>
      <w:r>
        <w:rPr>
          <w:spacing w:val="-3"/>
        </w:rPr>
        <w:t> </w:t>
      </w:r>
      <w:r>
        <w:rPr/>
        <w:t>životního</w:t>
      </w:r>
      <w:r>
        <w:rPr>
          <w:spacing w:val="-3"/>
        </w:rPr>
        <w:t> </w:t>
      </w:r>
      <w:r>
        <w:rPr/>
        <w:t>prostředí</w:t>
      </w:r>
      <w:r>
        <w:rPr>
          <w:spacing w:val="-3"/>
        </w:rPr>
        <w:t> </w:t>
      </w:r>
      <w:r>
        <w:rPr/>
        <w:t>ČR</w:t>
      </w:r>
      <w:r>
        <w:rPr>
          <w:spacing w:val="-3"/>
        </w:rPr>
        <w:t> </w:t>
      </w:r>
      <w:r>
        <w:rPr/>
        <w:t>ze</w:t>
      </w:r>
      <w:r>
        <w:rPr>
          <w:spacing w:val="-4"/>
        </w:rPr>
        <w:t> </w:t>
      </w:r>
      <w:r>
        <w:rPr/>
        <w:t>dne 23.</w:t>
      </w:r>
      <w:r>
        <w:rPr>
          <w:spacing w:val="-3"/>
        </w:rPr>
        <w:t> </w:t>
      </w:r>
      <w:r>
        <w:rPr/>
        <w:t>11.</w:t>
      </w:r>
      <w:r>
        <w:rPr>
          <w:spacing w:val="-3"/>
        </w:rPr>
        <w:t> </w:t>
      </w:r>
      <w:r>
        <w:rPr/>
        <w:t>2023</w:t>
      </w:r>
      <w:r>
        <w:rPr>
          <w:spacing w:val="-4"/>
        </w:rPr>
        <w:t> </w:t>
      </w:r>
      <w:r>
        <w:rPr/>
        <w:t>a</w:t>
      </w:r>
      <w:r>
        <w:rPr>
          <w:spacing w:val="-4"/>
        </w:rPr>
        <w:t> </w:t>
      </w:r>
      <w:r>
        <w:rPr/>
        <w:t>jeho</w:t>
      </w:r>
      <w:r>
        <w:rPr>
          <w:spacing w:val="-2"/>
        </w:rPr>
        <w:t> </w:t>
      </w:r>
      <w:r>
        <w:rPr/>
        <w:t>změny</w:t>
      </w:r>
      <w:r>
        <w:rPr>
          <w:spacing w:val="-4"/>
        </w:rPr>
        <w:t> </w:t>
      </w:r>
      <w:r>
        <w:rPr/>
        <w:t>č.</w:t>
      </w:r>
      <w:r>
        <w:rPr>
          <w:spacing w:val="-4"/>
        </w:rPr>
        <w:t> </w:t>
      </w:r>
      <w:r>
        <w:rPr/>
        <w:t>1</w:t>
      </w:r>
      <w:r>
        <w:rPr>
          <w:spacing w:val="-3"/>
        </w:rPr>
        <w:t> </w:t>
      </w:r>
      <w:r>
        <w:rPr/>
        <w:t>ze dne</w:t>
      </w:r>
      <w:r>
        <w:rPr>
          <w:spacing w:val="54"/>
        </w:rPr>
        <w:t> </w:t>
      </w:r>
      <w:r>
        <w:rPr/>
        <w:t>28.</w:t>
      </w:r>
      <w:r>
        <w:rPr>
          <w:spacing w:val="54"/>
        </w:rPr>
        <w:t> </w:t>
      </w:r>
      <w:r>
        <w:rPr/>
        <w:t>11.</w:t>
      </w:r>
      <w:r>
        <w:rPr>
          <w:spacing w:val="54"/>
        </w:rPr>
        <w:t> </w:t>
      </w:r>
      <w:r>
        <w:rPr/>
        <w:t>2024</w:t>
      </w:r>
      <w:r>
        <w:rPr>
          <w:spacing w:val="57"/>
        </w:rPr>
        <w:t> </w:t>
      </w:r>
      <w:r>
        <w:rPr/>
        <w:t>v</w:t>
      </w:r>
      <w:r>
        <w:rPr>
          <w:spacing w:val="-2"/>
        </w:rPr>
        <w:t> </w:t>
      </w:r>
      <w:r>
        <w:rPr/>
        <w:t>rámci</w:t>
      </w:r>
      <w:r>
        <w:rPr>
          <w:spacing w:val="52"/>
        </w:rPr>
        <w:t> </w:t>
      </w:r>
      <w:r>
        <w:rPr/>
        <w:t>Programu</w:t>
      </w:r>
      <w:r>
        <w:rPr>
          <w:spacing w:val="55"/>
        </w:rPr>
        <w:t> </w:t>
      </w:r>
      <w:r>
        <w:rPr/>
        <w:t>financovaného</w:t>
      </w:r>
      <w:r>
        <w:rPr>
          <w:spacing w:val="57"/>
        </w:rPr>
        <w:t> </w:t>
      </w:r>
      <w:r>
        <w:rPr/>
        <w:t>z</w:t>
      </w:r>
      <w:r>
        <w:rPr>
          <w:spacing w:val="1"/>
        </w:rPr>
        <w:t> </w:t>
      </w:r>
      <w:r>
        <w:rPr/>
        <w:t>prostředků</w:t>
      </w:r>
      <w:r>
        <w:rPr>
          <w:spacing w:val="54"/>
        </w:rPr>
        <w:t> </w:t>
      </w:r>
      <w:r>
        <w:rPr/>
        <w:t>Modernizačního</w:t>
      </w:r>
      <w:r>
        <w:rPr>
          <w:spacing w:val="55"/>
        </w:rPr>
        <w:t> </w:t>
      </w:r>
      <w:r>
        <w:rPr/>
        <w:t>fondu</w:t>
      </w:r>
      <w:r>
        <w:rPr>
          <w:spacing w:val="56"/>
        </w:rPr>
        <w:t> </w:t>
      </w:r>
      <w:r>
        <w:rPr/>
        <w:t>(dále</w:t>
      </w:r>
      <w:r>
        <w:rPr>
          <w:spacing w:val="53"/>
        </w:rPr>
        <w:t> </w:t>
      </w:r>
      <w:r>
        <w:rPr>
          <w:spacing w:val="-5"/>
        </w:rPr>
        <w:t>jen</w:t>
      </w:r>
    </w:p>
    <w:p>
      <w:pPr>
        <w:pStyle w:val="BodyText"/>
        <w:spacing w:before="1"/>
        <w:ind w:left="385"/>
      </w:pPr>
      <w:r>
        <w:rPr>
          <w:spacing w:val="-2"/>
        </w:rPr>
        <w:t>„Rozhodnutí“).</w:t>
      </w:r>
    </w:p>
    <w:p>
      <w:pPr>
        <w:pStyle w:val="ListParagraph"/>
        <w:numPr>
          <w:ilvl w:val="0"/>
          <w:numId w:val="1"/>
        </w:numPr>
        <w:tabs>
          <w:tab w:pos="386" w:val="left" w:leader="none"/>
        </w:tabs>
        <w:spacing w:line="240" w:lineRule="auto" w:before="118"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2"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394"/>
      </w:pPr>
      <w:r>
        <w:rPr/>
        <w:t>„FVE</w:t>
      </w:r>
      <w:r>
        <w:rPr>
          <w:spacing w:val="-6"/>
        </w:rPr>
        <w:t> </w:t>
      </w:r>
      <w:r>
        <w:rPr/>
        <w:t>pro</w:t>
      </w:r>
      <w:r>
        <w:rPr>
          <w:spacing w:val="-6"/>
        </w:rPr>
        <w:t> </w:t>
      </w:r>
      <w:r>
        <w:rPr/>
        <w:t>obec</w:t>
      </w:r>
      <w:r>
        <w:rPr>
          <w:spacing w:val="-5"/>
        </w:rPr>
        <w:t> </w:t>
      </w:r>
      <w:r>
        <w:rPr>
          <w:spacing w:val="-2"/>
        </w:rPr>
        <w:t>Těmice“</w:t>
      </w:r>
    </w:p>
    <w:p>
      <w:pPr>
        <w:pStyle w:val="BodyText"/>
        <w:spacing w:before="120"/>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39"/>
      </w:pPr>
      <w:r>
        <w:rPr>
          <w:spacing w:val="-5"/>
        </w:rPr>
        <w:t>II.</w:t>
      </w:r>
    </w:p>
    <w:p>
      <w:pPr>
        <w:pStyle w:val="Heading2"/>
        <w:ind w:right="3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1"/>
          <w:sz w:val="20"/>
        </w:rPr>
        <w:t> </w:t>
      </w:r>
      <w:r>
        <w:rPr>
          <w:b/>
          <w:sz w:val="20"/>
        </w:rPr>
        <w:t>477 588,17 Kč </w:t>
      </w:r>
      <w:r>
        <w:rPr>
          <w:sz w:val="20"/>
        </w:rPr>
        <w:t>(slovy: jeden milion čtyři sta sedmdesát sedm tisíc pět set osmdesát osm korun českých a sedmnáct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2 296 918,20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before="185"/>
        <w:ind w:right="396"/>
      </w:pPr>
      <w:r>
        <w:rPr>
          <w:spacing w:val="-4"/>
        </w:rPr>
        <w:t>III.</w:t>
      </w:r>
    </w:p>
    <w:p>
      <w:pPr>
        <w:pStyle w:val="Heading2"/>
        <w:ind w:right="396"/>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79"/>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 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107" w:hanging="358"/>
        <w:jc w:val="left"/>
        <w:rPr>
          <w:sz w:val="20"/>
        </w:rPr>
      </w:pPr>
      <w:r>
        <w:rPr>
          <w:sz w:val="20"/>
        </w:rPr>
        <w:t>splní účel akce „FVE pro obec Těmice“ tím, že akce bude provedena v souladu s Výzvou, žádostí o podporu a jejími přílohami a touto Smlouvou,</w:t>
      </w:r>
    </w:p>
    <w:p>
      <w:pPr>
        <w:pStyle w:val="ListParagraph"/>
        <w:numPr>
          <w:ilvl w:val="1"/>
          <w:numId w:val="4"/>
        </w:numPr>
        <w:tabs>
          <w:tab w:pos="743" w:val="left" w:leader="none"/>
        </w:tabs>
        <w:spacing w:line="240" w:lineRule="auto" w:before="121" w:after="0"/>
        <w:ind w:left="742" w:right="115" w:hanging="358"/>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w:t>
      </w:r>
      <w:r>
        <w:rPr>
          <w:spacing w:val="80"/>
          <w:sz w:val="20"/>
        </w:rPr>
        <w:t> </w:t>
      </w:r>
      <w:r>
        <w:rPr>
          <w:sz w:val="20"/>
        </w:rPr>
        <w:t>výstavbě</w:t>
      </w:r>
      <w:r>
        <w:rPr>
          <w:spacing w:val="80"/>
          <w:sz w:val="20"/>
        </w:rPr>
        <w:t> </w:t>
      </w:r>
      <w:r>
        <w:rPr>
          <w:sz w:val="20"/>
        </w:rPr>
        <w:t>nových</w:t>
      </w:r>
      <w:r>
        <w:rPr>
          <w:spacing w:val="80"/>
          <w:sz w:val="20"/>
        </w:rPr>
        <w:t> </w:t>
      </w:r>
      <w:r>
        <w:rPr>
          <w:sz w:val="20"/>
        </w:rPr>
        <w:t>fotovoltaických</w:t>
      </w:r>
      <w:r>
        <w:rPr>
          <w:spacing w:val="80"/>
          <w:sz w:val="20"/>
        </w:rPr>
        <w:t> </w:t>
      </w:r>
      <w:r>
        <w:rPr>
          <w:sz w:val="20"/>
        </w:rPr>
        <w:t>elektráren</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 předpokládaným výkonem 40,48 kWp a instalací akumulace o kapacitě 45 kWh,</w:t>
      </w:r>
    </w:p>
    <w:p>
      <w:pPr>
        <w:pStyle w:val="ListParagraph"/>
        <w:numPr>
          <w:ilvl w:val="1"/>
          <w:numId w:val="4"/>
        </w:numPr>
        <w:tabs>
          <w:tab w:pos="745" w:val="left" w:leader="none"/>
          <w:tab w:pos="746" w:val="left" w:leader="none"/>
        </w:tabs>
        <w:spacing w:line="240" w:lineRule="auto" w:before="121" w:after="0"/>
        <w:ind w:left="745" w:right="114" w:hanging="360"/>
        <w:jc w:val="left"/>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6"/>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2"/>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6"/>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0"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2"/>
              <w:ind w:left="391"/>
              <w:rPr>
                <w:sz w:val="20"/>
              </w:rPr>
            </w:pPr>
            <w:r>
              <w:rPr>
                <w:spacing w:val="-5"/>
                <w:sz w:val="20"/>
              </w:rPr>
              <w:t>kWh</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5"/>
                <w:sz w:val="20"/>
              </w:rPr>
              <w:t>45</w:t>
            </w:r>
          </w:p>
        </w:tc>
      </w:tr>
      <w:tr>
        <w:trPr>
          <w:trHeight w:val="505"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40.48</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27.69</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83.71</w:t>
            </w:r>
          </w:p>
        </w:tc>
      </w:tr>
      <w:tr>
        <w:trPr>
          <w:trHeight w:val="506"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3"/>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34.51</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7" w:hanging="360"/>
        <w:jc w:val="both"/>
        <w:rPr>
          <w:sz w:val="20"/>
        </w:rPr>
      </w:pPr>
      <w:r>
        <w:rPr>
          <w:sz w:val="20"/>
        </w:rPr>
        <w:t>předloží</w:t>
      </w:r>
      <w:r>
        <w:rPr>
          <w:spacing w:val="-4"/>
          <w:sz w:val="20"/>
        </w:rPr>
        <w:t> </w:t>
      </w:r>
      <w:r>
        <w:rPr>
          <w:sz w:val="20"/>
        </w:rPr>
        <w:t>Fondu</w:t>
      </w:r>
      <w:r>
        <w:rPr>
          <w:spacing w:val="-4"/>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4"/>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4"/>
          <w:sz w:val="20"/>
        </w:rPr>
        <w:t> </w:t>
      </w:r>
      <w:r>
        <w:rPr>
          <w:sz w:val="20"/>
        </w:rPr>
        <w:t>a</w:t>
      </w:r>
      <w:r>
        <w:rPr>
          <w:spacing w:val="-4"/>
          <w:sz w:val="20"/>
        </w:rPr>
        <w:t> </w:t>
      </w:r>
      <w:r>
        <w:rPr>
          <w:sz w:val="20"/>
        </w:rPr>
        <w:t>to</w:t>
      </w:r>
      <w:r>
        <w:rPr>
          <w:spacing w:val="-4"/>
          <w:sz w:val="20"/>
        </w:rPr>
        <w:t> </w:t>
      </w:r>
      <w:r>
        <w:rPr>
          <w:sz w:val="20"/>
        </w:rPr>
        <w:t>nejpozději</w:t>
      </w:r>
      <w:r>
        <w:rPr>
          <w:spacing w:val="-4"/>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4"/>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0" w:hanging="361"/>
        <w:jc w:val="both"/>
        <w:rPr>
          <w:sz w:val="20"/>
        </w:rPr>
      </w:pPr>
      <w:r>
        <w:rPr>
          <w:sz w:val="20"/>
        </w:rPr>
        <w:t>příjemce</w:t>
      </w:r>
      <w:r>
        <w:rPr>
          <w:spacing w:val="26"/>
          <w:sz w:val="20"/>
        </w:rPr>
        <w:t> </w:t>
      </w:r>
      <w:r>
        <w:rPr>
          <w:sz w:val="20"/>
        </w:rPr>
        <w:t>podpory</w:t>
      </w:r>
      <w:r>
        <w:rPr>
          <w:spacing w:val="26"/>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8"/>
          <w:sz w:val="20"/>
        </w:rPr>
        <w:t> </w:t>
      </w:r>
      <w:r>
        <w:rPr>
          <w:sz w:val="20"/>
        </w:rPr>
        <w:t>vlastnictví</w:t>
      </w:r>
      <w:r>
        <w:rPr>
          <w:spacing w:val="28"/>
          <w:sz w:val="20"/>
        </w:rPr>
        <w:t> </w:t>
      </w:r>
      <w:r>
        <w:rPr>
          <w:sz w:val="20"/>
        </w:rPr>
        <w:t>alespoň</w:t>
      </w:r>
      <w:r>
        <w:rPr>
          <w:spacing w:val="27"/>
          <w:sz w:val="20"/>
        </w:rPr>
        <w:t> </w:t>
      </w:r>
      <w:r>
        <w:rPr>
          <w:sz w:val="20"/>
        </w:rPr>
        <w:t>po</w:t>
      </w:r>
      <w:r>
        <w:rPr>
          <w:spacing w:val="28"/>
          <w:sz w:val="20"/>
        </w:rPr>
        <w:t> </w:t>
      </w:r>
      <w:r>
        <w:rPr>
          <w:sz w:val="20"/>
        </w:rPr>
        <w:t>dobu</w:t>
      </w:r>
      <w:r>
        <w:rPr>
          <w:spacing w:val="35"/>
          <w:sz w:val="20"/>
        </w:rPr>
        <w:t> </w:t>
      </w:r>
      <w:r>
        <w:rPr>
          <w:spacing w:val="-2"/>
          <w:sz w:val="20"/>
        </w:rPr>
        <w:t>udržitelnosti</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0" w:hanging="284"/>
        <w:jc w:val="both"/>
        <w:rPr>
          <w:sz w:val="20"/>
        </w:rPr>
      </w:pPr>
      <w:r>
        <w:rPr>
          <w:sz w:val="20"/>
        </w:rPr>
        <w:t>vrátit</w:t>
      </w:r>
      <w:r>
        <w:rPr>
          <w:spacing w:val="-3"/>
          <w:sz w:val="20"/>
        </w:rPr>
        <w:t> </w:t>
      </w:r>
      <w:r>
        <w:rPr>
          <w:sz w:val="20"/>
        </w:rPr>
        <w:t>poskytnuté</w:t>
      </w:r>
      <w:r>
        <w:rPr>
          <w:spacing w:val="-3"/>
          <w:sz w:val="20"/>
        </w:rPr>
        <w:t> </w:t>
      </w:r>
      <w:r>
        <w:rPr>
          <w:sz w:val="20"/>
        </w:rPr>
        <w:t>finanční</w:t>
      </w:r>
      <w:r>
        <w:rPr>
          <w:spacing w:val="-3"/>
          <w:sz w:val="20"/>
        </w:rPr>
        <w:t> </w:t>
      </w:r>
      <w:r>
        <w:rPr>
          <w:sz w:val="20"/>
        </w:rPr>
        <w:t>prostředky,</w:t>
      </w:r>
      <w:r>
        <w:rPr>
          <w:spacing w:val="-2"/>
          <w:sz w:val="20"/>
        </w:rPr>
        <w:t> </w:t>
      </w:r>
      <w:r>
        <w:rPr>
          <w:sz w:val="20"/>
        </w:rPr>
        <w:t>popřípadě</w:t>
      </w:r>
      <w:r>
        <w:rPr>
          <w:spacing w:val="-3"/>
          <w:sz w:val="20"/>
        </w:rPr>
        <w:t> </w:t>
      </w:r>
      <w:r>
        <w:rPr>
          <w:sz w:val="20"/>
        </w:rPr>
        <w:t>jejich</w:t>
      </w:r>
      <w:r>
        <w:rPr>
          <w:spacing w:val="-2"/>
          <w:sz w:val="20"/>
        </w:rPr>
        <w:t> </w:t>
      </w:r>
      <w:r>
        <w:rPr>
          <w:sz w:val="20"/>
        </w:rPr>
        <w:t>část,</w:t>
      </w:r>
      <w:r>
        <w:rPr>
          <w:spacing w:val="-2"/>
          <w:sz w:val="20"/>
        </w:rPr>
        <w:t> </w:t>
      </w:r>
      <w:r>
        <w:rPr>
          <w:sz w:val="20"/>
        </w:rPr>
        <w:t>do</w:t>
      </w:r>
      <w:r>
        <w:rPr>
          <w:spacing w:val="-1"/>
          <w:sz w:val="20"/>
        </w:rPr>
        <w:t> </w:t>
      </w:r>
      <w:r>
        <w:rPr>
          <w:sz w:val="20"/>
        </w:rPr>
        <w:t>30</w:t>
      </w:r>
      <w:r>
        <w:rPr>
          <w:spacing w:val="-1"/>
          <w:sz w:val="20"/>
        </w:rPr>
        <w:t> </w:t>
      </w:r>
      <w:r>
        <w:rPr>
          <w:sz w:val="20"/>
        </w:rPr>
        <w:t>kalendářních</w:t>
      </w:r>
      <w:r>
        <w:rPr>
          <w:spacing w:val="-2"/>
          <w:sz w:val="20"/>
        </w:rPr>
        <w:t> </w:t>
      </w:r>
      <w:r>
        <w:rPr>
          <w:sz w:val="20"/>
        </w:rPr>
        <w:t>dnů</w:t>
      </w:r>
      <w:r>
        <w:rPr>
          <w:spacing w:val="-1"/>
          <w:sz w:val="20"/>
        </w:rPr>
        <w:t> </w:t>
      </w:r>
      <w:r>
        <w:rPr>
          <w:sz w:val="20"/>
        </w:rPr>
        <w:t>poté,</w:t>
      </w:r>
      <w:r>
        <w:rPr>
          <w:spacing w:val="-2"/>
          <w:sz w:val="20"/>
        </w:rPr>
        <w:t> </w:t>
      </w:r>
      <w:r>
        <w:rPr>
          <w:sz w:val="20"/>
        </w:rPr>
        <w:t>co</w:t>
      </w:r>
      <w:r>
        <w:rPr>
          <w:spacing w:val="-1"/>
          <w:sz w:val="20"/>
        </w:rPr>
        <w:t> </w:t>
      </w:r>
      <w:r>
        <w:rPr>
          <w:spacing w:val="-2"/>
          <w:sz w:val="20"/>
        </w:rPr>
        <w:t>odpadl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20"/>
        <w:jc w:val="both"/>
      </w:pPr>
      <w:r>
        <w:rPr/>
        <w:t>účel</w:t>
      </w:r>
      <w:r>
        <w:rPr>
          <w:spacing w:val="-2"/>
        </w:rPr>
        <w:t> </w:t>
      </w:r>
      <w:r>
        <w:rPr/>
        <w:t>akce,</w:t>
      </w:r>
      <w:r>
        <w:rPr>
          <w:spacing w:val="-2"/>
        </w:rPr>
        <w:t> </w:t>
      </w:r>
      <w:r>
        <w:rPr/>
        <w:t>pro</w:t>
      </w:r>
      <w:r>
        <w:rPr>
          <w:spacing w:val="-1"/>
        </w:rPr>
        <w:t> </w:t>
      </w:r>
      <w:r>
        <w:rPr/>
        <w:t>který</w:t>
      </w:r>
      <w:r>
        <w:rPr>
          <w:spacing w:val="-2"/>
        </w:rPr>
        <w:t> </w:t>
      </w:r>
      <w:r>
        <w:rPr/>
        <w:t>je</w:t>
      </w:r>
      <w:r>
        <w:rPr>
          <w:spacing w:val="-3"/>
        </w:rPr>
        <w:t> </w:t>
      </w:r>
      <w:r>
        <w:rPr/>
        <w:t>podpora</w:t>
      </w:r>
      <w:r>
        <w:rPr>
          <w:spacing w:val="-2"/>
        </w:rPr>
        <w:t> </w:t>
      </w:r>
      <w:r>
        <w:rPr/>
        <w:t>poskytována;</w:t>
      </w:r>
      <w:r>
        <w:rPr>
          <w:spacing w:val="-2"/>
        </w:rPr>
        <w:t> </w:t>
      </w:r>
      <w:r>
        <w:rPr/>
        <w:t>stejně</w:t>
      </w:r>
      <w:r>
        <w:rPr>
          <w:spacing w:val="-3"/>
        </w:rPr>
        <w:t> </w:t>
      </w:r>
      <w:r>
        <w:rPr/>
        <w:t>je</w:t>
      </w:r>
      <w:r>
        <w:rPr>
          <w:spacing w:val="-3"/>
        </w:rPr>
        <w:t> </w:t>
      </w:r>
      <w:r>
        <w:rPr/>
        <w:t>povinen</w:t>
      </w:r>
      <w:r>
        <w:rPr>
          <w:spacing w:val="-2"/>
        </w:rPr>
        <w:t> </w:t>
      </w:r>
      <w:r>
        <w:rPr/>
        <w:t>postupovat</w:t>
      </w:r>
      <w:r>
        <w:rPr>
          <w:spacing w:val="-2"/>
        </w:rPr>
        <w:t> </w:t>
      </w:r>
      <w:r>
        <w:rPr/>
        <w:t>i</w:t>
      </w:r>
      <w:r>
        <w:rPr>
          <w:spacing w:val="-2"/>
        </w:rPr>
        <w:t> </w:t>
      </w:r>
      <w:r>
        <w:rPr/>
        <w:t>v</w:t>
      </w:r>
      <w:r>
        <w:rPr>
          <w:spacing w:val="-1"/>
        </w:rPr>
        <w:t> </w:t>
      </w:r>
      <w:r>
        <w:rPr/>
        <w:t>případě,</w:t>
      </w:r>
      <w:r>
        <w:rPr>
          <w:spacing w:val="-2"/>
        </w:rPr>
        <w:t> </w:t>
      </w:r>
      <w:r>
        <w:rPr/>
        <w:t>že</w:t>
      </w:r>
      <w:r>
        <w:rPr>
          <w:spacing w:val="-3"/>
        </w:rPr>
        <w:t> </w:t>
      </w:r>
      <w:r>
        <w:rPr/>
        <w:t>oprávněná potřeba použít poskytnuté peněžní prostředky odpadne pouze na přechodnou dobu,</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pPr>
    </w:p>
    <w:p>
      <w:pPr>
        <w:pStyle w:val="Heading1"/>
      </w:pPr>
      <w:r>
        <w:rPr>
          <w:spacing w:val="-5"/>
        </w:rPr>
        <w:t>VI.</w:t>
      </w:r>
    </w:p>
    <w:p>
      <w:pPr>
        <w:pStyle w:val="Heading2"/>
        <w:spacing w:before="1"/>
        <w:ind w:right="394"/>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18"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37" w:lineRule="auto" w:before="123"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5"/>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6"/>
        </w:rPr>
        <w:t> </w:t>
      </w:r>
      <w:r>
        <w:rPr/>
        <w:t>nejzávažnější</w:t>
      </w:r>
      <w:r>
        <w:rPr>
          <w:spacing w:val="-4"/>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3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6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83" w:right="3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3"/>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2025-02-04T10:13:30Z</dcterms:created>
  <dcterms:modified xsi:type="dcterms:W3CDTF">2025-02-04T10:13:30Z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pro Microsoft 365</vt:lpwstr>
  </property>
  <property fmtid="{D5CDD505-2E9C-101B-9397-08002B2CF9AE}" pid="4" name="LastSaved">
    <vt:filetime>2025-02-04T00:00:00Z</vt:filetime>
  </property>
</Properties>
</file>