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3DDC" w14:textId="77777777" w:rsidR="00200E11" w:rsidRPr="00925F12" w:rsidRDefault="001C09BE" w:rsidP="00200E11">
      <w:pPr>
        <w:spacing w:before="0"/>
        <w:jc w:val="center"/>
        <w:outlineLvl w:val="0"/>
        <w:rPr>
          <w:b/>
          <w:noProof/>
          <w:sz w:val="40"/>
          <w:lang w:val="cs-CZ"/>
        </w:rPr>
      </w:pPr>
      <w:r w:rsidRPr="00925F12">
        <w:rPr>
          <w:b/>
          <w:noProof/>
          <w:sz w:val="40"/>
          <w:lang w:val="cs-CZ"/>
        </w:rPr>
        <w:t>Smlouva o poskytování služeb</w:t>
      </w:r>
    </w:p>
    <w:p w14:paraId="62CE05B3" w14:textId="77777777" w:rsidR="00F5456C" w:rsidRPr="00925F12" w:rsidRDefault="00D56254" w:rsidP="004860A9">
      <w:pPr>
        <w:pStyle w:val="Zkladntext2"/>
        <w:spacing w:after="0" w:line="240" w:lineRule="auto"/>
        <w:jc w:val="center"/>
        <w:rPr>
          <w:lang w:val="cs-CZ"/>
        </w:rPr>
      </w:pPr>
      <w:r w:rsidRPr="00925F12">
        <w:rPr>
          <w:lang w:val="cs-CZ"/>
        </w:rPr>
        <w:t xml:space="preserve">Číslo smlouvy Poskytovatele: </w:t>
      </w:r>
      <w:r w:rsidR="00FD3035" w:rsidRPr="00925F12">
        <w:rPr>
          <w:lang w:val="cs-CZ"/>
        </w:rPr>
        <w:t>SoPS</w:t>
      </w:r>
      <w:r w:rsidR="00FD3035">
        <w:rPr>
          <w:lang w:val="cs-CZ"/>
        </w:rPr>
        <w:t>082024</w:t>
      </w:r>
    </w:p>
    <w:p w14:paraId="14BD89A2" w14:textId="77777777" w:rsidR="00F5456C" w:rsidRPr="00925F12" w:rsidRDefault="00F5456C" w:rsidP="00F5456C">
      <w:pPr>
        <w:spacing w:before="0"/>
        <w:jc w:val="center"/>
        <w:rPr>
          <w:noProof/>
          <w:lang w:val="cs-CZ"/>
        </w:rPr>
      </w:pPr>
    </w:p>
    <w:p w14:paraId="4655CB04" w14:textId="77777777" w:rsidR="00200E11" w:rsidRPr="00925F12" w:rsidRDefault="00200E11" w:rsidP="001616F2">
      <w:pPr>
        <w:spacing w:before="0"/>
        <w:jc w:val="center"/>
        <w:rPr>
          <w:noProof/>
          <w:lang w:val="cs-CZ"/>
        </w:rPr>
      </w:pPr>
      <w:r w:rsidRPr="00925F12">
        <w:rPr>
          <w:noProof/>
          <w:lang w:val="cs-CZ"/>
        </w:rPr>
        <w:t>Smluvní strany</w:t>
      </w:r>
    </w:p>
    <w:p w14:paraId="645A3703" w14:textId="77777777" w:rsidR="00F5456C" w:rsidRPr="00925F12" w:rsidRDefault="00F5456C" w:rsidP="001616F2">
      <w:pPr>
        <w:spacing w:before="0"/>
        <w:jc w:val="center"/>
        <w:rPr>
          <w:noProof/>
          <w:lang w:val="cs-CZ"/>
        </w:rPr>
      </w:pPr>
    </w:p>
    <w:p w14:paraId="73FD50C4" w14:textId="77777777" w:rsidR="00B5051C" w:rsidRPr="00925F12" w:rsidRDefault="00B5051C" w:rsidP="00B5051C">
      <w:pPr>
        <w:pStyle w:val="Normlnodsazen"/>
        <w:spacing w:before="0"/>
        <w:ind w:firstLine="0"/>
        <w:rPr>
          <w:noProof/>
          <w:szCs w:val="24"/>
          <w:lang w:val="cs-CZ"/>
        </w:rPr>
      </w:pPr>
      <w:r w:rsidRPr="00925F12">
        <w:rPr>
          <w:b/>
          <w:noProof/>
          <w:szCs w:val="24"/>
          <w:lang w:val="cs-CZ"/>
        </w:rPr>
        <w:t>Perfect System, s.r.o.</w:t>
      </w:r>
    </w:p>
    <w:p w14:paraId="581077DF" w14:textId="77777777" w:rsidR="00B5051C" w:rsidRPr="00925F12" w:rsidRDefault="00B5051C" w:rsidP="00310DBF">
      <w:pPr>
        <w:spacing w:before="0"/>
        <w:jc w:val="both"/>
        <w:rPr>
          <w:noProof/>
          <w:szCs w:val="24"/>
          <w:lang w:val="cs-CZ"/>
        </w:rPr>
      </w:pPr>
      <w:r w:rsidRPr="00925F12">
        <w:rPr>
          <w:noProof/>
          <w:szCs w:val="24"/>
          <w:lang w:val="cs-CZ"/>
        </w:rPr>
        <w:t>se sídlem</w:t>
      </w:r>
      <w:r w:rsidRPr="00925F12">
        <w:rPr>
          <w:noProof/>
          <w:lang w:val="cs-CZ"/>
        </w:rPr>
        <w:t xml:space="preserve"> </w:t>
      </w:r>
      <w:r w:rsidR="007B492F" w:rsidRPr="00925F12">
        <w:rPr>
          <w:noProof/>
          <w:lang w:val="cs-CZ"/>
        </w:rPr>
        <w:t>Radlická 3301/68</w:t>
      </w:r>
      <w:r w:rsidRPr="00925F12">
        <w:rPr>
          <w:noProof/>
          <w:lang w:val="cs-CZ"/>
        </w:rPr>
        <w:t>, 150 00</w:t>
      </w:r>
      <w:r w:rsidR="00A46D37" w:rsidRPr="00925F12">
        <w:rPr>
          <w:noProof/>
          <w:lang w:val="cs-CZ"/>
        </w:rPr>
        <w:t xml:space="preserve"> Praha 5</w:t>
      </w:r>
    </w:p>
    <w:p w14:paraId="0AD38BD8" w14:textId="77777777" w:rsidR="00B5051C" w:rsidRPr="00925F12" w:rsidRDefault="00B5051C" w:rsidP="00B5051C">
      <w:pPr>
        <w:spacing w:before="0"/>
        <w:jc w:val="both"/>
        <w:rPr>
          <w:noProof/>
          <w:szCs w:val="24"/>
          <w:lang w:val="cs-CZ"/>
        </w:rPr>
      </w:pPr>
      <w:r w:rsidRPr="00925F12">
        <w:rPr>
          <w:noProof/>
          <w:szCs w:val="24"/>
          <w:lang w:val="cs-CZ"/>
        </w:rPr>
        <w:t xml:space="preserve">IČ: </w:t>
      </w:r>
      <w:r w:rsidRPr="00925F12">
        <w:rPr>
          <w:noProof/>
          <w:lang w:val="cs-CZ"/>
        </w:rPr>
        <w:t>26480981</w:t>
      </w:r>
    </w:p>
    <w:p w14:paraId="70A88B2C" w14:textId="77777777" w:rsidR="00B5051C" w:rsidRPr="00925F12" w:rsidRDefault="00192B57" w:rsidP="00B5051C">
      <w:pPr>
        <w:spacing w:before="0"/>
        <w:jc w:val="both"/>
        <w:rPr>
          <w:noProof/>
          <w:szCs w:val="24"/>
          <w:lang w:val="cs-CZ"/>
        </w:rPr>
      </w:pPr>
      <w:r w:rsidRPr="00925F12">
        <w:rPr>
          <w:noProof/>
          <w:lang w:val="cs-CZ"/>
        </w:rPr>
        <w:t>DIČ: CZ</w:t>
      </w:r>
      <w:r w:rsidR="00B5051C" w:rsidRPr="00925F12">
        <w:rPr>
          <w:noProof/>
          <w:lang w:val="cs-CZ"/>
        </w:rPr>
        <w:t>26480981</w:t>
      </w:r>
    </w:p>
    <w:p w14:paraId="0CF00F8C" w14:textId="77777777" w:rsidR="00B5051C" w:rsidRPr="00925F12" w:rsidRDefault="00B5051C" w:rsidP="00B5051C">
      <w:pPr>
        <w:spacing w:before="0"/>
        <w:jc w:val="both"/>
        <w:rPr>
          <w:noProof/>
          <w:szCs w:val="24"/>
          <w:lang w:val="cs-CZ"/>
        </w:rPr>
      </w:pPr>
      <w:r w:rsidRPr="00925F12">
        <w:rPr>
          <w:noProof/>
          <w:szCs w:val="24"/>
          <w:lang w:val="cs-CZ"/>
        </w:rPr>
        <w:t>zapsaná v obchodním rejstříku vedeném Městským soudem v Praze, oddíl C, vložka 84989</w:t>
      </w:r>
    </w:p>
    <w:p w14:paraId="70912B5F" w14:textId="71B38A9B" w:rsidR="00B5051C" w:rsidRDefault="00A46D37" w:rsidP="00B5051C">
      <w:pPr>
        <w:spacing w:before="0"/>
        <w:jc w:val="both"/>
        <w:rPr>
          <w:noProof/>
          <w:szCs w:val="24"/>
          <w:lang w:val="cs-CZ"/>
        </w:rPr>
      </w:pPr>
      <w:r w:rsidRPr="00925F12">
        <w:rPr>
          <w:noProof/>
          <w:szCs w:val="24"/>
          <w:lang w:val="cs-CZ"/>
        </w:rPr>
        <w:t>zastoupená</w:t>
      </w:r>
      <w:r w:rsidR="00B5051C" w:rsidRPr="00925F12">
        <w:rPr>
          <w:noProof/>
          <w:szCs w:val="24"/>
          <w:lang w:val="cs-CZ"/>
        </w:rPr>
        <w:t xml:space="preserve">: </w:t>
      </w:r>
      <w:r w:rsidR="00B95A61">
        <w:rPr>
          <w:noProof/>
          <w:szCs w:val="24"/>
          <w:lang w:val="cs-CZ"/>
        </w:rPr>
        <w:t>xxxxx</w:t>
      </w:r>
      <w:r w:rsidR="00B5051C" w:rsidRPr="00925F12">
        <w:rPr>
          <w:noProof/>
          <w:szCs w:val="24"/>
          <w:lang w:val="cs-CZ"/>
        </w:rPr>
        <w:t>, jednatelem</w:t>
      </w:r>
    </w:p>
    <w:p w14:paraId="0C39E096" w14:textId="1F34971F" w:rsidR="00FD3035" w:rsidRPr="002812FE" w:rsidRDefault="00FD3035" w:rsidP="00B5051C">
      <w:pPr>
        <w:spacing w:before="0"/>
        <w:jc w:val="both"/>
        <w:rPr>
          <w:noProof/>
          <w:szCs w:val="24"/>
          <w:lang w:val="cs-CZ"/>
        </w:rPr>
      </w:pPr>
      <w:r w:rsidRPr="002812FE">
        <w:rPr>
          <w:noProof/>
          <w:szCs w:val="24"/>
          <w:lang w:val="cs-CZ"/>
        </w:rPr>
        <w:t xml:space="preserve">odpovědná osoba ve věcech smluvních: </w:t>
      </w:r>
      <w:r w:rsidR="00B95A61">
        <w:rPr>
          <w:noProof/>
          <w:szCs w:val="24"/>
          <w:lang w:val="cs-CZ"/>
        </w:rPr>
        <w:t>xxxxx</w:t>
      </w:r>
    </w:p>
    <w:p w14:paraId="2369A4C0" w14:textId="77777777" w:rsidR="00FD3035" w:rsidRPr="00925F12" w:rsidRDefault="00FD3035" w:rsidP="00B5051C">
      <w:pPr>
        <w:spacing w:before="0"/>
        <w:jc w:val="both"/>
        <w:rPr>
          <w:noProof/>
          <w:szCs w:val="24"/>
          <w:lang w:val="cs-CZ"/>
        </w:rPr>
      </w:pPr>
      <w:r w:rsidRPr="002812FE">
        <w:rPr>
          <w:noProof/>
          <w:szCs w:val="24"/>
          <w:lang w:val="cs-CZ"/>
        </w:rPr>
        <w:t xml:space="preserve">Bankovní spojení: Česká spořitelna, a.s., číslo účtu </w:t>
      </w:r>
      <w:r w:rsidR="00FF6916" w:rsidRPr="002812FE">
        <w:rPr>
          <w:noProof/>
          <w:szCs w:val="24"/>
          <w:lang w:val="cs-CZ"/>
        </w:rPr>
        <w:t>7023272/0800</w:t>
      </w:r>
    </w:p>
    <w:p w14:paraId="26E20D74" w14:textId="77777777" w:rsidR="00200E11" w:rsidRPr="00925F12" w:rsidRDefault="00D134BF" w:rsidP="00200E11">
      <w:pPr>
        <w:spacing w:before="0"/>
        <w:jc w:val="both"/>
        <w:rPr>
          <w:noProof/>
          <w:szCs w:val="24"/>
          <w:lang w:val="cs-CZ"/>
        </w:rPr>
      </w:pPr>
      <w:r w:rsidRPr="00925F12">
        <w:rPr>
          <w:noProof/>
          <w:szCs w:val="24"/>
          <w:lang w:val="cs-CZ"/>
        </w:rPr>
        <w:tab/>
      </w:r>
      <w:r w:rsidR="00200E11" w:rsidRPr="00925F12">
        <w:rPr>
          <w:noProof/>
          <w:szCs w:val="24"/>
          <w:lang w:val="cs-CZ"/>
        </w:rPr>
        <w:t>(dále jen „</w:t>
      </w:r>
      <w:r w:rsidR="00200E11" w:rsidRPr="00925F12">
        <w:rPr>
          <w:b/>
          <w:noProof/>
          <w:szCs w:val="24"/>
          <w:lang w:val="cs-CZ"/>
        </w:rPr>
        <w:t>Poskytovatel“ )</w:t>
      </w:r>
    </w:p>
    <w:p w14:paraId="492ADB5B" w14:textId="77777777" w:rsidR="00200E11" w:rsidRPr="00925F12" w:rsidRDefault="00200E11" w:rsidP="00200E11">
      <w:pPr>
        <w:pStyle w:val="Normlnodsazen"/>
        <w:spacing w:before="0"/>
        <w:ind w:firstLine="720"/>
        <w:rPr>
          <w:noProof/>
          <w:szCs w:val="24"/>
          <w:lang w:val="cs-CZ"/>
        </w:rPr>
      </w:pPr>
    </w:p>
    <w:p w14:paraId="0C2DFF17" w14:textId="77777777" w:rsidR="00200E11" w:rsidRPr="00925F12" w:rsidRDefault="00200E11" w:rsidP="00200E11">
      <w:pPr>
        <w:pStyle w:val="Normlnodsazen"/>
        <w:spacing w:before="0"/>
        <w:ind w:firstLine="720"/>
        <w:rPr>
          <w:noProof/>
          <w:szCs w:val="24"/>
          <w:lang w:val="cs-CZ"/>
        </w:rPr>
      </w:pPr>
      <w:r w:rsidRPr="00925F12">
        <w:rPr>
          <w:noProof/>
          <w:szCs w:val="24"/>
          <w:lang w:val="cs-CZ"/>
        </w:rPr>
        <w:t>a</w:t>
      </w:r>
    </w:p>
    <w:p w14:paraId="5B9FBE57" w14:textId="77777777" w:rsidR="00200E11" w:rsidRPr="00925F12" w:rsidRDefault="00200E11" w:rsidP="007548D3">
      <w:pPr>
        <w:pStyle w:val="Normlnodsazen"/>
        <w:tabs>
          <w:tab w:val="left" w:pos="3857"/>
        </w:tabs>
        <w:spacing w:before="0"/>
        <w:ind w:firstLine="720"/>
        <w:rPr>
          <w:b/>
          <w:noProof/>
          <w:szCs w:val="24"/>
          <w:lang w:val="cs-CZ"/>
        </w:rPr>
      </w:pPr>
    </w:p>
    <w:p w14:paraId="1A55F729" w14:textId="77777777" w:rsidR="00FF6916" w:rsidRPr="00FF6916" w:rsidRDefault="00FF6916" w:rsidP="00FF6916">
      <w:pPr>
        <w:pStyle w:val="Normlnodsazen"/>
        <w:spacing w:before="0"/>
        <w:ind w:firstLine="0"/>
        <w:rPr>
          <w:b/>
          <w:noProof/>
          <w:szCs w:val="24"/>
          <w:lang w:val="cs-CZ"/>
        </w:rPr>
      </w:pPr>
      <w:r w:rsidRPr="00FF6916">
        <w:rPr>
          <w:b/>
          <w:noProof/>
          <w:szCs w:val="24"/>
          <w:lang w:val="cs-CZ"/>
        </w:rPr>
        <w:t>Česká filharmonie</w:t>
      </w:r>
    </w:p>
    <w:p w14:paraId="6EF7946B" w14:textId="77777777" w:rsidR="00FF6916" w:rsidRPr="00FF6916" w:rsidRDefault="00FF6916" w:rsidP="00FF6916">
      <w:pPr>
        <w:spacing w:before="0"/>
        <w:jc w:val="both"/>
        <w:rPr>
          <w:noProof/>
          <w:szCs w:val="24"/>
          <w:lang w:val="cs-CZ"/>
        </w:rPr>
      </w:pPr>
      <w:r w:rsidRPr="00FF6916">
        <w:rPr>
          <w:noProof/>
          <w:szCs w:val="24"/>
          <w:lang w:val="cs-CZ"/>
        </w:rPr>
        <w:t>se sídlem Alšovo nábřeží 79/12, 110 00 PRAHA 1</w:t>
      </w:r>
    </w:p>
    <w:p w14:paraId="2B05B360" w14:textId="77777777" w:rsidR="00FF6916" w:rsidRPr="00FF6916" w:rsidRDefault="00FF6916" w:rsidP="00FF6916">
      <w:pPr>
        <w:spacing w:before="0"/>
        <w:jc w:val="both"/>
        <w:rPr>
          <w:noProof/>
          <w:szCs w:val="24"/>
          <w:lang w:val="cs-CZ"/>
        </w:rPr>
      </w:pPr>
      <w:r w:rsidRPr="00FF6916">
        <w:rPr>
          <w:noProof/>
          <w:szCs w:val="24"/>
          <w:lang w:val="cs-CZ"/>
        </w:rPr>
        <w:t>IČO: 00023264</w:t>
      </w:r>
    </w:p>
    <w:p w14:paraId="14BF2FF0" w14:textId="77777777" w:rsidR="00FF6916" w:rsidRPr="00FF6916" w:rsidRDefault="00FF6916" w:rsidP="00FF6916">
      <w:pPr>
        <w:spacing w:before="0"/>
        <w:jc w:val="both"/>
        <w:rPr>
          <w:noProof/>
          <w:szCs w:val="24"/>
          <w:lang w:val="cs-CZ"/>
        </w:rPr>
      </w:pPr>
      <w:r w:rsidRPr="00FF6916">
        <w:rPr>
          <w:noProof/>
          <w:szCs w:val="24"/>
          <w:lang w:val="cs-CZ"/>
        </w:rPr>
        <w:t>DIČ: CZ00023264</w:t>
      </w:r>
    </w:p>
    <w:p w14:paraId="059EB74C" w14:textId="30B2490A" w:rsidR="00FF6916" w:rsidRPr="00FF6916" w:rsidRDefault="00FF6916" w:rsidP="00FF6916">
      <w:pPr>
        <w:spacing w:before="0"/>
        <w:jc w:val="both"/>
        <w:rPr>
          <w:noProof/>
          <w:szCs w:val="24"/>
          <w:lang w:val="cs-CZ"/>
        </w:rPr>
      </w:pPr>
      <w:r w:rsidRPr="00FF6916">
        <w:rPr>
          <w:noProof/>
          <w:szCs w:val="24"/>
          <w:lang w:val="cs-CZ"/>
        </w:rPr>
        <w:t xml:space="preserve">zastoupená </w:t>
      </w:r>
      <w:r w:rsidR="00B95A61">
        <w:rPr>
          <w:noProof/>
          <w:szCs w:val="24"/>
          <w:lang w:val="cs-CZ"/>
        </w:rPr>
        <w:t>xxxxx</w:t>
      </w:r>
      <w:r w:rsidRPr="00FF6916">
        <w:rPr>
          <w:noProof/>
          <w:szCs w:val="24"/>
          <w:lang w:val="cs-CZ"/>
        </w:rPr>
        <w:t>, generálním ředitelem</w:t>
      </w:r>
    </w:p>
    <w:p w14:paraId="34EA9F6C" w14:textId="57C22C78" w:rsidR="00FF6916" w:rsidRDefault="00FF6916" w:rsidP="00FF6916">
      <w:pPr>
        <w:spacing w:before="0"/>
        <w:jc w:val="both"/>
        <w:rPr>
          <w:noProof/>
          <w:szCs w:val="24"/>
          <w:lang w:val="cs-CZ"/>
        </w:rPr>
      </w:pPr>
      <w:r w:rsidRPr="00FF6916">
        <w:rPr>
          <w:noProof/>
          <w:szCs w:val="24"/>
          <w:lang w:val="cs-CZ"/>
        </w:rPr>
        <w:t xml:space="preserve">odpovědná osoba ve věcech smluvních: </w:t>
      </w:r>
      <w:r w:rsidR="00B95A61">
        <w:rPr>
          <w:noProof/>
          <w:szCs w:val="24"/>
          <w:lang w:val="cs-CZ"/>
        </w:rPr>
        <w:t>xxxx</w:t>
      </w:r>
    </w:p>
    <w:p w14:paraId="27F2D0A5" w14:textId="77777777" w:rsidR="00FF6916" w:rsidRPr="00925F12" w:rsidRDefault="00FF6916" w:rsidP="00FF6916">
      <w:pPr>
        <w:spacing w:before="0"/>
        <w:jc w:val="both"/>
        <w:rPr>
          <w:noProof/>
          <w:szCs w:val="24"/>
          <w:lang w:val="cs-CZ"/>
        </w:rPr>
      </w:pPr>
      <w:r w:rsidRPr="002812FE">
        <w:rPr>
          <w:noProof/>
          <w:szCs w:val="24"/>
          <w:lang w:val="cs-CZ"/>
        </w:rPr>
        <w:t>Bankovní spojení: Českánárodní banka, číslo účtu 12934011/0710</w:t>
      </w:r>
    </w:p>
    <w:p w14:paraId="293B1EB0" w14:textId="77777777" w:rsidR="00200E11" w:rsidRPr="00925F12" w:rsidRDefault="00200E11" w:rsidP="00200E11">
      <w:pPr>
        <w:spacing w:before="0"/>
        <w:ind w:firstLine="720"/>
        <w:jc w:val="both"/>
        <w:rPr>
          <w:noProof/>
          <w:szCs w:val="24"/>
          <w:lang w:val="cs-CZ"/>
        </w:rPr>
      </w:pPr>
      <w:r w:rsidRPr="00925F12">
        <w:rPr>
          <w:noProof/>
          <w:szCs w:val="24"/>
          <w:lang w:val="cs-CZ"/>
        </w:rPr>
        <w:t>(dále jen „</w:t>
      </w:r>
      <w:r w:rsidR="005D12FF" w:rsidRPr="00925F12">
        <w:rPr>
          <w:b/>
          <w:noProof/>
          <w:szCs w:val="24"/>
          <w:lang w:val="cs-CZ"/>
        </w:rPr>
        <w:t>Objednatel</w:t>
      </w:r>
      <w:r w:rsidRPr="00925F12">
        <w:rPr>
          <w:b/>
          <w:noProof/>
          <w:szCs w:val="24"/>
          <w:lang w:val="cs-CZ"/>
        </w:rPr>
        <w:t>“</w:t>
      </w:r>
      <w:r w:rsidRPr="00925F12">
        <w:rPr>
          <w:noProof/>
          <w:szCs w:val="24"/>
          <w:lang w:val="cs-CZ"/>
        </w:rPr>
        <w:t>),</w:t>
      </w:r>
    </w:p>
    <w:p w14:paraId="5C150A1F" w14:textId="77777777" w:rsidR="00200E11" w:rsidRDefault="00200E11" w:rsidP="00200E11">
      <w:pPr>
        <w:spacing w:before="0"/>
        <w:jc w:val="both"/>
        <w:rPr>
          <w:noProof/>
          <w:szCs w:val="24"/>
          <w:lang w:val="cs-CZ"/>
        </w:rPr>
      </w:pPr>
    </w:p>
    <w:p w14:paraId="2E322C57" w14:textId="77777777" w:rsidR="00AE6091" w:rsidRDefault="00AE6091" w:rsidP="00200E11">
      <w:pPr>
        <w:spacing w:before="0"/>
        <w:jc w:val="both"/>
        <w:rPr>
          <w:noProof/>
          <w:szCs w:val="24"/>
          <w:lang w:val="cs-CZ"/>
        </w:rPr>
      </w:pPr>
      <w:r>
        <w:rPr>
          <w:noProof/>
          <w:szCs w:val="24"/>
          <w:lang w:val="cs-CZ"/>
        </w:rPr>
        <w:t>dále též společně jako „</w:t>
      </w:r>
      <w:r w:rsidRPr="00AE6091">
        <w:rPr>
          <w:b/>
          <w:bCs/>
          <w:noProof/>
          <w:szCs w:val="24"/>
          <w:lang w:val="cs-CZ"/>
        </w:rPr>
        <w:t>Smluvní strany</w:t>
      </w:r>
      <w:r>
        <w:rPr>
          <w:noProof/>
          <w:szCs w:val="24"/>
          <w:lang w:val="cs-CZ"/>
        </w:rPr>
        <w:t>“</w:t>
      </w:r>
    </w:p>
    <w:p w14:paraId="55DBE0B8" w14:textId="77777777" w:rsidR="00AE6091" w:rsidRPr="00925F12" w:rsidRDefault="00AE6091" w:rsidP="00200E11">
      <w:pPr>
        <w:spacing w:before="0"/>
        <w:jc w:val="both"/>
        <w:rPr>
          <w:noProof/>
          <w:szCs w:val="24"/>
          <w:lang w:val="cs-CZ"/>
        </w:rPr>
      </w:pPr>
    </w:p>
    <w:p w14:paraId="6F48C7E3" w14:textId="77777777" w:rsidR="00200E11" w:rsidRPr="00925F12" w:rsidRDefault="00BF4361" w:rsidP="00200E11">
      <w:pPr>
        <w:spacing w:before="0"/>
        <w:jc w:val="both"/>
        <w:rPr>
          <w:noProof/>
          <w:szCs w:val="24"/>
          <w:lang w:val="cs-CZ"/>
        </w:rPr>
      </w:pPr>
      <w:r w:rsidRPr="00925F12">
        <w:rPr>
          <w:noProof/>
          <w:szCs w:val="24"/>
          <w:lang w:val="cs-CZ"/>
        </w:rPr>
        <w:t xml:space="preserve">se dohodly, že jejich závazkový vztah se </w:t>
      </w:r>
      <w:r w:rsidRPr="00925F12">
        <w:rPr>
          <w:lang w:val="cs-CZ"/>
        </w:rPr>
        <w:t>ustanovením zákona č. 89/2012 Sb., občanský zákoník</w:t>
      </w:r>
      <w:r w:rsidRPr="00925F12">
        <w:rPr>
          <w:noProof/>
          <w:szCs w:val="24"/>
          <w:lang w:val="cs-CZ"/>
        </w:rPr>
        <w:t xml:space="preserve"> a dále s použitím příslušných ustanovení zákona č. 121/2000 Sb., autorského zákona ve znění pozdějších předpisů (dále jen „AZ“), uzavírají níže uvedeného dne, měsíce a roku tuto smlouvu o poskytování služeb technické podpory (dále jen „</w:t>
      </w:r>
      <w:r w:rsidRPr="00925F12">
        <w:rPr>
          <w:b/>
          <w:noProof/>
          <w:szCs w:val="24"/>
          <w:lang w:val="cs-CZ"/>
        </w:rPr>
        <w:t>Smlouva</w:t>
      </w:r>
      <w:r w:rsidRPr="00925F12">
        <w:rPr>
          <w:noProof/>
          <w:szCs w:val="24"/>
          <w:lang w:val="cs-CZ"/>
        </w:rPr>
        <w:t>“).</w:t>
      </w:r>
    </w:p>
    <w:p w14:paraId="56292F86" w14:textId="77777777" w:rsidR="00A7610F" w:rsidRPr="00925F12" w:rsidRDefault="00A7610F" w:rsidP="00200E11">
      <w:pPr>
        <w:spacing w:before="0"/>
        <w:jc w:val="both"/>
        <w:rPr>
          <w:noProof/>
          <w:szCs w:val="24"/>
          <w:lang w:val="cs-CZ"/>
        </w:rPr>
      </w:pPr>
    </w:p>
    <w:p w14:paraId="77B0A5C8" w14:textId="77777777" w:rsidR="00A7610F" w:rsidRPr="00925F12" w:rsidRDefault="00A7610F" w:rsidP="00A7610F">
      <w:pPr>
        <w:jc w:val="center"/>
        <w:rPr>
          <w:b/>
          <w:bCs/>
          <w:noProof/>
          <w:lang w:val="cs-CZ"/>
        </w:rPr>
      </w:pPr>
      <w:r w:rsidRPr="00925F12">
        <w:rPr>
          <w:b/>
          <w:bCs/>
          <w:noProof/>
          <w:lang w:val="cs-CZ"/>
        </w:rPr>
        <w:t xml:space="preserve">I. </w:t>
      </w:r>
    </w:p>
    <w:p w14:paraId="4ED4CEBC" w14:textId="77777777" w:rsidR="00A7610F" w:rsidRPr="00925F12" w:rsidRDefault="00894FB7" w:rsidP="00A7610F">
      <w:pPr>
        <w:jc w:val="center"/>
        <w:rPr>
          <w:b/>
          <w:bCs/>
          <w:noProof/>
          <w:lang w:val="cs-CZ"/>
        </w:rPr>
      </w:pPr>
      <w:r w:rsidRPr="00925F12">
        <w:rPr>
          <w:b/>
          <w:bCs/>
          <w:noProof/>
          <w:lang w:val="cs-CZ"/>
        </w:rPr>
        <w:t>Účel smlouvy</w:t>
      </w:r>
    </w:p>
    <w:p w14:paraId="550BDD7C" w14:textId="77777777" w:rsidR="00A7610F" w:rsidRPr="00925F12" w:rsidRDefault="00A7610F" w:rsidP="00200E11">
      <w:pPr>
        <w:spacing w:before="0"/>
        <w:jc w:val="both"/>
        <w:rPr>
          <w:noProof/>
          <w:szCs w:val="24"/>
          <w:lang w:val="cs-CZ"/>
        </w:rPr>
      </w:pPr>
    </w:p>
    <w:p w14:paraId="433CBA0F" w14:textId="77777777" w:rsidR="00894FB7" w:rsidRPr="00925F12" w:rsidRDefault="00CE1CE4" w:rsidP="00CE1CE4">
      <w:pPr>
        <w:pStyle w:val="Zkladntext-prvnodsazen"/>
        <w:ind w:firstLine="0"/>
        <w:jc w:val="both"/>
        <w:rPr>
          <w:noProof/>
        </w:rPr>
      </w:pPr>
      <w:r w:rsidRPr="00925F12">
        <w:rPr>
          <w:noProof/>
        </w:rPr>
        <w:t>Účelem smlouvy je zajištění bezporuchového chodu software Rezervační vstupenkový systém Colosseum (dále též „</w:t>
      </w:r>
      <w:r w:rsidRPr="00925F12">
        <w:rPr>
          <w:b/>
          <w:noProof/>
        </w:rPr>
        <w:t>Systém</w:t>
      </w:r>
      <w:r w:rsidRPr="00925F12">
        <w:rPr>
          <w:noProof/>
        </w:rPr>
        <w:t>“)</w:t>
      </w:r>
      <w:r w:rsidR="00816C65" w:rsidRPr="00925F12">
        <w:rPr>
          <w:noProof/>
        </w:rPr>
        <w:t xml:space="preserve"> </w:t>
      </w:r>
      <w:r w:rsidR="00B250A8" w:rsidRPr="00925F12">
        <w:rPr>
          <w:noProof/>
        </w:rPr>
        <w:t>formou poskytování technické podpory Systému</w:t>
      </w:r>
      <w:r w:rsidRPr="00925F12">
        <w:rPr>
          <w:noProof/>
        </w:rPr>
        <w:t>.</w:t>
      </w:r>
      <w:r w:rsidR="00051F65" w:rsidRPr="00925F12">
        <w:rPr>
          <w:noProof/>
        </w:rPr>
        <w:t xml:space="preserve"> Objednatel získal oprávnění užívat Systém </w:t>
      </w:r>
      <w:r w:rsidR="00FF6916">
        <w:rPr>
          <w:noProof/>
        </w:rPr>
        <w:t xml:space="preserve">(časově a teritoriálně neomezená licence) </w:t>
      </w:r>
      <w:r w:rsidR="00051F65" w:rsidRPr="00925F12">
        <w:rPr>
          <w:noProof/>
        </w:rPr>
        <w:t xml:space="preserve">na základě uzavřené </w:t>
      </w:r>
      <w:r w:rsidR="00863FF5">
        <w:rPr>
          <w:noProof/>
        </w:rPr>
        <w:t>Kupní s</w:t>
      </w:r>
      <w:r w:rsidR="00051F65" w:rsidRPr="00925F12">
        <w:rPr>
          <w:noProof/>
        </w:rPr>
        <w:t>ml</w:t>
      </w:r>
      <w:r w:rsidR="00863FF5">
        <w:rPr>
          <w:noProof/>
        </w:rPr>
        <w:t>o</w:t>
      </w:r>
      <w:r w:rsidR="00051F65" w:rsidRPr="00925F12">
        <w:rPr>
          <w:noProof/>
        </w:rPr>
        <w:t xml:space="preserve">uvy </w:t>
      </w:r>
      <w:r w:rsidR="00863FF5">
        <w:rPr>
          <w:noProof/>
        </w:rPr>
        <w:t xml:space="preserve">a smlouvy </w:t>
      </w:r>
      <w:r w:rsidR="00051F65" w:rsidRPr="00925F12">
        <w:rPr>
          <w:noProof/>
        </w:rPr>
        <w:t>o poskytnutí licence</w:t>
      </w:r>
      <w:r w:rsidR="00DA1598">
        <w:rPr>
          <w:noProof/>
        </w:rPr>
        <w:t xml:space="preserve"> č</w:t>
      </w:r>
      <w:r w:rsidR="008D36D6">
        <w:rPr>
          <w:noProof/>
        </w:rPr>
        <w:t xml:space="preserve">. </w:t>
      </w:r>
      <w:r w:rsidR="00FF6916">
        <w:rPr>
          <w:noProof/>
        </w:rPr>
        <w:t>KSLS0012015</w:t>
      </w:r>
      <w:r w:rsidR="00DA1598" w:rsidRPr="00DA1598">
        <w:rPr>
          <w:noProof/>
        </w:rPr>
        <w:t xml:space="preserve"> </w:t>
      </w:r>
      <w:r w:rsidR="00051F65" w:rsidRPr="00925F12">
        <w:rPr>
          <w:noProof/>
        </w:rPr>
        <w:t>(dále též „Licenční smlouva“).</w:t>
      </w:r>
      <w:r w:rsidR="00FF6916">
        <w:rPr>
          <w:noProof/>
        </w:rPr>
        <w:t xml:space="preserve"> </w:t>
      </w:r>
    </w:p>
    <w:p w14:paraId="0BBAAD64" w14:textId="77777777" w:rsidR="00D9516E" w:rsidRPr="00925F12" w:rsidRDefault="00D9516E" w:rsidP="001D4B8D">
      <w:pPr>
        <w:spacing w:before="0"/>
        <w:jc w:val="center"/>
        <w:rPr>
          <w:b/>
          <w:noProof/>
          <w:szCs w:val="24"/>
          <w:lang w:val="cs-CZ"/>
        </w:rPr>
      </w:pPr>
    </w:p>
    <w:p w14:paraId="139A83F0" w14:textId="77777777" w:rsidR="001D4B8D" w:rsidRPr="00925F12" w:rsidRDefault="00200E11" w:rsidP="001D4B8D">
      <w:pPr>
        <w:spacing w:before="0"/>
        <w:jc w:val="center"/>
        <w:rPr>
          <w:b/>
          <w:noProof/>
          <w:szCs w:val="24"/>
          <w:lang w:val="cs-CZ"/>
        </w:rPr>
      </w:pPr>
      <w:r w:rsidRPr="00925F12">
        <w:rPr>
          <w:b/>
          <w:noProof/>
          <w:szCs w:val="24"/>
          <w:lang w:val="cs-CZ"/>
        </w:rPr>
        <w:t>II.</w:t>
      </w:r>
    </w:p>
    <w:p w14:paraId="29C440EA" w14:textId="77777777" w:rsidR="00200E11" w:rsidRPr="00925F12" w:rsidRDefault="00200E11" w:rsidP="001D4B8D">
      <w:pPr>
        <w:spacing w:before="0" w:line="480" w:lineRule="auto"/>
        <w:jc w:val="center"/>
        <w:rPr>
          <w:b/>
          <w:noProof/>
          <w:szCs w:val="24"/>
          <w:lang w:val="cs-CZ"/>
        </w:rPr>
      </w:pPr>
      <w:r w:rsidRPr="00925F12">
        <w:rPr>
          <w:b/>
          <w:noProof/>
          <w:szCs w:val="24"/>
          <w:lang w:val="cs-CZ"/>
        </w:rPr>
        <w:t>Předmět plnění</w:t>
      </w:r>
    </w:p>
    <w:p w14:paraId="68FB29B9" w14:textId="77777777" w:rsidR="00200E11" w:rsidRPr="00925F12" w:rsidRDefault="00CF3639" w:rsidP="00200E11">
      <w:pPr>
        <w:numPr>
          <w:ilvl w:val="0"/>
          <w:numId w:val="2"/>
        </w:numPr>
        <w:tabs>
          <w:tab w:val="clear" w:pos="720"/>
          <w:tab w:val="num" w:pos="426"/>
        </w:tabs>
        <w:ind w:left="426" w:hanging="426"/>
        <w:jc w:val="both"/>
        <w:rPr>
          <w:noProof/>
          <w:szCs w:val="24"/>
          <w:lang w:val="cs-CZ"/>
        </w:rPr>
      </w:pPr>
      <w:r>
        <w:rPr>
          <w:noProof/>
          <w:szCs w:val="24"/>
          <w:lang w:val="cs-CZ"/>
        </w:rPr>
        <w:t xml:space="preserve">Předmětem plnění je povinnost Poskytovatele poskytovat Objednateli technickou a zákaznickou podporu Systému za podmínek v této smlouvě dále sjednaných, čemuž </w:t>
      </w:r>
      <w:r>
        <w:rPr>
          <w:noProof/>
          <w:szCs w:val="24"/>
          <w:lang w:val="cs-CZ"/>
        </w:rPr>
        <w:lastRenderedPageBreak/>
        <w:t>odpovídá povinnost Objednatele uhradit sjednanou cenu</w:t>
      </w:r>
      <w:r w:rsidR="008E37E6" w:rsidRPr="00925F12">
        <w:rPr>
          <w:noProof/>
          <w:szCs w:val="24"/>
          <w:lang w:val="cs-CZ"/>
        </w:rPr>
        <w:t>.</w:t>
      </w:r>
      <w:r w:rsidR="00DE23C5">
        <w:rPr>
          <w:noProof/>
          <w:szCs w:val="24"/>
          <w:lang w:val="cs-CZ"/>
        </w:rPr>
        <w:t xml:space="preserve"> Smluvn</w:t>
      </w:r>
      <w:r w:rsidR="00685A0F">
        <w:rPr>
          <w:noProof/>
          <w:szCs w:val="24"/>
          <w:lang w:val="cs-CZ"/>
        </w:rPr>
        <w:t>í</w:t>
      </w:r>
      <w:r w:rsidR="00DE23C5">
        <w:rPr>
          <w:noProof/>
          <w:szCs w:val="24"/>
          <w:lang w:val="cs-CZ"/>
        </w:rPr>
        <w:t xml:space="preserve"> strany se výslovně dohodly na tom, že tato Smlouva nahrazuje</w:t>
      </w:r>
      <w:r w:rsidR="004B1241">
        <w:rPr>
          <w:noProof/>
          <w:szCs w:val="24"/>
          <w:lang w:val="cs-CZ"/>
        </w:rPr>
        <w:t xml:space="preserve"> k datu 1. 2. 2025</w:t>
      </w:r>
      <w:r w:rsidR="00DE23C5">
        <w:rPr>
          <w:noProof/>
          <w:szCs w:val="24"/>
          <w:lang w:val="cs-CZ"/>
        </w:rPr>
        <w:t xml:space="preserve"> v plném rozsahu </w:t>
      </w:r>
      <w:r w:rsidR="004B1241">
        <w:rPr>
          <w:noProof/>
          <w:szCs w:val="24"/>
          <w:lang w:val="cs-CZ"/>
        </w:rPr>
        <w:t>ustanovení článku 1., odstavce 1.3 a Přílohy I Licenční s</w:t>
      </w:r>
      <w:r w:rsidR="00685A0F">
        <w:rPr>
          <w:noProof/>
          <w:szCs w:val="24"/>
          <w:lang w:val="cs-CZ"/>
        </w:rPr>
        <w:t>mlouv</w:t>
      </w:r>
      <w:r w:rsidR="004B1241">
        <w:rPr>
          <w:noProof/>
          <w:szCs w:val="24"/>
          <w:lang w:val="cs-CZ"/>
        </w:rPr>
        <w:t>y</w:t>
      </w:r>
      <w:r w:rsidR="00685A0F">
        <w:rPr>
          <w:noProof/>
          <w:szCs w:val="24"/>
          <w:lang w:val="cs-CZ"/>
        </w:rPr>
        <w:t>.</w:t>
      </w:r>
    </w:p>
    <w:p w14:paraId="067C7A73" w14:textId="77777777" w:rsidR="00200E11" w:rsidRPr="00925F12" w:rsidRDefault="00200E11" w:rsidP="00200E11">
      <w:pPr>
        <w:numPr>
          <w:ilvl w:val="0"/>
          <w:numId w:val="2"/>
        </w:numPr>
        <w:tabs>
          <w:tab w:val="clear" w:pos="720"/>
          <w:tab w:val="num" w:pos="426"/>
        </w:tabs>
        <w:ind w:left="426" w:hanging="426"/>
        <w:jc w:val="both"/>
        <w:rPr>
          <w:noProof/>
          <w:szCs w:val="24"/>
          <w:lang w:val="cs-CZ"/>
        </w:rPr>
      </w:pPr>
      <w:r w:rsidRPr="00925F12">
        <w:rPr>
          <w:noProof/>
          <w:szCs w:val="24"/>
          <w:lang w:val="cs-CZ"/>
        </w:rPr>
        <w:t xml:space="preserve">Poskytovatel se zavazuje, že v rámci </w:t>
      </w:r>
      <w:r w:rsidR="006070EE" w:rsidRPr="00925F12">
        <w:rPr>
          <w:noProof/>
          <w:szCs w:val="24"/>
          <w:lang w:val="cs-CZ"/>
        </w:rPr>
        <w:t xml:space="preserve">plnění předmětu </w:t>
      </w:r>
      <w:r w:rsidR="006746C7">
        <w:rPr>
          <w:noProof/>
          <w:szCs w:val="24"/>
          <w:lang w:val="cs-CZ"/>
        </w:rPr>
        <w:t>S</w:t>
      </w:r>
      <w:r w:rsidR="006070EE" w:rsidRPr="00925F12">
        <w:rPr>
          <w:noProof/>
          <w:szCs w:val="24"/>
          <w:lang w:val="cs-CZ"/>
        </w:rPr>
        <w:t>mlouvy</w:t>
      </w:r>
      <w:r w:rsidRPr="00925F12">
        <w:rPr>
          <w:noProof/>
          <w:szCs w:val="24"/>
          <w:lang w:val="cs-CZ"/>
        </w:rPr>
        <w:t xml:space="preserve"> bude </w:t>
      </w:r>
      <w:r w:rsidR="00E81117" w:rsidRPr="00925F12">
        <w:rPr>
          <w:noProof/>
          <w:szCs w:val="24"/>
          <w:lang w:val="cs-CZ"/>
        </w:rPr>
        <w:t>Ob</w:t>
      </w:r>
      <w:r w:rsidR="005D12FF" w:rsidRPr="00925F12">
        <w:rPr>
          <w:noProof/>
          <w:szCs w:val="24"/>
          <w:lang w:val="cs-CZ"/>
        </w:rPr>
        <w:t>jednateli</w:t>
      </w:r>
      <w:r w:rsidR="00333561" w:rsidRPr="00925F12">
        <w:rPr>
          <w:noProof/>
          <w:szCs w:val="24"/>
          <w:lang w:val="cs-CZ"/>
        </w:rPr>
        <w:t xml:space="preserve"> poskytovat následující služby:</w:t>
      </w:r>
    </w:p>
    <w:p w14:paraId="707231E4" w14:textId="77777777" w:rsidR="0015359E" w:rsidRDefault="0015359E" w:rsidP="0015359E">
      <w:pPr>
        <w:numPr>
          <w:ilvl w:val="1"/>
          <w:numId w:val="4"/>
        </w:numPr>
        <w:tabs>
          <w:tab w:val="clear" w:pos="666"/>
          <w:tab w:val="num" w:pos="1418"/>
        </w:tabs>
        <w:spacing w:before="60" w:line="240" w:lineRule="atLeast"/>
        <w:ind w:left="1418" w:hanging="567"/>
        <w:jc w:val="both"/>
        <w:rPr>
          <w:noProof/>
          <w:szCs w:val="24"/>
          <w:lang w:val="cs-CZ"/>
        </w:rPr>
      </w:pPr>
      <w:r w:rsidRPr="0015359E">
        <w:rPr>
          <w:noProof/>
          <w:szCs w:val="24"/>
          <w:lang w:val="cs-CZ"/>
        </w:rPr>
        <w:t>Technická podpora provozu Systému</w:t>
      </w:r>
    </w:p>
    <w:p w14:paraId="67F0E6CB" w14:textId="77777777" w:rsidR="00685A0F" w:rsidRDefault="00685A0F" w:rsidP="00685A0F">
      <w:pPr>
        <w:numPr>
          <w:ilvl w:val="1"/>
          <w:numId w:val="4"/>
        </w:numPr>
        <w:tabs>
          <w:tab w:val="clear" w:pos="666"/>
          <w:tab w:val="num" w:pos="1418"/>
        </w:tabs>
        <w:spacing w:before="60" w:line="240" w:lineRule="atLeast"/>
        <w:ind w:left="1418" w:hanging="567"/>
        <w:jc w:val="both"/>
        <w:rPr>
          <w:noProof/>
          <w:szCs w:val="24"/>
          <w:lang w:val="cs-CZ"/>
        </w:rPr>
      </w:pPr>
      <w:r>
        <w:rPr>
          <w:noProof/>
          <w:szCs w:val="24"/>
          <w:lang w:val="cs-CZ"/>
        </w:rPr>
        <w:t>Serverhosting Systému</w:t>
      </w:r>
    </w:p>
    <w:p w14:paraId="1FD2FA66" w14:textId="77777777" w:rsidR="00200E11" w:rsidRPr="00925F12" w:rsidRDefault="00DC1826" w:rsidP="00F70B1C">
      <w:pPr>
        <w:numPr>
          <w:ilvl w:val="1"/>
          <w:numId w:val="4"/>
        </w:numPr>
        <w:tabs>
          <w:tab w:val="clear" w:pos="666"/>
          <w:tab w:val="num" w:pos="1418"/>
        </w:tabs>
        <w:spacing w:before="60" w:line="240" w:lineRule="atLeast"/>
        <w:ind w:left="1418" w:hanging="567"/>
        <w:jc w:val="both"/>
        <w:rPr>
          <w:noProof/>
          <w:szCs w:val="24"/>
          <w:lang w:val="cs-CZ"/>
        </w:rPr>
      </w:pPr>
      <w:r w:rsidRPr="00925F12">
        <w:rPr>
          <w:noProof/>
          <w:szCs w:val="24"/>
          <w:lang w:val="cs-CZ"/>
        </w:rPr>
        <w:t>Garance servisního zásahu</w:t>
      </w:r>
      <w:r w:rsidR="00105187" w:rsidRPr="00925F12">
        <w:rPr>
          <w:noProof/>
          <w:szCs w:val="24"/>
          <w:lang w:val="cs-CZ"/>
        </w:rPr>
        <w:t xml:space="preserve"> v případě </w:t>
      </w:r>
      <w:r w:rsidR="00357E17" w:rsidRPr="00925F12">
        <w:rPr>
          <w:noProof/>
          <w:szCs w:val="24"/>
          <w:lang w:val="cs-CZ"/>
        </w:rPr>
        <w:t>závad</w:t>
      </w:r>
      <w:r w:rsidR="00105187" w:rsidRPr="00925F12">
        <w:rPr>
          <w:noProof/>
          <w:szCs w:val="24"/>
          <w:lang w:val="cs-CZ"/>
        </w:rPr>
        <w:t xml:space="preserve"> Systému</w:t>
      </w:r>
    </w:p>
    <w:p w14:paraId="7BDCF02B" w14:textId="77777777" w:rsidR="001A5C3D" w:rsidRDefault="00DC1826" w:rsidP="00F70B1C">
      <w:pPr>
        <w:numPr>
          <w:ilvl w:val="1"/>
          <w:numId w:val="4"/>
        </w:numPr>
        <w:tabs>
          <w:tab w:val="clear" w:pos="666"/>
          <w:tab w:val="num" w:pos="1418"/>
        </w:tabs>
        <w:spacing w:before="60" w:line="240" w:lineRule="atLeast"/>
        <w:ind w:left="1418" w:hanging="567"/>
        <w:jc w:val="both"/>
        <w:rPr>
          <w:noProof/>
          <w:szCs w:val="24"/>
          <w:lang w:val="cs-CZ"/>
        </w:rPr>
      </w:pPr>
      <w:r w:rsidRPr="00925F12">
        <w:rPr>
          <w:noProof/>
          <w:szCs w:val="24"/>
          <w:lang w:val="cs-CZ"/>
        </w:rPr>
        <w:t>M</w:t>
      </w:r>
      <w:r w:rsidR="004F668D" w:rsidRPr="00925F12">
        <w:rPr>
          <w:noProof/>
          <w:szCs w:val="24"/>
          <w:lang w:val="cs-CZ"/>
        </w:rPr>
        <w:t xml:space="preserve">onitoring </w:t>
      </w:r>
      <w:r w:rsidR="00105187" w:rsidRPr="00925F12">
        <w:rPr>
          <w:noProof/>
          <w:szCs w:val="24"/>
          <w:lang w:val="cs-CZ"/>
        </w:rPr>
        <w:t>S</w:t>
      </w:r>
      <w:r w:rsidRPr="00925F12">
        <w:rPr>
          <w:noProof/>
          <w:szCs w:val="24"/>
          <w:lang w:val="cs-CZ"/>
        </w:rPr>
        <w:t>ystému</w:t>
      </w:r>
    </w:p>
    <w:p w14:paraId="65F6AF02" w14:textId="77777777" w:rsidR="00D311E0" w:rsidRPr="00925F12" w:rsidRDefault="00D311E0" w:rsidP="00F70B1C">
      <w:pPr>
        <w:numPr>
          <w:ilvl w:val="1"/>
          <w:numId w:val="4"/>
        </w:numPr>
        <w:tabs>
          <w:tab w:val="clear" w:pos="666"/>
          <w:tab w:val="num" w:pos="1418"/>
        </w:tabs>
        <w:spacing w:before="60" w:line="240" w:lineRule="atLeast"/>
        <w:ind w:left="1418" w:hanging="567"/>
        <w:jc w:val="both"/>
        <w:rPr>
          <w:noProof/>
          <w:szCs w:val="24"/>
          <w:lang w:val="cs-CZ"/>
        </w:rPr>
      </w:pPr>
      <w:r>
        <w:rPr>
          <w:noProof/>
          <w:szCs w:val="24"/>
          <w:lang w:val="cs-CZ"/>
        </w:rPr>
        <w:t>Konzultační činnost IT specialisty Poskytovatele</w:t>
      </w:r>
    </w:p>
    <w:p w14:paraId="43A4D6A3" w14:textId="77777777" w:rsidR="00DD7DB8" w:rsidRDefault="00DC1826" w:rsidP="00F70B1C">
      <w:pPr>
        <w:numPr>
          <w:ilvl w:val="1"/>
          <w:numId w:val="4"/>
        </w:numPr>
        <w:tabs>
          <w:tab w:val="clear" w:pos="666"/>
          <w:tab w:val="num" w:pos="1418"/>
        </w:tabs>
        <w:spacing w:before="60" w:line="240" w:lineRule="atLeast"/>
        <w:ind w:left="1418" w:hanging="567"/>
        <w:jc w:val="both"/>
        <w:rPr>
          <w:noProof/>
          <w:szCs w:val="24"/>
          <w:lang w:val="cs-CZ"/>
        </w:rPr>
      </w:pPr>
      <w:r w:rsidRPr="00925F12">
        <w:rPr>
          <w:noProof/>
          <w:szCs w:val="24"/>
          <w:lang w:val="cs-CZ"/>
        </w:rPr>
        <w:t xml:space="preserve">Pravidelný </w:t>
      </w:r>
      <w:r w:rsidR="00D311E0">
        <w:rPr>
          <w:noProof/>
          <w:szCs w:val="24"/>
          <w:lang w:val="cs-CZ"/>
        </w:rPr>
        <w:t>upgrade</w:t>
      </w:r>
      <w:r w:rsidR="00105187" w:rsidRPr="00925F12">
        <w:rPr>
          <w:noProof/>
          <w:szCs w:val="24"/>
          <w:lang w:val="cs-CZ"/>
        </w:rPr>
        <w:t xml:space="preserve"> Systému</w:t>
      </w:r>
    </w:p>
    <w:p w14:paraId="25CB0F2C" w14:textId="77777777" w:rsidR="00D311E0" w:rsidRPr="00925F12" w:rsidRDefault="00D311E0" w:rsidP="00F70B1C">
      <w:pPr>
        <w:numPr>
          <w:ilvl w:val="1"/>
          <w:numId w:val="4"/>
        </w:numPr>
        <w:tabs>
          <w:tab w:val="clear" w:pos="666"/>
          <w:tab w:val="num" w:pos="1418"/>
        </w:tabs>
        <w:spacing w:before="60" w:line="240" w:lineRule="atLeast"/>
        <w:ind w:left="1418" w:hanging="567"/>
        <w:jc w:val="both"/>
        <w:rPr>
          <w:noProof/>
          <w:szCs w:val="24"/>
          <w:lang w:val="cs-CZ"/>
        </w:rPr>
      </w:pPr>
      <w:r>
        <w:rPr>
          <w:noProof/>
          <w:szCs w:val="24"/>
          <w:lang w:val="cs-CZ"/>
        </w:rPr>
        <w:t>Udržování systému v souladu s legislativním prostředím České republiky</w:t>
      </w:r>
    </w:p>
    <w:p w14:paraId="7A11CA4C" w14:textId="77777777" w:rsidR="00DC1826" w:rsidRPr="00925F12" w:rsidRDefault="00DC1826" w:rsidP="00F70B1C">
      <w:pPr>
        <w:numPr>
          <w:ilvl w:val="1"/>
          <w:numId w:val="4"/>
        </w:numPr>
        <w:tabs>
          <w:tab w:val="clear" w:pos="666"/>
          <w:tab w:val="num" w:pos="1418"/>
        </w:tabs>
        <w:spacing w:before="60" w:line="240" w:lineRule="atLeast"/>
        <w:ind w:left="1418" w:hanging="567"/>
        <w:jc w:val="both"/>
        <w:rPr>
          <w:noProof/>
          <w:szCs w:val="24"/>
          <w:lang w:val="cs-CZ"/>
        </w:rPr>
      </w:pPr>
      <w:r w:rsidRPr="00925F12">
        <w:rPr>
          <w:noProof/>
          <w:szCs w:val="24"/>
          <w:lang w:val="cs-CZ"/>
        </w:rPr>
        <w:t>Realizace nových požadavků a úprav</w:t>
      </w:r>
      <w:r w:rsidR="00105187" w:rsidRPr="00925F12">
        <w:rPr>
          <w:noProof/>
          <w:szCs w:val="24"/>
          <w:lang w:val="cs-CZ"/>
        </w:rPr>
        <w:t xml:space="preserve"> Systému</w:t>
      </w:r>
    </w:p>
    <w:p w14:paraId="178AB21C" w14:textId="77777777" w:rsidR="00A46AA3" w:rsidRPr="00925F12" w:rsidRDefault="00200E11" w:rsidP="00A46AA3">
      <w:pPr>
        <w:numPr>
          <w:ilvl w:val="0"/>
          <w:numId w:val="2"/>
        </w:numPr>
        <w:tabs>
          <w:tab w:val="clear" w:pos="720"/>
          <w:tab w:val="num" w:pos="426"/>
        </w:tabs>
        <w:ind w:left="426" w:hanging="426"/>
        <w:jc w:val="both"/>
        <w:rPr>
          <w:noProof/>
          <w:szCs w:val="24"/>
          <w:lang w:val="cs-CZ"/>
        </w:rPr>
      </w:pPr>
      <w:r w:rsidRPr="00925F12">
        <w:rPr>
          <w:noProof/>
          <w:szCs w:val="24"/>
          <w:lang w:val="cs-CZ"/>
        </w:rPr>
        <w:t>Bližší specifikace poskytovaných služeb je uvedena v Příloze č.1 této Smlouvy.</w:t>
      </w:r>
    </w:p>
    <w:p w14:paraId="3EDF903F" w14:textId="77777777" w:rsidR="00200E11" w:rsidRPr="00925F12" w:rsidRDefault="00200E11" w:rsidP="0001259C">
      <w:pPr>
        <w:spacing w:before="240"/>
        <w:jc w:val="center"/>
        <w:rPr>
          <w:b/>
          <w:noProof/>
          <w:szCs w:val="24"/>
          <w:lang w:val="cs-CZ"/>
        </w:rPr>
      </w:pPr>
      <w:r w:rsidRPr="00925F12">
        <w:rPr>
          <w:b/>
          <w:noProof/>
          <w:szCs w:val="24"/>
          <w:lang w:val="cs-CZ"/>
        </w:rPr>
        <w:t>III.</w:t>
      </w:r>
      <w:r w:rsidRPr="00925F12">
        <w:rPr>
          <w:b/>
          <w:noProof/>
          <w:szCs w:val="24"/>
          <w:lang w:val="cs-CZ"/>
        </w:rPr>
        <w:br/>
        <w:t>Místo plnění</w:t>
      </w:r>
    </w:p>
    <w:p w14:paraId="21ADA3F2" w14:textId="77777777" w:rsidR="00200E11" w:rsidRPr="00925F12" w:rsidRDefault="00200E11" w:rsidP="00200E11">
      <w:pPr>
        <w:numPr>
          <w:ilvl w:val="0"/>
          <w:numId w:val="3"/>
        </w:numPr>
        <w:tabs>
          <w:tab w:val="clear" w:pos="720"/>
          <w:tab w:val="num" w:pos="426"/>
        </w:tabs>
        <w:ind w:left="426" w:hanging="426"/>
        <w:jc w:val="both"/>
        <w:rPr>
          <w:noProof/>
          <w:szCs w:val="24"/>
          <w:lang w:val="cs-CZ"/>
        </w:rPr>
      </w:pPr>
      <w:r w:rsidRPr="00925F12">
        <w:rPr>
          <w:noProof/>
          <w:szCs w:val="24"/>
          <w:lang w:val="cs-CZ"/>
        </w:rPr>
        <w:t xml:space="preserve">Místem plnění </w:t>
      </w:r>
      <w:r w:rsidR="0089117A" w:rsidRPr="00925F12">
        <w:rPr>
          <w:noProof/>
          <w:szCs w:val="24"/>
          <w:lang w:val="cs-CZ"/>
        </w:rPr>
        <w:t xml:space="preserve">dle této smlouvy </w:t>
      </w:r>
      <w:r w:rsidRPr="00925F12">
        <w:rPr>
          <w:noProof/>
          <w:szCs w:val="24"/>
          <w:lang w:val="cs-CZ"/>
        </w:rPr>
        <w:t>j</w:t>
      </w:r>
      <w:r w:rsidR="00BF1BA1" w:rsidRPr="00925F12">
        <w:rPr>
          <w:noProof/>
          <w:szCs w:val="24"/>
          <w:lang w:val="cs-CZ"/>
        </w:rPr>
        <w:t>sou místa, kde je S</w:t>
      </w:r>
      <w:r w:rsidR="0089117A" w:rsidRPr="00925F12">
        <w:rPr>
          <w:noProof/>
          <w:szCs w:val="24"/>
          <w:lang w:val="cs-CZ"/>
        </w:rPr>
        <w:t xml:space="preserve">ystém </w:t>
      </w:r>
      <w:r w:rsidR="00BF1BA1" w:rsidRPr="00925F12">
        <w:rPr>
          <w:noProof/>
          <w:szCs w:val="24"/>
          <w:lang w:val="cs-CZ"/>
        </w:rPr>
        <w:t xml:space="preserve">Objednatele </w:t>
      </w:r>
      <w:r w:rsidR="0089117A" w:rsidRPr="00925F12">
        <w:rPr>
          <w:noProof/>
          <w:szCs w:val="24"/>
          <w:lang w:val="cs-CZ"/>
        </w:rPr>
        <w:t>instalován</w:t>
      </w:r>
      <w:r w:rsidR="00B15A21" w:rsidRPr="00925F12">
        <w:rPr>
          <w:noProof/>
          <w:szCs w:val="24"/>
          <w:lang w:val="cs-CZ"/>
        </w:rPr>
        <w:t xml:space="preserve"> (dále též „Místo instalace“)</w:t>
      </w:r>
      <w:r w:rsidRPr="00925F12">
        <w:rPr>
          <w:noProof/>
          <w:szCs w:val="24"/>
          <w:lang w:val="cs-CZ"/>
        </w:rPr>
        <w:t>.</w:t>
      </w:r>
    </w:p>
    <w:p w14:paraId="1D773356" w14:textId="77777777" w:rsidR="00200E11" w:rsidRPr="00925F12" w:rsidRDefault="00E87789" w:rsidP="00200E11">
      <w:pPr>
        <w:numPr>
          <w:ilvl w:val="0"/>
          <w:numId w:val="3"/>
        </w:numPr>
        <w:tabs>
          <w:tab w:val="clear" w:pos="720"/>
          <w:tab w:val="num" w:pos="426"/>
        </w:tabs>
        <w:ind w:left="426" w:hanging="426"/>
        <w:jc w:val="both"/>
        <w:rPr>
          <w:noProof/>
          <w:szCs w:val="24"/>
          <w:lang w:val="cs-CZ"/>
        </w:rPr>
      </w:pPr>
      <w:r w:rsidRPr="00925F12">
        <w:rPr>
          <w:noProof/>
          <w:szCs w:val="24"/>
          <w:lang w:val="cs-CZ"/>
        </w:rPr>
        <w:t>Podle povahy poskyt</w:t>
      </w:r>
      <w:r w:rsidR="00F075E7" w:rsidRPr="00925F12">
        <w:rPr>
          <w:noProof/>
          <w:szCs w:val="24"/>
          <w:lang w:val="cs-CZ"/>
        </w:rPr>
        <w:t>ov</w:t>
      </w:r>
      <w:r w:rsidRPr="00925F12">
        <w:rPr>
          <w:noProof/>
          <w:szCs w:val="24"/>
          <w:lang w:val="cs-CZ"/>
        </w:rPr>
        <w:t>aného plnění mohou p</w:t>
      </w:r>
      <w:r w:rsidR="00200E11" w:rsidRPr="00925F12">
        <w:rPr>
          <w:noProof/>
          <w:szCs w:val="24"/>
          <w:lang w:val="cs-CZ"/>
        </w:rPr>
        <w:t xml:space="preserve">ráce na předmětu plnění probíhat </w:t>
      </w:r>
      <w:r w:rsidR="00DF21A3" w:rsidRPr="00925F12">
        <w:rPr>
          <w:noProof/>
          <w:szCs w:val="24"/>
          <w:lang w:val="cs-CZ"/>
        </w:rPr>
        <w:t>prostřednictvím vzdálené správy Systému</w:t>
      </w:r>
      <w:r w:rsidR="00200E11" w:rsidRPr="00925F12">
        <w:rPr>
          <w:noProof/>
          <w:szCs w:val="24"/>
          <w:lang w:val="cs-CZ"/>
        </w:rPr>
        <w:t xml:space="preserve"> nebo </w:t>
      </w:r>
      <w:r w:rsidRPr="00925F12">
        <w:rPr>
          <w:noProof/>
          <w:szCs w:val="24"/>
          <w:lang w:val="cs-CZ"/>
        </w:rPr>
        <w:t>přímo v</w:t>
      </w:r>
      <w:r w:rsidR="0089117A" w:rsidRPr="00925F12">
        <w:rPr>
          <w:noProof/>
          <w:szCs w:val="24"/>
          <w:lang w:val="cs-CZ"/>
        </w:rPr>
        <w:t> místě instalace Systému</w:t>
      </w:r>
      <w:r w:rsidRPr="00925F12">
        <w:rPr>
          <w:noProof/>
          <w:szCs w:val="24"/>
          <w:lang w:val="cs-CZ"/>
        </w:rPr>
        <w:t>.</w:t>
      </w:r>
    </w:p>
    <w:p w14:paraId="00F93B78" w14:textId="77777777" w:rsidR="00200E11" w:rsidRPr="00925F12" w:rsidRDefault="00200E11" w:rsidP="001D4B8D">
      <w:pPr>
        <w:spacing w:before="240"/>
        <w:jc w:val="center"/>
        <w:rPr>
          <w:b/>
          <w:noProof/>
          <w:szCs w:val="24"/>
          <w:lang w:val="cs-CZ"/>
        </w:rPr>
      </w:pPr>
      <w:r w:rsidRPr="00925F12">
        <w:rPr>
          <w:b/>
          <w:noProof/>
          <w:szCs w:val="24"/>
          <w:lang w:val="cs-CZ"/>
        </w:rPr>
        <w:t>IV.</w:t>
      </w:r>
      <w:r w:rsidRPr="00925F12">
        <w:rPr>
          <w:b/>
          <w:noProof/>
          <w:szCs w:val="24"/>
          <w:lang w:val="cs-CZ"/>
        </w:rPr>
        <w:br/>
        <w:t>Čas a způsob plnění</w:t>
      </w:r>
    </w:p>
    <w:p w14:paraId="746B1A2C" w14:textId="77777777" w:rsidR="00AD6F0A" w:rsidRDefault="004B2A28" w:rsidP="00AD6F0A">
      <w:pPr>
        <w:numPr>
          <w:ilvl w:val="0"/>
          <w:numId w:val="32"/>
        </w:numPr>
        <w:jc w:val="both"/>
        <w:textAlignment w:val="auto"/>
        <w:rPr>
          <w:szCs w:val="24"/>
          <w:lang w:val="cs-CZ"/>
        </w:rPr>
      </w:pPr>
      <w:r>
        <w:rPr>
          <w:noProof/>
          <w:szCs w:val="24"/>
          <w:lang w:val="cs-CZ"/>
        </w:rPr>
        <w:t>Plnění t</w:t>
      </w:r>
      <w:r w:rsidR="00200E11" w:rsidRPr="00925F12">
        <w:rPr>
          <w:noProof/>
          <w:szCs w:val="24"/>
          <w:lang w:val="cs-CZ"/>
        </w:rPr>
        <w:t>echnick</w:t>
      </w:r>
      <w:r w:rsidR="00BE231B">
        <w:rPr>
          <w:noProof/>
          <w:szCs w:val="24"/>
          <w:lang w:val="cs-CZ"/>
        </w:rPr>
        <w:t>é</w:t>
      </w:r>
      <w:r w:rsidR="00200E11" w:rsidRPr="00925F12">
        <w:rPr>
          <w:noProof/>
          <w:szCs w:val="24"/>
          <w:lang w:val="cs-CZ"/>
        </w:rPr>
        <w:t xml:space="preserve"> podpor</w:t>
      </w:r>
      <w:r>
        <w:rPr>
          <w:noProof/>
          <w:szCs w:val="24"/>
          <w:lang w:val="cs-CZ"/>
        </w:rPr>
        <w:t>y</w:t>
      </w:r>
      <w:r w:rsidR="00200E11" w:rsidRPr="00925F12">
        <w:rPr>
          <w:noProof/>
          <w:szCs w:val="24"/>
          <w:lang w:val="cs-CZ"/>
        </w:rPr>
        <w:t xml:space="preserve"> dle Čl. II. odst. 2. </w:t>
      </w:r>
      <w:r>
        <w:rPr>
          <w:noProof/>
          <w:szCs w:val="24"/>
          <w:lang w:val="cs-CZ"/>
        </w:rPr>
        <w:t>je</w:t>
      </w:r>
      <w:r w:rsidR="00200E11" w:rsidRPr="00925F12">
        <w:rPr>
          <w:noProof/>
          <w:szCs w:val="24"/>
          <w:lang w:val="cs-CZ"/>
        </w:rPr>
        <w:t xml:space="preserve"> zahájen</w:t>
      </w:r>
      <w:r>
        <w:rPr>
          <w:noProof/>
          <w:szCs w:val="24"/>
          <w:lang w:val="cs-CZ"/>
        </w:rPr>
        <w:t>o</w:t>
      </w:r>
      <w:r w:rsidR="00200E11" w:rsidRPr="00925F12">
        <w:rPr>
          <w:noProof/>
          <w:szCs w:val="24"/>
          <w:lang w:val="cs-CZ"/>
        </w:rPr>
        <w:t xml:space="preserve"> dnem </w:t>
      </w:r>
      <w:r w:rsidR="00275771" w:rsidRPr="00925F12">
        <w:rPr>
          <w:noProof/>
          <w:szCs w:val="24"/>
          <w:lang w:val="cs-CZ"/>
        </w:rPr>
        <w:t xml:space="preserve">1. </w:t>
      </w:r>
      <w:r w:rsidR="00F00D58">
        <w:rPr>
          <w:noProof/>
          <w:szCs w:val="24"/>
          <w:lang w:val="cs-CZ"/>
        </w:rPr>
        <w:t>2</w:t>
      </w:r>
      <w:r w:rsidR="00621C65">
        <w:rPr>
          <w:noProof/>
          <w:szCs w:val="24"/>
          <w:lang w:val="cs-CZ"/>
        </w:rPr>
        <w:t>.</w:t>
      </w:r>
      <w:r w:rsidR="00CF39A8">
        <w:rPr>
          <w:noProof/>
          <w:szCs w:val="24"/>
          <w:lang w:val="cs-CZ"/>
        </w:rPr>
        <w:t xml:space="preserve"> 202</w:t>
      </w:r>
      <w:r w:rsidR="00F00D58">
        <w:rPr>
          <w:noProof/>
          <w:szCs w:val="24"/>
          <w:lang w:val="cs-CZ"/>
        </w:rPr>
        <w:t>5</w:t>
      </w:r>
      <w:r w:rsidR="007B5B07" w:rsidRPr="00925F12">
        <w:rPr>
          <w:noProof/>
          <w:szCs w:val="24"/>
          <w:lang w:val="cs-CZ"/>
        </w:rPr>
        <w:t>.</w:t>
      </w:r>
      <w:r w:rsidR="00275771" w:rsidRPr="00925F12">
        <w:rPr>
          <w:noProof/>
          <w:szCs w:val="24"/>
          <w:lang w:val="cs-CZ"/>
        </w:rPr>
        <w:t xml:space="preserve"> </w:t>
      </w:r>
    </w:p>
    <w:p w14:paraId="4BD7F0F0" w14:textId="77777777" w:rsidR="00200E11" w:rsidRPr="009A1FA9" w:rsidRDefault="00AD6F0A" w:rsidP="0068746D">
      <w:pPr>
        <w:numPr>
          <w:ilvl w:val="0"/>
          <w:numId w:val="32"/>
        </w:numPr>
        <w:jc w:val="both"/>
        <w:textAlignment w:val="auto"/>
        <w:rPr>
          <w:noProof/>
          <w:szCs w:val="24"/>
          <w:lang w:val="cs-CZ"/>
        </w:rPr>
      </w:pPr>
      <w:r w:rsidRPr="00AD6F0A">
        <w:rPr>
          <w:noProof/>
          <w:szCs w:val="24"/>
          <w:lang w:val="cs-CZ"/>
        </w:rPr>
        <w:t xml:space="preserve">Způsob a pravidla kontaktování technické podpory Poskytovatele ze strany Objednatele a </w:t>
      </w:r>
      <w:r w:rsidRPr="009A1FA9">
        <w:rPr>
          <w:noProof/>
          <w:szCs w:val="24"/>
          <w:lang w:val="cs-CZ"/>
        </w:rPr>
        <w:t>definice pojmů jsou uvedeny v Příloze č. 3 této Smlouvy.</w:t>
      </w:r>
    </w:p>
    <w:p w14:paraId="3642FC3B" w14:textId="77777777" w:rsidR="00503B25" w:rsidRPr="009A1FA9" w:rsidRDefault="00503B25" w:rsidP="00503B25">
      <w:pPr>
        <w:numPr>
          <w:ilvl w:val="0"/>
          <w:numId w:val="32"/>
        </w:numPr>
        <w:tabs>
          <w:tab w:val="num" w:pos="426"/>
        </w:tabs>
        <w:jc w:val="both"/>
        <w:textAlignment w:val="auto"/>
        <w:rPr>
          <w:szCs w:val="24"/>
          <w:lang w:val="cs-CZ"/>
        </w:rPr>
      </w:pPr>
      <w:r w:rsidRPr="009A1FA9">
        <w:rPr>
          <w:szCs w:val="24"/>
          <w:lang w:val="cs-CZ"/>
        </w:rPr>
        <w:t>Plněn</w:t>
      </w:r>
      <w:r w:rsidR="00546687">
        <w:rPr>
          <w:szCs w:val="24"/>
          <w:lang w:val="cs-CZ"/>
        </w:rPr>
        <w:t>í podle Čl. II. odst. 2 písm. a)</w:t>
      </w:r>
      <w:r w:rsidRPr="009A1FA9">
        <w:rPr>
          <w:szCs w:val="24"/>
          <w:lang w:val="cs-CZ"/>
        </w:rPr>
        <w:t xml:space="preserve"> Smlouvy je poskytováno denně včetně sobot, nedělí a dnů pracovního klidu v době od 8:00 do 22:00 hod. na určeném telefonním čísle Poskytovatele pro kritické nefunkčnosti Systému a na určené e-mailové adrese pro nekritické nefunkčnosti Systému. Nejzazší doba odezvy pro kritické nefunkčnosti Systému je do 0,5 hodiny. Doba odezvy pro nekritické nefunkčnosti systému je do následujícího pracovního dne.</w:t>
      </w:r>
    </w:p>
    <w:p w14:paraId="42D3437E" w14:textId="77777777" w:rsidR="00621C65" w:rsidRDefault="00621C65" w:rsidP="00AD6F0A">
      <w:pPr>
        <w:numPr>
          <w:ilvl w:val="0"/>
          <w:numId w:val="32"/>
        </w:numPr>
        <w:jc w:val="both"/>
        <w:textAlignment w:val="auto"/>
        <w:rPr>
          <w:noProof/>
          <w:szCs w:val="24"/>
          <w:lang w:val="cs-CZ"/>
        </w:rPr>
      </w:pPr>
      <w:r w:rsidRPr="00AE7B98">
        <w:rPr>
          <w:noProof/>
          <w:szCs w:val="24"/>
          <w:lang w:val="cs-CZ"/>
        </w:rPr>
        <w:t>Plněn</w:t>
      </w:r>
      <w:r>
        <w:rPr>
          <w:noProof/>
          <w:szCs w:val="24"/>
          <w:lang w:val="cs-CZ"/>
        </w:rPr>
        <w:t>í podle Čl. II. odst. 2 písm. b)</w:t>
      </w:r>
      <w:r w:rsidRPr="00AE7B98">
        <w:rPr>
          <w:noProof/>
          <w:szCs w:val="24"/>
          <w:lang w:val="cs-CZ"/>
        </w:rPr>
        <w:t xml:space="preserve"> Smlouvy je poskytováno nepřetržitě</w:t>
      </w:r>
      <w:r>
        <w:rPr>
          <w:noProof/>
          <w:szCs w:val="24"/>
          <w:lang w:val="cs-CZ"/>
        </w:rPr>
        <w:t xml:space="preserve"> po dobu účinnosti Smlouvy.</w:t>
      </w:r>
    </w:p>
    <w:p w14:paraId="3DD10D5E" w14:textId="77777777" w:rsidR="0046193C" w:rsidRPr="00925F12" w:rsidRDefault="00200E11" w:rsidP="00AD6F0A">
      <w:pPr>
        <w:numPr>
          <w:ilvl w:val="0"/>
          <w:numId w:val="32"/>
        </w:numPr>
        <w:jc w:val="both"/>
        <w:textAlignment w:val="auto"/>
        <w:rPr>
          <w:noProof/>
          <w:szCs w:val="24"/>
          <w:lang w:val="cs-CZ"/>
        </w:rPr>
      </w:pPr>
      <w:r w:rsidRPr="009A1FA9">
        <w:rPr>
          <w:noProof/>
          <w:szCs w:val="24"/>
          <w:lang w:val="cs-CZ"/>
        </w:rPr>
        <w:t>Plnění po</w:t>
      </w:r>
      <w:r w:rsidR="00F34370" w:rsidRPr="009A1FA9">
        <w:rPr>
          <w:noProof/>
          <w:szCs w:val="24"/>
          <w:lang w:val="cs-CZ"/>
        </w:rPr>
        <w:t>dle Čl. II. odst. 2,</w:t>
      </w:r>
      <w:r w:rsidRPr="009A1FA9">
        <w:rPr>
          <w:noProof/>
          <w:szCs w:val="24"/>
          <w:lang w:val="cs-CZ"/>
        </w:rPr>
        <w:t xml:space="preserve"> písm. </w:t>
      </w:r>
      <w:r w:rsidR="00621C65">
        <w:rPr>
          <w:noProof/>
          <w:szCs w:val="24"/>
          <w:lang w:val="cs-CZ"/>
        </w:rPr>
        <w:t>c</w:t>
      </w:r>
      <w:r w:rsidR="00546687">
        <w:rPr>
          <w:noProof/>
          <w:szCs w:val="24"/>
          <w:lang w:val="cs-CZ"/>
        </w:rPr>
        <w:t>)</w:t>
      </w:r>
      <w:r w:rsidR="0046193C" w:rsidRPr="009A1FA9">
        <w:rPr>
          <w:noProof/>
          <w:szCs w:val="24"/>
          <w:lang w:val="cs-CZ"/>
        </w:rPr>
        <w:t xml:space="preserve"> </w:t>
      </w:r>
      <w:r w:rsidRPr="009A1FA9">
        <w:rPr>
          <w:noProof/>
          <w:szCs w:val="24"/>
          <w:lang w:val="cs-CZ"/>
        </w:rPr>
        <w:t xml:space="preserve">je poskytováno </w:t>
      </w:r>
      <w:r w:rsidR="0046193C" w:rsidRPr="009A1FA9">
        <w:rPr>
          <w:noProof/>
          <w:szCs w:val="24"/>
          <w:lang w:val="cs-CZ"/>
        </w:rPr>
        <w:t>v pracovní dny i mimo pracovní dny a pracovní hodiny v</w:t>
      </w:r>
      <w:r w:rsidR="00A63F2A" w:rsidRPr="009A1FA9">
        <w:rPr>
          <w:noProof/>
          <w:szCs w:val="24"/>
          <w:lang w:val="cs-CZ"/>
        </w:rPr>
        <w:t xml:space="preserve"> čase 8.00 – </w:t>
      </w:r>
      <w:r w:rsidR="004F668D" w:rsidRPr="009A1FA9">
        <w:rPr>
          <w:noProof/>
          <w:szCs w:val="24"/>
          <w:lang w:val="cs-CZ"/>
        </w:rPr>
        <w:t>2</w:t>
      </w:r>
      <w:r w:rsidR="00621C65">
        <w:rPr>
          <w:noProof/>
          <w:szCs w:val="24"/>
          <w:lang w:val="cs-CZ"/>
        </w:rPr>
        <w:t>2</w:t>
      </w:r>
      <w:r w:rsidR="00425452" w:rsidRPr="009A1FA9">
        <w:rPr>
          <w:noProof/>
          <w:szCs w:val="24"/>
          <w:lang w:val="cs-CZ"/>
        </w:rPr>
        <w:t>.00 hodin</w:t>
      </w:r>
      <w:r w:rsidR="0046193C" w:rsidRPr="009A1FA9">
        <w:rPr>
          <w:noProof/>
          <w:szCs w:val="24"/>
          <w:lang w:val="cs-CZ"/>
        </w:rPr>
        <w:t xml:space="preserve">. Nejzazší doba odezvy na </w:t>
      </w:r>
      <w:r w:rsidR="004A5450" w:rsidRPr="009A1FA9">
        <w:rPr>
          <w:noProof/>
          <w:szCs w:val="24"/>
          <w:lang w:val="cs-CZ"/>
        </w:rPr>
        <w:t>požadavek</w:t>
      </w:r>
      <w:r w:rsidR="004A5450" w:rsidRPr="00925F12">
        <w:rPr>
          <w:noProof/>
          <w:szCs w:val="24"/>
          <w:lang w:val="cs-CZ"/>
        </w:rPr>
        <w:t xml:space="preserve"> servisního zásahu</w:t>
      </w:r>
      <w:r w:rsidR="0046193C" w:rsidRPr="00925F12">
        <w:rPr>
          <w:noProof/>
          <w:szCs w:val="24"/>
          <w:lang w:val="cs-CZ"/>
        </w:rPr>
        <w:t xml:space="preserve"> je do </w:t>
      </w:r>
      <w:r w:rsidR="00BF1BA1" w:rsidRPr="00925F12">
        <w:rPr>
          <w:noProof/>
          <w:szCs w:val="24"/>
          <w:lang w:val="cs-CZ"/>
        </w:rPr>
        <w:t>2</w:t>
      </w:r>
      <w:r w:rsidR="004A5450" w:rsidRPr="00925F12">
        <w:rPr>
          <w:noProof/>
          <w:szCs w:val="24"/>
          <w:lang w:val="cs-CZ"/>
        </w:rPr>
        <w:t xml:space="preserve"> hodin</w:t>
      </w:r>
      <w:r w:rsidR="00357E17" w:rsidRPr="00925F12">
        <w:rPr>
          <w:noProof/>
          <w:szCs w:val="24"/>
          <w:lang w:val="cs-CZ"/>
        </w:rPr>
        <w:t xml:space="preserve">. </w:t>
      </w:r>
      <w:r w:rsidR="00DB3B90" w:rsidRPr="00925F12">
        <w:rPr>
          <w:noProof/>
          <w:szCs w:val="24"/>
          <w:lang w:val="cs-CZ"/>
        </w:rPr>
        <w:t xml:space="preserve">Servisní zásah je realizován prostřednictvím vzdálené správy Systému, </w:t>
      </w:r>
      <w:r w:rsidR="00357E17" w:rsidRPr="00925F12">
        <w:rPr>
          <w:noProof/>
          <w:szCs w:val="24"/>
          <w:lang w:val="cs-CZ"/>
        </w:rPr>
        <w:t>případně</w:t>
      </w:r>
      <w:r w:rsidR="00DB3B90" w:rsidRPr="00925F12">
        <w:rPr>
          <w:noProof/>
          <w:szCs w:val="24"/>
          <w:lang w:val="cs-CZ"/>
        </w:rPr>
        <w:t xml:space="preserve"> je garantován osobní zásah servisního technika Poskytovatele</w:t>
      </w:r>
      <w:r w:rsidR="00F84025" w:rsidRPr="00925F12">
        <w:rPr>
          <w:noProof/>
          <w:szCs w:val="24"/>
          <w:lang w:val="cs-CZ"/>
        </w:rPr>
        <w:t>.</w:t>
      </w:r>
    </w:p>
    <w:p w14:paraId="17FAABC3" w14:textId="77777777" w:rsidR="0046193C" w:rsidRDefault="00AE7B98" w:rsidP="00E6345C">
      <w:pPr>
        <w:numPr>
          <w:ilvl w:val="0"/>
          <w:numId w:val="32"/>
        </w:numPr>
        <w:jc w:val="both"/>
        <w:textAlignment w:val="auto"/>
        <w:rPr>
          <w:noProof/>
          <w:szCs w:val="24"/>
          <w:lang w:val="cs-CZ"/>
        </w:rPr>
      </w:pPr>
      <w:r w:rsidRPr="00AE7B98">
        <w:rPr>
          <w:noProof/>
          <w:szCs w:val="24"/>
          <w:lang w:val="cs-CZ"/>
        </w:rPr>
        <w:t>Plněn</w:t>
      </w:r>
      <w:r w:rsidR="00546687">
        <w:rPr>
          <w:noProof/>
          <w:szCs w:val="24"/>
          <w:lang w:val="cs-CZ"/>
        </w:rPr>
        <w:t xml:space="preserve">í podle Čl. II. odst. 2 písm. </w:t>
      </w:r>
      <w:r w:rsidR="00621C65">
        <w:rPr>
          <w:noProof/>
          <w:szCs w:val="24"/>
          <w:lang w:val="cs-CZ"/>
        </w:rPr>
        <w:t>d</w:t>
      </w:r>
      <w:r w:rsidR="00546687">
        <w:rPr>
          <w:noProof/>
          <w:szCs w:val="24"/>
          <w:lang w:val="cs-CZ"/>
        </w:rPr>
        <w:t>)</w:t>
      </w:r>
      <w:r w:rsidRPr="00AE7B98">
        <w:rPr>
          <w:noProof/>
          <w:szCs w:val="24"/>
          <w:lang w:val="cs-CZ"/>
        </w:rPr>
        <w:t xml:space="preserve"> Smlouvy je poskytováno nepřetržitě pomocí obslužných aplikací Systému</w:t>
      </w:r>
    </w:p>
    <w:p w14:paraId="069C1ECD" w14:textId="77777777" w:rsidR="00E62B66" w:rsidRPr="00925F12" w:rsidRDefault="00E62B66" w:rsidP="00E6345C">
      <w:pPr>
        <w:numPr>
          <w:ilvl w:val="0"/>
          <w:numId w:val="32"/>
        </w:numPr>
        <w:jc w:val="both"/>
        <w:textAlignment w:val="auto"/>
        <w:rPr>
          <w:noProof/>
          <w:szCs w:val="24"/>
          <w:lang w:val="cs-CZ"/>
        </w:rPr>
      </w:pPr>
      <w:r>
        <w:rPr>
          <w:noProof/>
          <w:szCs w:val="24"/>
          <w:lang w:val="cs-CZ"/>
        </w:rPr>
        <w:t xml:space="preserve">Plnění podle Čl. II. odst. 2 písm. </w:t>
      </w:r>
      <w:r w:rsidR="00F00D58">
        <w:rPr>
          <w:noProof/>
          <w:szCs w:val="24"/>
          <w:lang w:val="cs-CZ"/>
        </w:rPr>
        <w:t>e</w:t>
      </w:r>
      <w:r>
        <w:rPr>
          <w:noProof/>
          <w:szCs w:val="24"/>
          <w:lang w:val="cs-CZ"/>
        </w:rPr>
        <w:t>) Smlouvy je poskytováno v pracovní době v pracovní dny po dobu platnosti této Smlouvy.</w:t>
      </w:r>
    </w:p>
    <w:p w14:paraId="2E565279" w14:textId="77777777" w:rsidR="0046193C" w:rsidRPr="00F422DC" w:rsidRDefault="00731DA7" w:rsidP="00AD6F0A">
      <w:pPr>
        <w:numPr>
          <w:ilvl w:val="0"/>
          <w:numId w:val="32"/>
        </w:numPr>
        <w:jc w:val="both"/>
        <w:textAlignment w:val="auto"/>
        <w:rPr>
          <w:noProof/>
          <w:szCs w:val="24"/>
          <w:lang w:val="cs-CZ"/>
        </w:rPr>
      </w:pPr>
      <w:r w:rsidRPr="00F422DC">
        <w:rPr>
          <w:szCs w:val="24"/>
          <w:lang w:val="cs-CZ"/>
        </w:rPr>
        <w:lastRenderedPageBreak/>
        <w:t>Plněn</w:t>
      </w:r>
      <w:r w:rsidR="00546687">
        <w:rPr>
          <w:szCs w:val="24"/>
          <w:lang w:val="cs-CZ"/>
        </w:rPr>
        <w:t xml:space="preserve">í podle Čl. II. odst. 2 písm. </w:t>
      </w:r>
      <w:r w:rsidR="00F00D58">
        <w:rPr>
          <w:szCs w:val="24"/>
          <w:lang w:val="cs-CZ"/>
        </w:rPr>
        <w:t>f</w:t>
      </w:r>
      <w:r w:rsidR="00546687">
        <w:rPr>
          <w:szCs w:val="24"/>
          <w:lang w:val="cs-CZ"/>
        </w:rPr>
        <w:t>)</w:t>
      </w:r>
      <w:r w:rsidRPr="00F422DC">
        <w:rPr>
          <w:szCs w:val="24"/>
          <w:lang w:val="cs-CZ"/>
        </w:rPr>
        <w:t xml:space="preserve"> </w:t>
      </w:r>
      <w:r w:rsidR="00E62B66">
        <w:rPr>
          <w:szCs w:val="24"/>
          <w:lang w:val="cs-CZ"/>
        </w:rPr>
        <w:t xml:space="preserve">a </w:t>
      </w:r>
      <w:r w:rsidR="00F00D58">
        <w:rPr>
          <w:szCs w:val="24"/>
          <w:lang w:val="cs-CZ"/>
        </w:rPr>
        <w:t>g</w:t>
      </w:r>
      <w:r w:rsidR="00E62B66">
        <w:rPr>
          <w:szCs w:val="24"/>
          <w:lang w:val="cs-CZ"/>
        </w:rPr>
        <w:t xml:space="preserve">) </w:t>
      </w:r>
      <w:r w:rsidRPr="00F422DC">
        <w:rPr>
          <w:szCs w:val="24"/>
          <w:lang w:val="cs-CZ"/>
        </w:rPr>
        <w:t xml:space="preserve">Smlouvy je poskytováno </w:t>
      </w:r>
      <w:r w:rsidR="00E62B66">
        <w:rPr>
          <w:szCs w:val="24"/>
          <w:lang w:val="cs-CZ"/>
        </w:rPr>
        <w:t>pravidelně 4x do roka</w:t>
      </w:r>
      <w:r w:rsidR="003E56FD">
        <w:rPr>
          <w:szCs w:val="24"/>
          <w:lang w:val="cs-CZ"/>
        </w:rPr>
        <w:t>.</w:t>
      </w:r>
      <w:r w:rsidR="00E62B66">
        <w:rPr>
          <w:szCs w:val="24"/>
          <w:lang w:val="cs-CZ"/>
        </w:rPr>
        <w:t xml:space="preserve"> </w:t>
      </w:r>
      <w:r w:rsidRPr="00F422DC">
        <w:rPr>
          <w:szCs w:val="24"/>
          <w:lang w:val="cs-CZ"/>
        </w:rPr>
        <w:t>U</w:t>
      </w:r>
      <w:r w:rsidR="00E62B66">
        <w:rPr>
          <w:szCs w:val="24"/>
          <w:lang w:val="cs-CZ"/>
        </w:rPr>
        <w:t>pgrade</w:t>
      </w:r>
      <w:r w:rsidRPr="00F422DC">
        <w:rPr>
          <w:szCs w:val="24"/>
          <w:lang w:val="cs-CZ"/>
        </w:rPr>
        <w:t xml:space="preserve"> Systému je realizován formou aktualizace serverové instalace Systému.</w:t>
      </w:r>
    </w:p>
    <w:p w14:paraId="40A6C80B" w14:textId="77777777" w:rsidR="00200E11" w:rsidRPr="00925F12" w:rsidRDefault="0046193C" w:rsidP="00AD6F0A">
      <w:pPr>
        <w:numPr>
          <w:ilvl w:val="0"/>
          <w:numId w:val="32"/>
        </w:numPr>
        <w:jc w:val="both"/>
        <w:textAlignment w:val="auto"/>
        <w:rPr>
          <w:noProof/>
          <w:szCs w:val="24"/>
          <w:lang w:val="cs-CZ"/>
        </w:rPr>
      </w:pPr>
      <w:r w:rsidRPr="00925F12">
        <w:rPr>
          <w:noProof/>
          <w:szCs w:val="24"/>
          <w:lang w:val="cs-CZ"/>
        </w:rPr>
        <w:t xml:space="preserve">Plnění podle Čl II odst. 2, písm. </w:t>
      </w:r>
      <w:r w:rsidR="00F00D58">
        <w:rPr>
          <w:noProof/>
          <w:szCs w:val="24"/>
          <w:lang w:val="cs-CZ"/>
        </w:rPr>
        <w:t>h</w:t>
      </w:r>
      <w:r w:rsidR="00546687">
        <w:rPr>
          <w:noProof/>
          <w:szCs w:val="24"/>
          <w:lang w:val="cs-CZ"/>
        </w:rPr>
        <w:t>)</w:t>
      </w:r>
      <w:r w:rsidRPr="00925F12">
        <w:rPr>
          <w:noProof/>
          <w:szCs w:val="24"/>
          <w:lang w:val="cs-CZ"/>
        </w:rPr>
        <w:t xml:space="preserve"> je poskytováno na základě písemné objednávky </w:t>
      </w:r>
      <w:r w:rsidR="005D12FF" w:rsidRPr="00925F12">
        <w:rPr>
          <w:noProof/>
          <w:szCs w:val="24"/>
          <w:lang w:val="cs-CZ"/>
        </w:rPr>
        <w:t>Objednatele</w:t>
      </w:r>
      <w:r w:rsidR="00670D2B" w:rsidRPr="00925F12">
        <w:rPr>
          <w:noProof/>
          <w:szCs w:val="24"/>
          <w:lang w:val="cs-CZ"/>
        </w:rPr>
        <w:t>.</w:t>
      </w:r>
    </w:p>
    <w:p w14:paraId="595530E6" w14:textId="77777777" w:rsidR="0046193C" w:rsidRPr="00925F12" w:rsidRDefault="0046193C" w:rsidP="00AD6F0A">
      <w:pPr>
        <w:numPr>
          <w:ilvl w:val="0"/>
          <w:numId w:val="32"/>
        </w:numPr>
        <w:jc w:val="both"/>
        <w:textAlignment w:val="auto"/>
        <w:rPr>
          <w:noProof/>
          <w:szCs w:val="24"/>
          <w:lang w:val="cs-CZ"/>
        </w:rPr>
      </w:pPr>
      <w:r w:rsidRPr="00925F12">
        <w:rPr>
          <w:noProof/>
          <w:szCs w:val="24"/>
          <w:lang w:val="cs-CZ"/>
        </w:rPr>
        <w:t>Plnění podle Čl. II odst. 2, pí</w:t>
      </w:r>
      <w:r w:rsidR="003B3736" w:rsidRPr="00925F12">
        <w:rPr>
          <w:noProof/>
          <w:szCs w:val="24"/>
          <w:lang w:val="cs-CZ"/>
        </w:rPr>
        <w:t xml:space="preserve">sm. a) až </w:t>
      </w:r>
      <w:r w:rsidR="00F00D58">
        <w:rPr>
          <w:noProof/>
          <w:szCs w:val="24"/>
          <w:lang w:val="cs-CZ"/>
        </w:rPr>
        <w:t>g</w:t>
      </w:r>
      <w:r w:rsidRPr="00925F12">
        <w:rPr>
          <w:noProof/>
          <w:szCs w:val="24"/>
          <w:lang w:val="cs-CZ"/>
        </w:rPr>
        <w:t>) je poskytováno v rámci měsíční paušální částky stanovené v Čl. V., odst. 1, písm. a).</w:t>
      </w:r>
    </w:p>
    <w:p w14:paraId="3441DEC4" w14:textId="137DEF45" w:rsidR="00F34370" w:rsidRPr="00925F12" w:rsidRDefault="005D12FF" w:rsidP="00AD6F0A">
      <w:pPr>
        <w:numPr>
          <w:ilvl w:val="0"/>
          <w:numId w:val="32"/>
        </w:numPr>
        <w:jc w:val="both"/>
        <w:textAlignment w:val="auto"/>
        <w:rPr>
          <w:noProof/>
          <w:szCs w:val="24"/>
          <w:lang w:val="cs-CZ"/>
        </w:rPr>
      </w:pPr>
      <w:r w:rsidRPr="00925F12">
        <w:rPr>
          <w:noProof/>
          <w:szCs w:val="24"/>
          <w:lang w:val="cs-CZ"/>
        </w:rPr>
        <w:t>Objednatel</w:t>
      </w:r>
      <w:r w:rsidR="00F34370" w:rsidRPr="00925F12">
        <w:rPr>
          <w:noProof/>
          <w:szCs w:val="24"/>
          <w:lang w:val="cs-CZ"/>
        </w:rPr>
        <w:t xml:space="preserve"> uplatňuje svůj požadavek na plnění podle Čl. II, odst. 2, písm. </w:t>
      </w:r>
      <w:r w:rsidR="00F00D58">
        <w:rPr>
          <w:noProof/>
          <w:szCs w:val="24"/>
          <w:lang w:val="cs-CZ"/>
        </w:rPr>
        <w:t>h</w:t>
      </w:r>
      <w:r w:rsidR="00F34370" w:rsidRPr="00925F12">
        <w:rPr>
          <w:noProof/>
          <w:szCs w:val="24"/>
          <w:lang w:val="cs-CZ"/>
        </w:rPr>
        <w:t xml:space="preserve">) písemně </w:t>
      </w:r>
      <w:r w:rsidR="00E11021" w:rsidRPr="00925F12">
        <w:rPr>
          <w:noProof/>
          <w:szCs w:val="24"/>
          <w:lang w:val="cs-CZ"/>
        </w:rPr>
        <w:t xml:space="preserve">e-mailem na adrese </w:t>
      </w:r>
      <w:r w:rsidR="00D96EAB">
        <w:rPr>
          <w:noProof/>
          <w:szCs w:val="24"/>
          <w:lang w:val="cs-CZ"/>
        </w:rPr>
        <w:t>xxxxxx</w:t>
      </w:r>
      <w:r w:rsidR="00E11021" w:rsidRPr="00925F12">
        <w:rPr>
          <w:noProof/>
          <w:szCs w:val="24"/>
          <w:lang w:val="cs-CZ"/>
        </w:rPr>
        <w:t>.</w:t>
      </w:r>
      <w:r w:rsidR="00F34370" w:rsidRPr="00925F12">
        <w:rPr>
          <w:noProof/>
          <w:szCs w:val="24"/>
          <w:lang w:val="cs-CZ"/>
        </w:rPr>
        <w:t xml:space="preserve"> Poskytovatel</w:t>
      </w:r>
      <w:r w:rsidR="007F0A7E" w:rsidRPr="00925F12">
        <w:rPr>
          <w:noProof/>
          <w:szCs w:val="24"/>
          <w:lang w:val="cs-CZ"/>
        </w:rPr>
        <w:t xml:space="preserve"> přijetí požadavku potvrdí</w:t>
      </w:r>
      <w:r w:rsidR="00E11021" w:rsidRPr="00925F12">
        <w:rPr>
          <w:noProof/>
          <w:szCs w:val="24"/>
          <w:lang w:val="cs-CZ"/>
        </w:rPr>
        <w:t xml:space="preserve"> písemně e-mailem</w:t>
      </w:r>
      <w:r w:rsidR="007F0A7E" w:rsidRPr="00925F12">
        <w:rPr>
          <w:noProof/>
          <w:szCs w:val="24"/>
          <w:lang w:val="cs-CZ"/>
        </w:rPr>
        <w:t xml:space="preserve">. Poskytovatel nejpozději do </w:t>
      </w:r>
      <w:r w:rsidR="002E33CD">
        <w:rPr>
          <w:noProof/>
          <w:szCs w:val="24"/>
          <w:lang w:val="cs-CZ"/>
        </w:rPr>
        <w:t>pěti</w:t>
      </w:r>
      <w:r w:rsidR="0097292C" w:rsidRPr="00925F12">
        <w:rPr>
          <w:noProof/>
          <w:szCs w:val="24"/>
          <w:lang w:val="cs-CZ"/>
        </w:rPr>
        <w:t xml:space="preserve"> (</w:t>
      </w:r>
      <w:r w:rsidR="002E33CD">
        <w:rPr>
          <w:noProof/>
          <w:szCs w:val="24"/>
          <w:lang w:val="cs-CZ"/>
        </w:rPr>
        <w:t>5</w:t>
      </w:r>
      <w:r w:rsidR="0097292C" w:rsidRPr="00925F12">
        <w:rPr>
          <w:noProof/>
          <w:szCs w:val="24"/>
          <w:lang w:val="cs-CZ"/>
        </w:rPr>
        <w:t>) pracovních dnů</w:t>
      </w:r>
      <w:r w:rsidR="007F0A7E" w:rsidRPr="00925F12">
        <w:rPr>
          <w:noProof/>
          <w:szCs w:val="24"/>
          <w:lang w:val="cs-CZ"/>
        </w:rPr>
        <w:t xml:space="preserve"> od doručení požadavku vyrozumí </w:t>
      </w:r>
      <w:r w:rsidRPr="00925F12">
        <w:rPr>
          <w:noProof/>
          <w:szCs w:val="24"/>
          <w:lang w:val="cs-CZ"/>
        </w:rPr>
        <w:t>Objednatele</w:t>
      </w:r>
      <w:r w:rsidR="007F0A7E" w:rsidRPr="00925F12">
        <w:rPr>
          <w:noProof/>
          <w:szCs w:val="24"/>
          <w:lang w:val="cs-CZ"/>
        </w:rPr>
        <w:t xml:space="preserve"> o navrhovaném způsobu vyřešení požadavku a</w:t>
      </w:r>
      <w:r w:rsidR="0097292C" w:rsidRPr="00925F12">
        <w:rPr>
          <w:noProof/>
          <w:szCs w:val="24"/>
          <w:lang w:val="cs-CZ"/>
        </w:rPr>
        <w:t xml:space="preserve"> společně dohodnou další postup</w:t>
      </w:r>
      <w:r w:rsidR="007F0A7E" w:rsidRPr="00925F12">
        <w:rPr>
          <w:noProof/>
          <w:szCs w:val="24"/>
          <w:lang w:val="cs-CZ"/>
        </w:rPr>
        <w:t>.</w:t>
      </w:r>
    </w:p>
    <w:p w14:paraId="5E0BDEAA" w14:textId="77777777" w:rsidR="00200E11" w:rsidRPr="00925F12" w:rsidRDefault="00200E11" w:rsidP="00AD6F0A">
      <w:pPr>
        <w:numPr>
          <w:ilvl w:val="0"/>
          <w:numId w:val="32"/>
        </w:numPr>
        <w:jc w:val="both"/>
        <w:textAlignment w:val="auto"/>
        <w:rPr>
          <w:noProof/>
          <w:szCs w:val="24"/>
          <w:lang w:val="cs-CZ"/>
        </w:rPr>
      </w:pPr>
      <w:r w:rsidRPr="00925F12">
        <w:rPr>
          <w:noProof/>
          <w:szCs w:val="24"/>
          <w:lang w:val="cs-CZ"/>
        </w:rPr>
        <w:t xml:space="preserve">Dobou odezvy se rozumí doba, která uplyne od nahlášení problému/požadavku </w:t>
      </w:r>
      <w:r w:rsidR="000521DD" w:rsidRPr="00925F12">
        <w:rPr>
          <w:noProof/>
          <w:szCs w:val="24"/>
          <w:lang w:val="cs-CZ"/>
        </w:rPr>
        <w:t>Objednatelem</w:t>
      </w:r>
      <w:r w:rsidRPr="00925F12">
        <w:rPr>
          <w:noProof/>
          <w:szCs w:val="24"/>
          <w:lang w:val="cs-CZ"/>
        </w:rPr>
        <w:t xml:space="preserve"> do doby, kdy Poskytovatel započne s řešením daného problému/požadavku.</w:t>
      </w:r>
      <w:r w:rsidR="003A032A" w:rsidRPr="00925F12">
        <w:rPr>
          <w:noProof/>
          <w:szCs w:val="24"/>
          <w:lang w:val="cs-CZ"/>
        </w:rPr>
        <w:t xml:space="preserve"> </w:t>
      </w:r>
      <w:r w:rsidR="00EE7227">
        <w:rPr>
          <w:noProof/>
          <w:szCs w:val="24"/>
          <w:lang w:val="cs-CZ"/>
        </w:rPr>
        <w:t>Pro účely této Smlouvy se pracovní dobou rozumín čas mezi 8.00 – 16.30 hodin v pracovní den.</w:t>
      </w:r>
    </w:p>
    <w:p w14:paraId="086A1B51" w14:textId="77777777" w:rsidR="00DD7DB8" w:rsidRPr="00925F12" w:rsidRDefault="00DD7DB8" w:rsidP="00AD6F0A">
      <w:pPr>
        <w:numPr>
          <w:ilvl w:val="0"/>
          <w:numId w:val="32"/>
        </w:numPr>
        <w:jc w:val="both"/>
        <w:textAlignment w:val="auto"/>
        <w:rPr>
          <w:noProof/>
          <w:szCs w:val="24"/>
          <w:lang w:val="cs-CZ"/>
        </w:rPr>
      </w:pPr>
      <w:r w:rsidRPr="00925F12">
        <w:rPr>
          <w:noProof/>
          <w:szCs w:val="24"/>
          <w:lang w:val="cs-CZ"/>
        </w:rPr>
        <w:t xml:space="preserve">Způsob kontaktování technické podpory ze strany </w:t>
      </w:r>
      <w:r w:rsidR="000521DD" w:rsidRPr="00925F12">
        <w:rPr>
          <w:noProof/>
          <w:szCs w:val="24"/>
          <w:lang w:val="cs-CZ"/>
        </w:rPr>
        <w:t>Objednatele</w:t>
      </w:r>
      <w:r w:rsidR="004C6E68" w:rsidRPr="00925F12">
        <w:rPr>
          <w:noProof/>
          <w:szCs w:val="24"/>
          <w:lang w:val="cs-CZ"/>
        </w:rPr>
        <w:t xml:space="preserve"> a vymezení pojmů</w:t>
      </w:r>
      <w:r w:rsidRPr="00925F12">
        <w:rPr>
          <w:noProof/>
          <w:szCs w:val="24"/>
          <w:lang w:val="cs-CZ"/>
        </w:rPr>
        <w:t xml:space="preserve"> je uveden</w:t>
      </w:r>
      <w:r w:rsidR="004C6E68" w:rsidRPr="00925F12">
        <w:rPr>
          <w:noProof/>
          <w:szCs w:val="24"/>
          <w:lang w:val="cs-CZ"/>
        </w:rPr>
        <w:t>o</w:t>
      </w:r>
      <w:r w:rsidRPr="00925F12">
        <w:rPr>
          <w:noProof/>
          <w:szCs w:val="24"/>
          <w:lang w:val="cs-CZ"/>
        </w:rPr>
        <w:t xml:space="preserve"> v </w:t>
      </w:r>
      <w:r w:rsidR="00E81D91" w:rsidRPr="00925F12">
        <w:rPr>
          <w:noProof/>
          <w:szCs w:val="24"/>
          <w:lang w:val="cs-CZ"/>
        </w:rPr>
        <w:t>P</w:t>
      </w:r>
      <w:r w:rsidR="006311A4">
        <w:rPr>
          <w:noProof/>
          <w:szCs w:val="24"/>
          <w:lang w:val="cs-CZ"/>
        </w:rPr>
        <w:t>říloze č. 2</w:t>
      </w:r>
      <w:r w:rsidR="0032234F" w:rsidRPr="00925F12">
        <w:rPr>
          <w:noProof/>
          <w:szCs w:val="24"/>
          <w:lang w:val="cs-CZ"/>
        </w:rPr>
        <w:t xml:space="preserve"> této S</w:t>
      </w:r>
      <w:r w:rsidRPr="00925F12">
        <w:rPr>
          <w:noProof/>
          <w:szCs w:val="24"/>
          <w:lang w:val="cs-CZ"/>
        </w:rPr>
        <w:t>mlouvy</w:t>
      </w:r>
      <w:r w:rsidR="00E81D91" w:rsidRPr="00925F12">
        <w:rPr>
          <w:noProof/>
          <w:szCs w:val="24"/>
          <w:lang w:val="cs-CZ"/>
        </w:rPr>
        <w:t>.</w:t>
      </w:r>
    </w:p>
    <w:p w14:paraId="69A6BA0E" w14:textId="77777777" w:rsidR="00F70B1C" w:rsidRPr="00925F12" w:rsidRDefault="00F70B1C" w:rsidP="00AD6F0A">
      <w:pPr>
        <w:numPr>
          <w:ilvl w:val="0"/>
          <w:numId w:val="32"/>
        </w:numPr>
        <w:jc w:val="both"/>
        <w:textAlignment w:val="auto"/>
        <w:rPr>
          <w:noProof/>
          <w:szCs w:val="24"/>
          <w:lang w:val="cs-CZ"/>
        </w:rPr>
      </w:pPr>
      <w:r w:rsidRPr="00925F12">
        <w:rPr>
          <w:noProof/>
          <w:szCs w:val="24"/>
          <w:lang w:val="cs-CZ"/>
        </w:rPr>
        <w:t>Poruchou předmětné služby není:</w:t>
      </w:r>
    </w:p>
    <w:p w14:paraId="3C3C9DCD" w14:textId="77777777" w:rsidR="00F70B1C" w:rsidRPr="00464BAC" w:rsidRDefault="00F70B1C" w:rsidP="00F70B1C">
      <w:pPr>
        <w:numPr>
          <w:ilvl w:val="0"/>
          <w:numId w:val="27"/>
        </w:numPr>
        <w:spacing w:before="60" w:line="240" w:lineRule="atLeast"/>
        <w:ind w:left="1418" w:hanging="567"/>
        <w:jc w:val="both"/>
        <w:rPr>
          <w:noProof/>
          <w:szCs w:val="24"/>
          <w:lang w:val="cs-CZ"/>
        </w:rPr>
      </w:pPr>
      <w:r w:rsidRPr="00464BAC">
        <w:rPr>
          <w:noProof/>
          <w:szCs w:val="24"/>
          <w:lang w:val="cs-CZ"/>
        </w:rPr>
        <w:t>porucha služby vzniklá za okolností vylučující odpovědnost (vyšší moc)</w:t>
      </w:r>
      <w:r w:rsidR="00464BAC">
        <w:rPr>
          <w:noProof/>
          <w:szCs w:val="24"/>
          <w:lang w:val="cs-CZ"/>
        </w:rPr>
        <w:t>,</w:t>
      </w:r>
    </w:p>
    <w:p w14:paraId="7C7E9ED4" w14:textId="77777777" w:rsidR="00F70B1C" w:rsidRPr="00925F12" w:rsidRDefault="00F70B1C" w:rsidP="00F70B1C">
      <w:pPr>
        <w:numPr>
          <w:ilvl w:val="0"/>
          <w:numId w:val="27"/>
        </w:numPr>
        <w:spacing w:before="60" w:line="240" w:lineRule="atLeast"/>
        <w:ind w:left="1418" w:hanging="567"/>
        <w:jc w:val="both"/>
        <w:rPr>
          <w:noProof/>
          <w:szCs w:val="24"/>
          <w:lang w:val="cs-CZ"/>
        </w:rPr>
      </w:pPr>
      <w:r w:rsidRPr="00464BAC">
        <w:rPr>
          <w:noProof/>
          <w:szCs w:val="24"/>
          <w:lang w:val="cs-CZ"/>
        </w:rPr>
        <w:t>plánovaná, Objednateli předem oznámená a Objednatelem odsouhlasená</w:t>
      </w:r>
      <w:r w:rsidRPr="00925F12">
        <w:rPr>
          <w:noProof/>
          <w:szCs w:val="24"/>
          <w:lang w:val="cs-CZ"/>
        </w:rPr>
        <w:t xml:space="preserve"> odstávka </w:t>
      </w:r>
      <w:r w:rsidR="00A462A0" w:rsidRPr="00925F12">
        <w:rPr>
          <w:noProof/>
          <w:szCs w:val="24"/>
          <w:lang w:val="cs-CZ"/>
        </w:rPr>
        <w:t>Systému</w:t>
      </w:r>
      <w:r w:rsidRPr="00925F12">
        <w:rPr>
          <w:noProof/>
          <w:szCs w:val="24"/>
          <w:lang w:val="cs-CZ"/>
        </w:rPr>
        <w:t xml:space="preserve"> z důvodu aktualizace operačních systémů, aplikace opravných patchů operačních systémů, případně z důvodu aktualizace programového vybavení,</w:t>
      </w:r>
    </w:p>
    <w:p w14:paraId="20A037A9" w14:textId="77777777" w:rsidR="00F70B1C" w:rsidRPr="00925F12" w:rsidRDefault="00F70B1C" w:rsidP="00F70B1C">
      <w:pPr>
        <w:numPr>
          <w:ilvl w:val="0"/>
          <w:numId w:val="27"/>
        </w:numPr>
        <w:spacing w:before="60" w:line="240" w:lineRule="atLeast"/>
        <w:ind w:left="1418" w:hanging="567"/>
        <w:jc w:val="both"/>
        <w:rPr>
          <w:noProof/>
          <w:szCs w:val="24"/>
          <w:lang w:val="cs-CZ"/>
        </w:rPr>
      </w:pPr>
      <w:r w:rsidRPr="00925F12">
        <w:rPr>
          <w:noProof/>
          <w:szCs w:val="24"/>
          <w:lang w:val="cs-CZ"/>
        </w:rPr>
        <w:t>porucha připojení k síti internet na straně Objednatele</w:t>
      </w:r>
      <w:r w:rsidR="00A462A0" w:rsidRPr="00925F12">
        <w:rPr>
          <w:noProof/>
          <w:szCs w:val="24"/>
          <w:lang w:val="cs-CZ"/>
        </w:rPr>
        <w:t>,</w:t>
      </w:r>
    </w:p>
    <w:p w14:paraId="3D83FF9F" w14:textId="77777777" w:rsidR="00A462A0" w:rsidRPr="00925F12" w:rsidRDefault="00A462A0" w:rsidP="00A462A0">
      <w:pPr>
        <w:numPr>
          <w:ilvl w:val="0"/>
          <w:numId w:val="27"/>
        </w:numPr>
        <w:spacing w:before="60" w:line="240" w:lineRule="atLeast"/>
        <w:ind w:left="1418" w:hanging="567"/>
        <w:jc w:val="both"/>
        <w:rPr>
          <w:noProof/>
          <w:szCs w:val="24"/>
          <w:lang w:val="cs-CZ"/>
        </w:rPr>
      </w:pPr>
      <w:r w:rsidRPr="00925F12">
        <w:rPr>
          <w:noProof/>
          <w:szCs w:val="24"/>
          <w:lang w:val="cs-CZ"/>
        </w:rPr>
        <w:t>odstávka prováděná na žádost Objednatele a výpadky způsobené Objednatelem,</w:t>
      </w:r>
    </w:p>
    <w:p w14:paraId="0BF25D91" w14:textId="77777777" w:rsidR="00A462A0" w:rsidRPr="00925F12" w:rsidRDefault="00A462A0" w:rsidP="00A462A0">
      <w:pPr>
        <w:numPr>
          <w:ilvl w:val="0"/>
          <w:numId w:val="27"/>
        </w:numPr>
        <w:spacing w:before="60" w:line="240" w:lineRule="atLeast"/>
        <w:ind w:left="1418" w:hanging="567"/>
        <w:jc w:val="both"/>
        <w:rPr>
          <w:noProof/>
          <w:szCs w:val="24"/>
          <w:lang w:val="cs-CZ"/>
        </w:rPr>
      </w:pPr>
      <w:r w:rsidRPr="00925F12">
        <w:rPr>
          <w:noProof/>
          <w:szCs w:val="24"/>
          <w:lang w:val="cs-CZ"/>
        </w:rPr>
        <w:t>nedostupnost způsobená nefunkčností služeb třetích stran využívaných k poskytování služby (zejména poskytovatelé telekomunikačních služeb, apod.).</w:t>
      </w:r>
    </w:p>
    <w:p w14:paraId="6BFC3F3E" w14:textId="77777777" w:rsidR="00200E11" w:rsidRPr="00925F12" w:rsidRDefault="00200E11" w:rsidP="00032326">
      <w:pPr>
        <w:spacing w:before="240"/>
        <w:jc w:val="center"/>
        <w:rPr>
          <w:b/>
          <w:noProof/>
          <w:szCs w:val="24"/>
          <w:lang w:val="cs-CZ"/>
        </w:rPr>
      </w:pPr>
      <w:r w:rsidRPr="00925F12">
        <w:rPr>
          <w:b/>
          <w:noProof/>
          <w:szCs w:val="24"/>
          <w:lang w:val="cs-CZ"/>
        </w:rPr>
        <w:t>V.</w:t>
      </w:r>
      <w:r w:rsidRPr="00925F12">
        <w:rPr>
          <w:b/>
          <w:noProof/>
          <w:szCs w:val="24"/>
          <w:lang w:val="cs-CZ"/>
        </w:rPr>
        <w:br/>
        <w:t>Cena plnění a platební podmínky</w:t>
      </w:r>
    </w:p>
    <w:p w14:paraId="471316DF" w14:textId="77777777" w:rsidR="00200E11" w:rsidRPr="00925F12" w:rsidRDefault="00200E11" w:rsidP="009C32E5">
      <w:pPr>
        <w:numPr>
          <w:ilvl w:val="0"/>
          <w:numId w:val="29"/>
        </w:numPr>
        <w:tabs>
          <w:tab w:val="clear" w:pos="720"/>
          <w:tab w:val="num" w:pos="426"/>
        </w:tabs>
        <w:spacing w:line="240" w:lineRule="atLeast"/>
        <w:ind w:left="426" w:hanging="426"/>
        <w:jc w:val="both"/>
        <w:rPr>
          <w:noProof/>
          <w:szCs w:val="24"/>
          <w:lang w:val="cs-CZ"/>
        </w:rPr>
      </w:pPr>
      <w:r w:rsidRPr="00925F12">
        <w:rPr>
          <w:noProof/>
          <w:szCs w:val="24"/>
          <w:lang w:val="cs-CZ"/>
        </w:rPr>
        <w:t>Obě strany se dohodly, že:</w:t>
      </w:r>
    </w:p>
    <w:p w14:paraId="426151D6" w14:textId="77777777" w:rsidR="00200E11" w:rsidRPr="00925F12" w:rsidRDefault="00200E11" w:rsidP="009C32E5">
      <w:pPr>
        <w:numPr>
          <w:ilvl w:val="1"/>
          <w:numId w:val="29"/>
        </w:numPr>
        <w:spacing w:before="60" w:line="240" w:lineRule="atLeast"/>
        <w:ind w:left="1418" w:hanging="567"/>
        <w:jc w:val="both"/>
        <w:rPr>
          <w:noProof/>
          <w:szCs w:val="24"/>
          <w:lang w:val="cs-CZ"/>
        </w:rPr>
      </w:pPr>
      <w:r w:rsidRPr="00925F12">
        <w:rPr>
          <w:noProof/>
          <w:szCs w:val="24"/>
          <w:lang w:val="cs-CZ"/>
        </w:rPr>
        <w:t xml:space="preserve">Za poskytnutá plnění podle Čl. II. odst. 2. písm. </w:t>
      </w:r>
      <w:r w:rsidR="009067A8" w:rsidRPr="00925F12">
        <w:rPr>
          <w:noProof/>
          <w:szCs w:val="24"/>
          <w:lang w:val="cs-CZ"/>
        </w:rPr>
        <w:t xml:space="preserve">a) až </w:t>
      </w:r>
      <w:r w:rsidR="00F00D58">
        <w:rPr>
          <w:noProof/>
          <w:szCs w:val="24"/>
          <w:lang w:val="cs-CZ"/>
        </w:rPr>
        <w:t>g</w:t>
      </w:r>
      <w:r w:rsidR="009067A8" w:rsidRPr="00925F12">
        <w:rPr>
          <w:noProof/>
          <w:szCs w:val="24"/>
          <w:lang w:val="cs-CZ"/>
        </w:rPr>
        <w:t xml:space="preserve">) </w:t>
      </w:r>
      <w:r w:rsidRPr="00925F12">
        <w:rPr>
          <w:noProof/>
          <w:szCs w:val="24"/>
          <w:lang w:val="cs-CZ"/>
        </w:rPr>
        <w:t xml:space="preserve">zaplatí </w:t>
      </w:r>
      <w:r w:rsidR="00AC309C" w:rsidRPr="00925F12">
        <w:rPr>
          <w:noProof/>
          <w:szCs w:val="24"/>
          <w:lang w:val="cs-CZ"/>
        </w:rPr>
        <w:t>Objednatel</w:t>
      </w:r>
      <w:r w:rsidRPr="00925F12">
        <w:rPr>
          <w:noProof/>
          <w:szCs w:val="24"/>
          <w:lang w:val="cs-CZ"/>
        </w:rPr>
        <w:t xml:space="preserve"> Poskytovateli paušální </w:t>
      </w:r>
      <w:r w:rsidR="00DA324B" w:rsidRPr="00925F12">
        <w:rPr>
          <w:noProof/>
          <w:szCs w:val="24"/>
          <w:lang w:val="cs-CZ"/>
        </w:rPr>
        <w:t>měsíční</w:t>
      </w:r>
      <w:r w:rsidRPr="00925F12">
        <w:rPr>
          <w:noProof/>
          <w:szCs w:val="24"/>
          <w:lang w:val="cs-CZ"/>
        </w:rPr>
        <w:t xml:space="preserve"> částku ve výši </w:t>
      </w:r>
      <w:r w:rsidR="00BF1F82">
        <w:rPr>
          <w:noProof/>
          <w:szCs w:val="24"/>
          <w:lang w:val="cs-CZ"/>
        </w:rPr>
        <w:t>7</w:t>
      </w:r>
      <w:r w:rsidR="00F00D58">
        <w:rPr>
          <w:noProof/>
          <w:szCs w:val="24"/>
          <w:lang w:val="cs-CZ"/>
        </w:rPr>
        <w:t>.500</w:t>
      </w:r>
      <w:r w:rsidR="000F40FF" w:rsidRPr="00925F12">
        <w:rPr>
          <w:noProof/>
          <w:szCs w:val="24"/>
          <w:lang w:val="cs-CZ"/>
        </w:rPr>
        <w:t xml:space="preserve">,- </w:t>
      </w:r>
      <w:r w:rsidR="00A5649A" w:rsidRPr="00925F12">
        <w:rPr>
          <w:noProof/>
          <w:szCs w:val="24"/>
          <w:lang w:val="cs-CZ"/>
        </w:rPr>
        <w:t xml:space="preserve">Kč </w:t>
      </w:r>
      <w:r w:rsidRPr="00925F12">
        <w:rPr>
          <w:noProof/>
          <w:szCs w:val="24"/>
          <w:lang w:val="cs-CZ"/>
        </w:rPr>
        <w:t>bez DPH, která bude účtována v zákonné výši.</w:t>
      </w:r>
      <w:r w:rsidR="003E4B43" w:rsidRPr="00925F12">
        <w:rPr>
          <w:noProof/>
          <w:szCs w:val="24"/>
          <w:lang w:val="cs-CZ"/>
        </w:rPr>
        <w:t xml:space="preserve"> Tato cena zahrnuje</w:t>
      </w:r>
      <w:r w:rsidR="003E4B43" w:rsidRPr="00925F12">
        <w:rPr>
          <w:noProof/>
          <w:lang w:val="cs-CZ"/>
        </w:rPr>
        <w:t xml:space="preserve"> již veškeré náklady Poskytovatele souvisejících s plněním </w:t>
      </w:r>
      <w:r w:rsidR="00AC309C" w:rsidRPr="00925F12">
        <w:rPr>
          <w:noProof/>
          <w:lang w:val="cs-CZ"/>
        </w:rPr>
        <w:t>předmětu Smlouvy, není-li uvedeno jinak</w:t>
      </w:r>
      <w:r w:rsidR="003E4B43" w:rsidRPr="00925F12">
        <w:rPr>
          <w:noProof/>
          <w:lang w:val="cs-CZ"/>
        </w:rPr>
        <w:t>.</w:t>
      </w:r>
    </w:p>
    <w:p w14:paraId="2A8D5D01" w14:textId="77777777" w:rsidR="00200E11" w:rsidRPr="00925F12" w:rsidRDefault="000F40FF" w:rsidP="009C32E5">
      <w:pPr>
        <w:numPr>
          <w:ilvl w:val="1"/>
          <w:numId w:val="29"/>
        </w:numPr>
        <w:spacing w:before="60" w:line="240" w:lineRule="atLeast"/>
        <w:ind w:left="1418" w:hanging="567"/>
        <w:jc w:val="both"/>
        <w:rPr>
          <w:noProof/>
          <w:szCs w:val="24"/>
          <w:lang w:val="cs-CZ"/>
        </w:rPr>
      </w:pPr>
      <w:r w:rsidRPr="00925F12">
        <w:rPr>
          <w:noProof/>
          <w:szCs w:val="24"/>
          <w:lang w:val="cs-CZ"/>
        </w:rPr>
        <w:t>Cena</w:t>
      </w:r>
      <w:r w:rsidR="00200E11" w:rsidRPr="00925F12">
        <w:rPr>
          <w:noProof/>
          <w:szCs w:val="24"/>
          <w:lang w:val="cs-CZ"/>
        </w:rPr>
        <w:t xml:space="preserve"> za plnění podle čl. II. odst. 2. písm. </w:t>
      </w:r>
      <w:r w:rsidR="00F00D58">
        <w:rPr>
          <w:noProof/>
          <w:szCs w:val="24"/>
          <w:lang w:val="cs-CZ"/>
        </w:rPr>
        <w:t>h</w:t>
      </w:r>
      <w:r w:rsidR="005E7B08" w:rsidRPr="00925F12">
        <w:rPr>
          <w:noProof/>
          <w:szCs w:val="24"/>
          <w:lang w:val="cs-CZ"/>
        </w:rPr>
        <w:t>)</w:t>
      </w:r>
      <w:r w:rsidR="00CA36CD" w:rsidRPr="00925F12">
        <w:rPr>
          <w:noProof/>
          <w:szCs w:val="24"/>
          <w:lang w:val="cs-CZ"/>
        </w:rPr>
        <w:t xml:space="preserve"> </w:t>
      </w:r>
      <w:r w:rsidR="00164037">
        <w:rPr>
          <w:noProof/>
          <w:szCs w:val="24"/>
          <w:lang w:val="cs-CZ"/>
        </w:rPr>
        <w:t>bude sjednána dohodou Smluvních stran</w:t>
      </w:r>
      <w:r w:rsidR="00566698" w:rsidRPr="00925F12">
        <w:rPr>
          <w:noProof/>
          <w:szCs w:val="24"/>
          <w:lang w:val="cs-CZ"/>
        </w:rPr>
        <w:t>.</w:t>
      </w:r>
    </w:p>
    <w:p w14:paraId="0C35B62D" w14:textId="77777777" w:rsidR="00200E11" w:rsidRPr="00925F12" w:rsidRDefault="00200E11" w:rsidP="009C32E5">
      <w:pPr>
        <w:numPr>
          <w:ilvl w:val="0"/>
          <w:numId w:val="29"/>
        </w:numPr>
        <w:tabs>
          <w:tab w:val="clear" w:pos="720"/>
          <w:tab w:val="num" w:pos="426"/>
        </w:tabs>
        <w:spacing w:line="240" w:lineRule="atLeast"/>
        <w:ind w:left="426" w:hanging="426"/>
        <w:jc w:val="both"/>
        <w:rPr>
          <w:noProof/>
          <w:szCs w:val="24"/>
          <w:lang w:val="cs-CZ"/>
        </w:rPr>
      </w:pPr>
      <w:r w:rsidRPr="00925F12">
        <w:rPr>
          <w:noProof/>
          <w:szCs w:val="24"/>
          <w:lang w:val="cs-CZ"/>
        </w:rPr>
        <w:t>Smluvní strany souhlasí s tím, že ceny za plnění dle této Smlouvy mohou být po vzájemné dohodě obou smluvních stran stanoveny dodatkem k této Smlouvě.</w:t>
      </w:r>
    </w:p>
    <w:p w14:paraId="039A826A" w14:textId="77777777" w:rsidR="00200E11" w:rsidRPr="00925F12" w:rsidRDefault="008B319A" w:rsidP="009C32E5">
      <w:pPr>
        <w:numPr>
          <w:ilvl w:val="0"/>
          <w:numId w:val="29"/>
        </w:numPr>
        <w:tabs>
          <w:tab w:val="clear" w:pos="720"/>
          <w:tab w:val="num" w:pos="426"/>
        </w:tabs>
        <w:spacing w:line="240" w:lineRule="atLeast"/>
        <w:ind w:left="426" w:hanging="426"/>
        <w:jc w:val="both"/>
        <w:rPr>
          <w:noProof/>
          <w:szCs w:val="24"/>
          <w:lang w:val="cs-CZ"/>
        </w:rPr>
      </w:pPr>
      <w:r w:rsidRPr="00925F12">
        <w:rPr>
          <w:noProof/>
          <w:szCs w:val="24"/>
          <w:lang w:val="cs-CZ"/>
        </w:rPr>
        <w:t>Objednatel</w:t>
      </w:r>
      <w:r w:rsidR="00200E11" w:rsidRPr="00925F12">
        <w:rPr>
          <w:noProof/>
          <w:szCs w:val="24"/>
          <w:lang w:val="cs-CZ"/>
        </w:rPr>
        <w:t xml:space="preserve"> uhradí Poskytovateli cenu plnění dle odst. 1. písm. a</w:t>
      </w:r>
      <w:r w:rsidR="00F00D58">
        <w:rPr>
          <w:noProof/>
          <w:szCs w:val="24"/>
          <w:lang w:val="cs-CZ"/>
        </w:rPr>
        <w:t>)</w:t>
      </w:r>
      <w:r w:rsidR="00831A0B" w:rsidRPr="00925F12">
        <w:rPr>
          <w:noProof/>
          <w:szCs w:val="24"/>
          <w:lang w:val="cs-CZ"/>
        </w:rPr>
        <w:t xml:space="preserve"> </w:t>
      </w:r>
      <w:r w:rsidR="00200E11" w:rsidRPr="00925F12">
        <w:rPr>
          <w:noProof/>
          <w:szCs w:val="24"/>
          <w:lang w:val="cs-CZ"/>
        </w:rPr>
        <w:t>tohoto článku vždy na základě faktury</w:t>
      </w:r>
      <w:r w:rsidR="00941586" w:rsidRPr="00925F12">
        <w:rPr>
          <w:noProof/>
          <w:szCs w:val="24"/>
          <w:lang w:val="cs-CZ"/>
        </w:rPr>
        <w:t xml:space="preserve"> Poskytovatele</w:t>
      </w:r>
      <w:r w:rsidR="00797A5B" w:rsidRPr="00925F12">
        <w:rPr>
          <w:noProof/>
          <w:szCs w:val="24"/>
          <w:lang w:val="cs-CZ"/>
        </w:rPr>
        <w:t>.</w:t>
      </w:r>
    </w:p>
    <w:p w14:paraId="5989DA79" w14:textId="77777777" w:rsidR="00797A5B" w:rsidRPr="00925F12" w:rsidRDefault="00797A5B" w:rsidP="009C32E5">
      <w:pPr>
        <w:numPr>
          <w:ilvl w:val="0"/>
          <w:numId w:val="29"/>
        </w:numPr>
        <w:tabs>
          <w:tab w:val="clear" w:pos="720"/>
          <w:tab w:val="num" w:pos="426"/>
        </w:tabs>
        <w:spacing w:line="240" w:lineRule="atLeast"/>
        <w:ind w:left="426" w:hanging="426"/>
        <w:jc w:val="both"/>
        <w:rPr>
          <w:noProof/>
          <w:szCs w:val="24"/>
          <w:lang w:val="cs-CZ"/>
        </w:rPr>
      </w:pPr>
      <w:r w:rsidRPr="00925F12">
        <w:rPr>
          <w:noProof/>
          <w:szCs w:val="24"/>
          <w:lang w:val="cs-CZ"/>
        </w:rPr>
        <w:t>Fakturu na c</w:t>
      </w:r>
      <w:r w:rsidR="00663731">
        <w:rPr>
          <w:noProof/>
          <w:szCs w:val="24"/>
          <w:lang w:val="cs-CZ"/>
        </w:rPr>
        <w:t>enu plnění dle odst. 1. písm. a)</w:t>
      </w:r>
      <w:r w:rsidRPr="00925F12">
        <w:rPr>
          <w:noProof/>
          <w:szCs w:val="24"/>
          <w:lang w:val="cs-CZ"/>
        </w:rPr>
        <w:t xml:space="preserve"> tohoto článku Smlouvy je Poskytovatel oprávněn vystavit vždy </w:t>
      </w:r>
      <w:r w:rsidR="00A651DD" w:rsidRPr="00925F12">
        <w:rPr>
          <w:noProof/>
          <w:szCs w:val="24"/>
          <w:lang w:val="cs-CZ"/>
        </w:rPr>
        <w:t>konci</w:t>
      </w:r>
      <w:r w:rsidRPr="00925F12">
        <w:rPr>
          <w:noProof/>
          <w:szCs w:val="24"/>
          <w:lang w:val="cs-CZ"/>
        </w:rPr>
        <w:t xml:space="preserve"> kalendářní</w:t>
      </w:r>
      <w:r w:rsidR="00A651DD" w:rsidRPr="00925F12">
        <w:rPr>
          <w:noProof/>
          <w:szCs w:val="24"/>
          <w:lang w:val="cs-CZ"/>
        </w:rPr>
        <w:t>ho měsíce, kterého se plnění Smlouvy týká</w:t>
      </w:r>
      <w:r w:rsidRPr="00925F12">
        <w:rPr>
          <w:noProof/>
          <w:szCs w:val="24"/>
          <w:lang w:val="cs-CZ"/>
        </w:rPr>
        <w:t>.</w:t>
      </w:r>
      <w:r w:rsidR="005972DB" w:rsidRPr="00925F12">
        <w:rPr>
          <w:noProof/>
          <w:szCs w:val="24"/>
          <w:lang w:val="cs-CZ"/>
        </w:rPr>
        <w:t xml:space="preserve"> První faktura bude vystavena za měsíc </w:t>
      </w:r>
      <w:r w:rsidR="00BF1F82">
        <w:rPr>
          <w:noProof/>
          <w:szCs w:val="24"/>
          <w:lang w:val="cs-CZ"/>
        </w:rPr>
        <w:t>únor 2025</w:t>
      </w:r>
      <w:r w:rsidR="005972DB" w:rsidRPr="00925F12">
        <w:rPr>
          <w:noProof/>
          <w:szCs w:val="24"/>
          <w:lang w:val="cs-CZ"/>
        </w:rPr>
        <w:t>.</w:t>
      </w:r>
    </w:p>
    <w:p w14:paraId="188F361E" w14:textId="77777777" w:rsidR="00200E11" w:rsidRPr="00925F12" w:rsidRDefault="00200E11" w:rsidP="009C32E5">
      <w:pPr>
        <w:numPr>
          <w:ilvl w:val="0"/>
          <w:numId w:val="29"/>
        </w:numPr>
        <w:tabs>
          <w:tab w:val="clear" w:pos="720"/>
          <w:tab w:val="num" w:pos="426"/>
        </w:tabs>
        <w:spacing w:line="240" w:lineRule="atLeast"/>
        <w:ind w:left="426" w:hanging="426"/>
        <w:jc w:val="both"/>
        <w:rPr>
          <w:noProof/>
          <w:szCs w:val="24"/>
          <w:lang w:val="cs-CZ"/>
        </w:rPr>
      </w:pPr>
      <w:r w:rsidRPr="00925F12">
        <w:rPr>
          <w:noProof/>
          <w:szCs w:val="24"/>
          <w:lang w:val="cs-CZ"/>
        </w:rPr>
        <w:lastRenderedPageBreak/>
        <w:t xml:space="preserve">Fakturu za plnění dle čl. II. odst. 2. písm. </w:t>
      </w:r>
      <w:r w:rsidR="00F00D58">
        <w:rPr>
          <w:noProof/>
          <w:szCs w:val="24"/>
          <w:lang w:val="cs-CZ"/>
        </w:rPr>
        <w:t>h</w:t>
      </w:r>
      <w:r w:rsidR="00573FA2" w:rsidRPr="00925F12">
        <w:rPr>
          <w:noProof/>
          <w:szCs w:val="24"/>
          <w:lang w:val="cs-CZ"/>
        </w:rPr>
        <w:t>)</w:t>
      </w:r>
      <w:r w:rsidRPr="00925F12">
        <w:rPr>
          <w:noProof/>
          <w:szCs w:val="24"/>
          <w:lang w:val="cs-CZ"/>
        </w:rPr>
        <w:t xml:space="preserve"> je Poskytovatel oprávněn vystavit po </w:t>
      </w:r>
      <w:r w:rsidR="008B319A" w:rsidRPr="00925F12">
        <w:rPr>
          <w:noProof/>
          <w:szCs w:val="24"/>
          <w:lang w:val="cs-CZ"/>
        </w:rPr>
        <w:t>akceptaci tohoto plnění Objednatelem</w:t>
      </w:r>
      <w:r w:rsidRPr="00925F12">
        <w:rPr>
          <w:noProof/>
          <w:szCs w:val="24"/>
          <w:lang w:val="cs-CZ"/>
        </w:rPr>
        <w:t xml:space="preserve"> - pokud se obě smluvní strany nedohodnou jinak.</w:t>
      </w:r>
    </w:p>
    <w:p w14:paraId="491BCE6D" w14:textId="77777777" w:rsidR="00200E11" w:rsidRPr="00925F12" w:rsidRDefault="00200E11" w:rsidP="009C32E5">
      <w:pPr>
        <w:numPr>
          <w:ilvl w:val="0"/>
          <w:numId w:val="29"/>
        </w:numPr>
        <w:tabs>
          <w:tab w:val="clear" w:pos="720"/>
          <w:tab w:val="num" w:pos="426"/>
        </w:tabs>
        <w:spacing w:line="240" w:lineRule="atLeast"/>
        <w:ind w:left="426" w:hanging="426"/>
        <w:jc w:val="both"/>
        <w:rPr>
          <w:noProof/>
          <w:szCs w:val="24"/>
          <w:lang w:val="cs-CZ"/>
        </w:rPr>
      </w:pPr>
      <w:r w:rsidRPr="00925F12">
        <w:rPr>
          <w:noProof/>
          <w:szCs w:val="24"/>
          <w:lang w:val="cs-CZ"/>
        </w:rPr>
        <w:t xml:space="preserve">Doba splatnosti faktur vystavených Poskytovatelem je dohodnuta na </w:t>
      </w:r>
      <w:r w:rsidR="00CA35E6" w:rsidRPr="00925F12">
        <w:rPr>
          <w:noProof/>
          <w:szCs w:val="24"/>
          <w:lang w:val="cs-CZ"/>
        </w:rPr>
        <w:t>10</w:t>
      </w:r>
      <w:r w:rsidR="003A032A" w:rsidRPr="00925F12">
        <w:rPr>
          <w:noProof/>
          <w:szCs w:val="24"/>
          <w:lang w:val="cs-CZ"/>
        </w:rPr>
        <w:t xml:space="preserve"> </w:t>
      </w:r>
      <w:r w:rsidR="00B6799B" w:rsidRPr="00925F12">
        <w:rPr>
          <w:noProof/>
          <w:szCs w:val="24"/>
          <w:lang w:val="cs-CZ"/>
        </w:rPr>
        <w:t xml:space="preserve">dnů </w:t>
      </w:r>
      <w:r w:rsidRPr="00925F12">
        <w:rPr>
          <w:noProof/>
          <w:szCs w:val="24"/>
          <w:lang w:val="cs-CZ"/>
        </w:rPr>
        <w:t xml:space="preserve">od data </w:t>
      </w:r>
      <w:r w:rsidR="00B96DA8" w:rsidRPr="00925F12">
        <w:rPr>
          <w:noProof/>
          <w:szCs w:val="24"/>
          <w:lang w:val="cs-CZ"/>
        </w:rPr>
        <w:t>vystavení</w:t>
      </w:r>
      <w:r w:rsidRPr="00925F12">
        <w:rPr>
          <w:noProof/>
          <w:szCs w:val="24"/>
          <w:lang w:val="cs-CZ"/>
        </w:rPr>
        <w:t xml:space="preserve"> faktury, přičemž splatností se rozumí připsání </w:t>
      </w:r>
      <w:r w:rsidR="00E821FD">
        <w:rPr>
          <w:noProof/>
          <w:szCs w:val="24"/>
          <w:lang w:val="cs-CZ"/>
        </w:rPr>
        <w:t>fakturované</w:t>
      </w:r>
      <w:r w:rsidRPr="00925F12">
        <w:rPr>
          <w:noProof/>
          <w:szCs w:val="24"/>
          <w:lang w:val="cs-CZ"/>
        </w:rPr>
        <w:t xml:space="preserve"> částky na účet Poskytovatele.</w:t>
      </w:r>
    </w:p>
    <w:p w14:paraId="4ACB07E9" w14:textId="77777777" w:rsidR="00200E11" w:rsidRPr="00925F12" w:rsidRDefault="00200E11" w:rsidP="009C32E5">
      <w:pPr>
        <w:numPr>
          <w:ilvl w:val="0"/>
          <w:numId w:val="29"/>
        </w:numPr>
        <w:tabs>
          <w:tab w:val="clear" w:pos="720"/>
          <w:tab w:val="num" w:pos="426"/>
        </w:tabs>
        <w:spacing w:line="240" w:lineRule="atLeast"/>
        <w:ind w:left="426" w:hanging="426"/>
        <w:jc w:val="both"/>
        <w:rPr>
          <w:noProof/>
          <w:szCs w:val="24"/>
          <w:lang w:val="cs-CZ"/>
        </w:rPr>
      </w:pPr>
      <w:r w:rsidRPr="00925F12">
        <w:rPr>
          <w:noProof/>
          <w:szCs w:val="24"/>
          <w:lang w:val="cs-CZ"/>
        </w:rPr>
        <w:t xml:space="preserve">Faktura musí mít vždy náležitosti daňového dokladu podle § 28 odst. 2 zákona č. 235/2004 Sb., o dani z přidané hodnoty. </w:t>
      </w:r>
    </w:p>
    <w:p w14:paraId="69FB4717" w14:textId="77777777" w:rsidR="00200E11" w:rsidRPr="00925F12" w:rsidRDefault="00200E11" w:rsidP="00200E11">
      <w:pPr>
        <w:spacing w:before="240" w:line="480" w:lineRule="auto"/>
        <w:jc w:val="center"/>
        <w:rPr>
          <w:b/>
          <w:noProof/>
          <w:szCs w:val="24"/>
          <w:lang w:val="cs-CZ"/>
        </w:rPr>
      </w:pPr>
      <w:r w:rsidRPr="00925F12">
        <w:rPr>
          <w:b/>
          <w:noProof/>
          <w:szCs w:val="24"/>
          <w:lang w:val="cs-CZ"/>
        </w:rPr>
        <w:t>VI.</w:t>
      </w:r>
      <w:r w:rsidRPr="00925F12">
        <w:rPr>
          <w:b/>
          <w:noProof/>
          <w:szCs w:val="24"/>
          <w:lang w:val="cs-CZ"/>
        </w:rPr>
        <w:br/>
        <w:t>Povinnosti smluvních stran</w:t>
      </w:r>
    </w:p>
    <w:p w14:paraId="67E32833" w14:textId="77777777" w:rsidR="00200E11" w:rsidRPr="00925F12" w:rsidRDefault="00200E11" w:rsidP="00200E11">
      <w:pPr>
        <w:numPr>
          <w:ilvl w:val="0"/>
          <w:numId w:val="13"/>
        </w:numPr>
        <w:spacing w:line="240" w:lineRule="atLeast"/>
        <w:jc w:val="both"/>
        <w:rPr>
          <w:noProof/>
          <w:szCs w:val="24"/>
          <w:lang w:val="cs-CZ"/>
        </w:rPr>
      </w:pPr>
      <w:r w:rsidRPr="00925F12">
        <w:rPr>
          <w:noProof/>
          <w:szCs w:val="24"/>
          <w:lang w:val="cs-CZ"/>
        </w:rPr>
        <w:t>Povinnosti Poskytovatele:</w:t>
      </w:r>
    </w:p>
    <w:p w14:paraId="108A2D7B" w14:textId="77777777" w:rsidR="00200E11" w:rsidRPr="00925F12" w:rsidRDefault="00200E11" w:rsidP="00200E11">
      <w:pPr>
        <w:numPr>
          <w:ilvl w:val="3"/>
          <w:numId w:val="2"/>
        </w:numPr>
        <w:spacing w:before="60"/>
        <w:ind w:left="1418" w:hanging="567"/>
        <w:jc w:val="both"/>
        <w:rPr>
          <w:noProof/>
          <w:szCs w:val="24"/>
          <w:lang w:val="cs-CZ"/>
        </w:rPr>
      </w:pPr>
      <w:r w:rsidRPr="00925F12">
        <w:rPr>
          <w:noProof/>
          <w:szCs w:val="24"/>
          <w:lang w:val="cs-CZ"/>
        </w:rPr>
        <w:t xml:space="preserve">Poskytovat služby v </w:t>
      </w:r>
      <w:r w:rsidR="003E4B43" w:rsidRPr="00925F12">
        <w:rPr>
          <w:noProof/>
          <w:szCs w:val="24"/>
          <w:lang w:val="cs-CZ"/>
        </w:rPr>
        <w:t>rozsahu</w:t>
      </w:r>
      <w:r w:rsidRPr="00925F12">
        <w:rPr>
          <w:noProof/>
          <w:szCs w:val="24"/>
          <w:lang w:val="cs-CZ"/>
        </w:rPr>
        <w:t xml:space="preserve"> a termínech stanovených touto Smlouvou.</w:t>
      </w:r>
    </w:p>
    <w:p w14:paraId="1FFF9251" w14:textId="77777777" w:rsidR="00200E11" w:rsidRPr="00925F12" w:rsidRDefault="00200E11" w:rsidP="00200E11">
      <w:pPr>
        <w:numPr>
          <w:ilvl w:val="3"/>
          <w:numId w:val="2"/>
        </w:numPr>
        <w:spacing w:before="60"/>
        <w:ind w:left="1418" w:hanging="567"/>
        <w:jc w:val="both"/>
        <w:rPr>
          <w:noProof/>
          <w:szCs w:val="24"/>
          <w:lang w:val="cs-CZ"/>
        </w:rPr>
      </w:pPr>
      <w:r w:rsidRPr="00925F12">
        <w:rPr>
          <w:noProof/>
          <w:szCs w:val="24"/>
          <w:lang w:val="cs-CZ"/>
        </w:rPr>
        <w:t>Práce prováděné v</w:t>
      </w:r>
      <w:r w:rsidR="00FA7DCD" w:rsidRPr="00925F12">
        <w:rPr>
          <w:noProof/>
          <w:szCs w:val="24"/>
          <w:lang w:val="cs-CZ"/>
        </w:rPr>
        <w:t> Místě instalace</w:t>
      </w:r>
      <w:r w:rsidR="003912D1" w:rsidRPr="00925F12">
        <w:rPr>
          <w:noProof/>
          <w:szCs w:val="24"/>
          <w:lang w:val="cs-CZ"/>
        </w:rPr>
        <w:t xml:space="preserve"> </w:t>
      </w:r>
      <w:r w:rsidRPr="00925F12">
        <w:rPr>
          <w:noProof/>
          <w:szCs w:val="24"/>
          <w:lang w:val="cs-CZ"/>
        </w:rPr>
        <w:t xml:space="preserve">uskutečňovat v pracovní době </w:t>
      </w:r>
      <w:r w:rsidR="00FA7DCD" w:rsidRPr="00925F12">
        <w:rPr>
          <w:noProof/>
          <w:szCs w:val="24"/>
          <w:lang w:val="cs-CZ"/>
        </w:rPr>
        <w:t>Objednatele</w:t>
      </w:r>
      <w:r w:rsidR="0077038E" w:rsidRPr="00925F12">
        <w:rPr>
          <w:noProof/>
          <w:szCs w:val="24"/>
          <w:lang w:val="cs-CZ"/>
        </w:rPr>
        <w:t xml:space="preserve">, tzn. v pracovní dny od </w:t>
      </w:r>
      <w:r w:rsidR="003912D1" w:rsidRPr="00925F12">
        <w:rPr>
          <w:noProof/>
          <w:szCs w:val="24"/>
          <w:lang w:val="cs-CZ"/>
        </w:rPr>
        <w:t>8</w:t>
      </w:r>
      <w:r w:rsidR="0066408A" w:rsidRPr="00925F12">
        <w:rPr>
          <w:noProof/>
          <w:szCs w:val="24"/>
          <w:lang w:val="cs-CZ"/>
        </w:rPr>
        <w:t xml:space="preserve">. </w:t>
      </w:r>
      <w:r w:rsidR="0077038E" w:rsidRPr="00925F12">
        <w:rPr>
          <w:noProof/>
          <w:szCs w:val="24"/>
          <w:lang w:val="cs-CZ"/>
        </w:rPr>
        <w:t xml:space="preserve">do </w:t>
      </w:r>
      <w:r w:rsidR="0066408A" w:rsidRPr="00925F12">
        <w:rPr>
          <w:noProof/>
          <w:szCs w:val="24"/>
          <w:lang w:val="cs-CZ"/>
        </w:rPr>
        <w:t>1</w:t>
      </w:r>
      <w:r w:rsidR="009C3FA8" w:rsidRPr="00925F12">
        <w:rPr>
          <w:noProof/>
          <w:szCs w:val="24"/>
          <w:lang w:val="cs-CZ"/>
        </w:rPr>
        <w:t>6:30</w:t>
      </w:r>
      <w:r w:rsidR="0066408A" w:rsidRPr="00925F12">
        <w:rPr>
          <w:noProof/>
          <w:szCs w:val="24"/>
          <w:lang w:val="cs-CZ"/>
        </w:rPr>
        <w:t xml:space="preserve"> </w:t>
      </w:r>
      <w:r w:rsidR="0077038E" w:rsidRPr="00925F12">
        <w:rPr>
          <w:noProof/>
          <w:szCs w:val="24"/>
          <w:lang w:val="cs-CZ"/>
        </w:rPr>
        <w:t>hod</w:t>
      </w:r>
      <w:r w:rsidRPr="00925F12">
        <w:rPr>
          <w:noProof/>
          <w:szCs w:val="24"/>
          <w:lang w:val="cs-CZ"/>
        </w:rPr>
        <w:t>.</w:t>
      </w:r>
      <w:r w:rsidR="0066408A" w:rsidRPr="00925F12">
        <w:rPr>
          <w:noProof/>
          <w:szCs w:val="24"/>
          <w:lang w:val="cs-CZ"/>
        </w:rPr>
        <w:t>, pokud se smluvní strany nedohodnou jinak.</w:t>
      </w:r>
    </w:p>
    <w:p w14:paraId="2A9CDD9B" w14:textId="77777777" w:rsidR="00246F40" w:rsidRPr="00925F12" w:rsidRDefault="00246F40" w:rsidP="00246F40">
      <w:pPr>
        <w:numPr>
          <w:ilvl w:val="3"/>
          <w:numId w:val="2"/>
        </w:numPr>
        <w:spacing w:before="60"/>
        <w:ind w:left="1418" w:hanging="567"/>
        <w:jc w:val="both"/>
        <w:rPr>
          <w:noProof/>
          <w:szCs w:val="24"/>
          <w:lang w:val="cs-CZ"/>
        </w:rPr>
      </w:pPr>
      <w:r w:rsidRPr="00925F12">
        <w:rPr>
          <w:noProof/>
          <w:szCs w:val="24"/>
          <w:lang w:val="cs-CZ"/>
        </w:rPr>
        <w:t xml:space="preserve">Informovat </w:t>
      </w:r>
      <w:r w:rsidR="00E76E6B" w:rsidRPr="00925F12">
        <w:rPr>
          <w:noProof/>
          <w:szCs w:val="24"/>
          <w:lang w:val="cs-CZ"/>
        </w:rPr>
        <w:t>Objednatele</w:t>
      </w:r>
      <w:r w:rsidRPr="00925F12">
        <w:rPr>
          <w:noProof/>
          <w:szCs w:val="24"/>
          <w:lang w:val="cs-CZ"/>
        </w:rPr>
        <w:t xml:space="preserve"> s dostatečným předstihem</w:t>
      </w:r>
      <w:r w:rsidR="00E430B1" w:rsidRPr="00925F12">
        <w:rPr>
          <w:noProof/>
          <w:szCs w:val="24"/>
          <w:lang w:val="cs-CZ"/>
        </w:rPr>
        <w:t xml:space="preserve"> </w:t>
      </w:r>
      <w:r w:rsidRPr="00925F12">
        <w:rPr>
          <w:noProof/>
          <w:szCs w:val="24"/>
          <w:lang w:val="cs-CZ"/>
        </w:rPr>
        <w:t>o plánovaných zásazích</w:t>
      </w:r>
      <w:r w:rsidR="00B15A21" w:rsidRPr="00925F12">
        <w:rPr>
          <w:noProof/>
          <w:szCs w:val="24"/>
          <w:lang w:val="cs-CZ"/>
        </w:rPr>
        <w:t>,</w:t>
      </w:r>
      <w:r w:rsidRPr="00925F12">
        <w:rPr>
          <w:noProof/>
          <w:szCs w:val="24"/>
          <w:lang w:val="cs-CZ"/>
        </w:rPr>
        <w:t xml:space="preserve"> které mohou mít vliv na provoz </w:t>
      </w:r>
      <w:r w:rsidR="003E37B1" w:rsidRPr="00925F12">
        <w:rPr>
          <w:noProof/>
          <w:szCs w:val="24"/>
          <w:lang w:val="cs-CZ"/>
        </w:rPr>
        <w:t>Systému</w:t>
      </w:r>
      <w:r w:rsidRPr="00925F12">
        <w:rPr>
          <w:noProof/>
          <w:szCs w:val="24"/>
          <w:lang w:val="cs-CZ"/>
        </w:rPr>
        <w:t>, jako jsou pravidelné i nepravidelné profylaxe</w:t>
      </w:r>
      <w:r w:rsidR="003E37B1" w:rsidRPr="00925F12">
        <w:rPr>
          <w:noProof/>
          <w:szCs w:val="24"/>
          <w:lang w:val="cs-CZ"/>
        </w:rPr>
        <w:t>,</w:t>
      </w:r>
      <w:r w:rsidRPr="00925F12">
        <w:rPr>
          <w:noProof/>
          <w:szCs w:val="24"/>
          <w:lang w:val="cs-CZ"/>
        </w:rPr>
        <w:t xml:space="preserve"> změny stavů služeb</w:t>
      </w:r>
      <w:r w:rsidR="003E37B1" w:rsidRPr="00925F12">
        <w:rPr>
          <w:noProof/>
          <w:szCs w:val="24"/>
          <w:lang w:val="cs-CZ"/>
        </w:rPr>
        <w:t>,</w:t>
      </w:r>
      <w:r w:rsidRPr="00925F12">
        <w:rPr>
          <w:noProof/>
          <w:szCs w:val="24"/>
          <w:lang w:val="cs-CZ"/>
        </w:rPr>
        <w:t xml:space="preserve"> které využívá </w:t>
      </w:r>
      <w:r w:rsidR="003E37B1" w:rsidRPr="00925F12">
        <w:rPr>
          <w:noProof/>
          <w:szCs w:val="24"/>
          <w:lang w:val="cs-CZ"/>
        </w:rPr>
        <w:t>Systém</w:t>
      </w:r>
      <w:r w:rsidRPr="00925F12">
        <w:rPr>
          <w:noProof/>
          <w:szCs w:val="24"/>
          <w:lang w:val="cs-CZ"/>
        </w:rPr>
        <w:t xml:space="preserve">, změny bezpečnostní politiky. V případě provozní potřeby </w:t>
      </w:r>
      <w:r w:rsidR="003E37B1" w:rsidRPr="00925F12">
        <w:rPr>
          <w:noProof/>
          <w:szCs w:val="24"/>
          <w:lang w:val="cs-CZ"/>
        </w:rPr>
        <w:t>Objednatele</w:t>
      </w:r>
      <w:r w:rsidRPr="00925F12">
        <w:rPr>
          <w:noProof/>
          <w:szCs w:val="24"/>
          <w:lang w:val="cs-CZ"/>
        </w:rPr>
        <w:t xml:space="preserve"> termíny výše uvedených plánovaných zásahů přeplánovat.</w:t>
      </w:r>
    </w:p>
    <w:p w14:paraId="5EEE5547" w14:textId="77777777" w:rsidR="003912D1" w:rsidRPr="00925F12" w:rsidRDefault="003912D1" w:rsidP="00200E11">
      <w:pPr>
        <w:numPr>
          <w:ilvl w:val="3"/>
          <w:numId w:val="2"/>
        </w:numPr>
        <w:spacing w:before="60"/>
        <w:ind w:left="1418" w:hanging="567"/>
        <w:jc w:val="both"/>
        <w:rPr>
          <w:noProof/>
          <w:szCs w:val="24"/>
          <w:lang w:val="cs-CZ"/>
        </w:rPr>
      </w:pPr>
      <w:r w:rsidRPr="00925F12">
        <w:rPr>
          <w:noProof/>
          <w:szCs w:val="24"/>
          <w:lang w:val="cs-CZ"/>
        </w:rPr>
        <w:t xml:space="preserve">Brát na zřetel provozní potřeby </w:t>
      </w:r>
      <w:r w:rsidR="00A925FC" w:rsidRPr="00925F12">
        <w:rPr>
          <w:noProof/>
          <w:szCs w:val="24"/>
          <w:lang w:val="cs-CZ"/>
        </w:rPr>
        <w:t>Objednatele</w:t>
      </w:r>
      <w:r w:rsidRPr="00925F12">
        <w:rPr>
          <w:noProof/>
          <w:szCs w:val="24"/>
          <w:lang w:val="cs-CZ"/>
        </w:rPr>
        <w:t xml:space="preserve">, postupovat a v úzké součinnosti </w:t>
      </w:r>
      <w:r w:rsidR="00A925FC" w:rsidRPr="00925F12">
        <w:rPr>
          <w:noProof/>
          <w:szCs w:val="24"/>
          <w:lang w:val="cs-CZ"/>
        </w:rPr>
        <w:t>s Objednatelem</w:t>
      </w:r>
      <w:r w:rsidRPr="00925F12">
        <w:rPr>
          <w:noProof/>
          <w:szCs w:val="24"/>
          <w:lang w:val="cs-CZ"/>
        </w:rPr>
        <w:t xml:space="preserve"> </w:t>
      </w:r>
      <w:r w:rsidR="00A925FC" w:rsidRPr="00925F12">
        <w:rPr>
          <w:noProof/>
          <w:szCs w:val="24"/>
          <w:lang w:val="cs-CZ"/>
        </w:rPr>
        <w:t>při</w:t>
      </w:r>
      <w:r w:rsidRPr="00925F12">
        <w:rPr>
          <w:noProof/>
          <w:szCs w:val="24"/>
          <w:lang w:val="cs-CZ"/>
        </w:rPr>
        <w:t xml:space="preserve"> plnění této Smlouvy.</w:t>
      </w:r>
    </w:p>
    <w:p w14:paraId="784A7A0D" w14:textId="77777777" w:rsidR="003912D1" w:rsidRPr="00925F12" w:rsidRDefault="003912D1" w:rsidP="00200E11">
      <w:pPr>
        <w:numPr>
          <w:ilvl w:val="3"/>
          <w:numId w:val="2"/>
        </w:numPr>
        <w:spacing w:before="60"/>
        <w:ind w:left="1418" w:hanging="567"/>
        <w:jc w:val="both"/>
        <w:rPr>
          <w:noProof/>
          <w:szCs w:val="24"/>
          <w:lang w:val="cs-CZ"/>
        </w:rPr>
      </w:pPr>
      <w:r w:rsidRPr="00925F12">
        <w:rPr>
          <w:noProof/>
          <w:szCs w:val="24"/>
          <w:lang w:val="cs-CZ"/>
        </w:rPr>
        <w:t xml:space="preserve">Informovat </w:t>
      </w:r>
      <w:r w:rsidR="00CC0B2F" w:rsidRPr="00925F12">
        <w:rPr>
          <w:noProof/>
          <w:szCs w:val="24"/>
          <w:lang w:val="cs-CZ"/>
        </w:rPr>
        <w:t>Objednatele</w:t>
      </w:r>
      <w:r w:rsidRPr="00925F12">
        <w:rPr>
          <w:noProof/>
          <w:szCs w:val="24"/>
          <w:lang w:val="cs-CZ"/>
        </w:rPr>
        <w:t xml:space="preserve"> o jakýchkoli zjištěných překážkách plnění, byť by za ně Poskytovatel neodpovídal.</w:t>
      </w:r>
    </w:p>
    <w:p w14:paraId="5C394F30" w14:textId="77777777" w:rsidR="00200E11" w:rsidRPr="00925F12" w:rsidRDefault="00200E11" w:rsidP="00200E11">
      <w:pPr>
        <w:numPr>
          <w:ilvl w:val="3"/>
          <w:numId w:val="2"/>
        </w:numPr>
        <w:spacing w:before="60"/>
        <w:ind w:left="1418" w:hanging="567"/>
        <w:jc w:val="both"/>
        <w:rPr>
          <w:noProof/>
          <w:szCs w:val="24"/>
          <w:lang w:val="cs-CZ"/>
        </w:rPr>
      </w:pPr>
      <w:r w:rsidRPr="00925F12">
        <w:rPr>
          <w:noProof/>
          <w:szCs w:val="24"/>
          <w:lang w:val="cs-CZ"/>
        </w:rPr>
        <w:t xml:space="preserve">Zachovávat mlčenlivost o všech skutečnostech, se kterými pracovníci Poskytovatele přijdou na straně </w:t>
      </w:r>
      <w:r w:rsidR="00CC0B2F" w:rsidRPr="00925F12">
        <w:rPr>
          <w:noProof/>
          <w:szCs w:val="24"/>
          <w:lang w:val="cs-CZ"/>
        </w:rPr>
        <w:t>Objednatele</w:t>
      </w:r>
      <w:r w:rsidRPr="00925F12">
        <w:rPr>
          <w:noProof/>
          <w:szCs w:val="24"/>
          <w:lang w:val="cs-CZ"/>
        </w:rPr>
        <w:t xml:space="preserve"> do styku při plnění závazků a práv vyplývajících ze Smlouvy.</w:t>
      </w:r>
    </w:p>
    <w:p w14:paraId="1D9FD80E" w14:textId="77777777" w:rsidR="00200E11" w:rsidRPr="00925F12" w:rsidRDefault="00200E11" w:rsidP="00200E11">
      <w:pPr>
        <w:numPr>
          <w:ilvl w:val="0"/>
          <w:numId w:val="5"/>
        </w:numPr>
        <w:tabs>
          <w:tab w:val="clear" w:pos="720"/>
          <w:tab w:val="num" w:pos="426"/>
        </w:tabs>
        <w:ind w:left="426" w:hanging="426"/>
        <w:jc w:val="both"/>
        <w:rPr>
          <w:noProof/>
          <w:szCs w:val="24"/>
          <w:lang w:val="cs-CZ"/>
        </w:rPr>
      </w:pPr>
      <w:r w:rsidRPr="00925F12">
        <w:rPr>
          <w:noProof/>
          <w:szCs w:val="24"/>
          <w:lang w:val="cs-CZ"/>
        </w:rPr>
        <w:t xml:space="preserve">Povinnosti </w:t>
      </w:r>
      <w:r w:rsidR="00992301" w:rsidRPr="00925F12">
        <w:rPr>
          <w:noProof/>
          <w:szCs w:val="24"/>
          <w:lang w:val="cs-CZ"/>
        </w:rPr>
        <w:t>Objednatele</w:t>
      </w:r>
      <w:r w:rsidRPr="00925F12">
        <w:rPr>
          <w:noProof/>
          <w:szCs w:val="24"/>
          <w:lang w:val="cs-CZ"/>
        </w:rPr>
        <w:t>:</w:t>
      </w:r>
    </w:p>
    <w:p w14:paraId="18304EFB" w14:textId="77777777" w:rsidR="00200E11" w:rsidRPr="00925F12" w:rsidRDefault="00200E11" w:rsidP="00200E11">
      <w:pPr>
        <w:numPr>
          <w:ilvl w:val="1"/>
          <w:numId w:val="5"/>
        </w:numPr>
        <w:spacing w:before="60"/>
        <w:ind w:hanging="512"/>
        <w:jc w:val="both"/>
        <w:rPr>
          <w:noProof/>
          <w:szCs w:val="24"/>
          <w:lang w:val="cs-CZ"/>
        </w:rPr>
      </w:pPr>
      <w:r w:rsidRPr="00925F12">
        <w:rPr>
          <w:noProof/>
          <w:szCs w:val="24"/>
          <w:lang w:val="cs-CZ"/>
        </w:rPr>
        <w:t>Provádět platby v termínech a výši určených touto Smlouvou.</w:t>
      </w:r>
    </w:p>
    <w:p w14:paraId="1052A803" w14:textId="77777777" w:rsidR="00200E11" w:rsidRPr="00925F12" w:rsidRDefault="00200E11" w:rsidP="00200E11">
      <w:pPr>
        <w:numPr>
          <w:ilvl w:val="1"/>
          <w:numId w:val="5"/>
        </w:numPr>
        <w:spacing w:before="60"/>
        <w:ind w:hanging="512"/>
        <w:jc w:val="both"/>
        <w:rPr>
          <w:noProof/>
          <w:szCs w:val="24"/>
          <w:lang w:val="cs-CZ"/>
        </w:rPr>
      </w:pPr>
      <w:r w:rsidRPr="00925F12">
        <w:rPr>
          <w:noProof/>
          <w:szCs w:val="24"/>
          <w:lang w:val="cs-CZ"/>
        </w:rPr>
        <w:t xml:space="preserve">Zajistit Poskytovateli potřebnou a přiměřenou součinnost pro řádné a včasné plnění předmětu Smlouvy, zejména oznámit písemně vznik závady resp. potřeby provedení zásahu do </w:t>
      </w:r>
      <w:r w:rsidR="00922EE5" w:rsidRPr="00925F12">
        <w:rPr>
          <w:noProof/>
          <w:szCs w:val="24"/>
          <w:lang w:val="cs-CZ"/>
        </w:rPr>
        <w:t>Systému</w:t>
      </w:r>
      <w:r w:rsidRPr="00925F12">
        <w:rPr>
          <w:noProof/>
          <w:szCs w:val="24"/>
          <w:lang w:val="cs-CZ"/>
        </w:rPr>
        <w:t xml:space="preserve"> bez zbytečného prodlení, učinit opatření pro umožnění zásahu a pro minimalizaci hrozících škod, umožnit pracovníkům Poskytovatele přístup na místo instalace </w:t>
      </w:r>
      <w:r w:rsidR="00922EE5" w:rsidRPr="00925F12">
        <w:rPr>
          <w:noProof/>
          <w:szCs w:val="24"/>
          <w:lang w:val="cs-CZ"/>
        </w:rPr>
        <w:t>Systému</w:t>
      </w:r>
      <w:r w:rsidRPr="00925F12">
        <w:rPr>
          <w:noProof/>
          <w:szCs w:val="24"/>
          <w:lang w:val="cs-CZ"/>
        </w:rPr>
        <w:t xml:space="preserve"> v rozsahu, který je v těchto případech obvyklý, umožnit dále pracovníkům Poskytovatele přístup ke všem prostředkům, které ovlivňují funkci </w:t>
      </w:r>
      <w:r w:rsidR="00922EE5" w:rsidRPr="00925F12">
        <w:rPr>
          <w:noProof/>
          <w:szCs w:val="24"/>
          <w:lang w:val="cs-CZ"/>
        </w:rPr>
        <w:t>Systému.</w:t>
      </w:r>
    </w:p>
    <w:p w14:paraId="4E0430BD" w14:textId="77777777" w:rsidR="00200E11" w:rsidRPr="00925F12" w:rsidRDefault="00200E11" w:rsidP="00200E11">
      <w:pPr>
        <w:numPr>
          <w:ilvl w:val="1"/>
          <w:numId w:val="5"/>
        </w:numPr>
        <w:spacing w:before="60"/>
        <w:ind w:hanging="512"/>
        <w:jc w:val="both"/>
        <w:rPr>
          <w:noProof/>
          <w:szCs w:val="24"/>
          <w:lang w:val="cs-CZ"/>
        </w:rPr>
      </w:pPr>
      <w:r w:rsidRPr="00925F12">
        <w:rPr>
          <w:noProof/>
          <w:szCs w:val="24"/>
          <w:lang w:val="cs-CZ"/>
        </w:rPr>
        <w:t>Přijmout veškerá opatření pro ochranu zdraví a bezpečnosti pracovníků Poskytovatele pohybujících se v</w:t>
      </w:r>
      <w:r w:rsidR="009125E4" w:rsidRPr="00925F12">
        <w:rPr>
          <w:noProof/>
          <w:szCs w:val="24"/>
          <w:lang w:val="cs-CZ"/>
        </w:rPr>
        <w:t> Místě instalace</w:t>
      </w:r>
      <w:r w:rsidRPr="00925F12">
        <w:rPr>
          <w:noProof/>
          <w:szCs w:val="24"/>
          <w:lang w:val="cs-CZ"/>
        </w:rPr>
        <w:t>.</w:t>
      </w:r>
    </w:p>
    <w:p w14:paraId="11CE9E9A" w14:textId="77777777" w:rsidR="00CC6A0A" w:rsidRPr="00925F12" w:rsidRDefault="00472E86" w:rsidP="00CC6A0A">
      <w:pPr>
        <w:numPr>
          <w:ilvl w:val="1"/>
          <w:numId w:val="5"/>
        </w:numPr>
        <w:spacing w:before="60"/>
        <w:ind w:hanging="512"/>
        <w:jc w:val="both"/>
        <w:rPr>
          <w:b/>
          <w:noProof/>
          <w:szCs w:val="24"/>
          <w:lang w:val="cs-CZ"/>
        </w:rPr>
      </w:pPr>
      <w:r w:rsidRPr="00925F12">
        <w:rPr>
          <w:noProof/>
          <w:szCs w:val="24"/>
          <w:lang w:val="cs-CZ"/>
        </w:rPr>
        <w:t xml:space="preserve">Zachovávat mlčenlivost o </w:t>
      </w:r>
      <w:r w:rsidR="00F007D7" w:rsidRPr="00925F12">
        <w:rPr>
          <w:noProof/>
          <w:szCs w:val="24"/>
          <w:lang w:val="cs-CZ"/>
        </w:rPr>
        <w:t>technologiích a know-how Poskytovatele.</w:t>
      </w:r>
    </w:p>
    <w:p w14:paraId="3EA7288D" w14:textId="77777777" w:rsidR="00CC6A0A" w:rsidRPr="00925F12" w:rsidRDefault="00CC6A0A" w:rsidP="00CC6A0A">
      <w:pPr>
        <w:spacing w:before="60"/>
        <w:jc w:val="both"/>
        <w:rPr>
          <w:b/>
          <w:noProof/>
          <w:szCs w:val="24"/>
          <w:lang w:val="cs-CZ"/>
        </w:rPr>
      </w:pPr>
    </w:p>
    <w:p w14:paraId="2DCB8250" w14:textId="77777777" w:rsidR="00200E11" w:rsidRPr="00925F12" w:rsidRDefault="00CC6A0A" w:rsidP="00CC6A0A">
      <w:pPr>
        <w:spacing w:before="60"/>
        <w:ind w:left="851"/>
        <w:jc w:val="center"/>
        <w:rPr>
          <w:b/>
          <w:noProof/>
          <w:szCs w:val="24"/>
          <w:lang w:val="cs-CZ"/>
        </w:rPr>
      </w:pPr>
      <w:r w:rsidRPr="00925F12">
        <w:rPr>
          <w:b/>
          <w:noProof/>
          <w:szCs w:val="24"/>
          <w:lang w:val="cs-CZ"/>
        </w:rPr>
        <w:t>VII.</w:t>
      </w:r>
      <w:r w:rsidRPr="00925F12">
        <w:rPr>
          <w:b/>
          <w:noProof/>
          <w:szCs w:val="24"/>
          <w:lang w:val="cs-CZ"/>
        </w:rPr>
        <w:br/>
      </w:r>
      <w:r w:rsidR="00200E11" w:rsidRPr="00925F12">
        <w:rPr>
          <w:b/>
          <w:noProof/>
          <w:szCs w:val="24"/>
          <w:lang w:val="cs-CZ"/>
        </w:rPr>
        <w:t>Záruky a služby</w:t>
      </w:r>
    </w:p>
    <w:p w14:paraId="73530FC6" w14:textId="77777777" w:rsidR="004238C8" w:rsidRDefault="004238C8" w:rsidP="00200E11">
      <w:pPr>
        <w:numPr>
          <w:ilvl w:val="0"/>
          <w:numId w:val="7"/>
        </w:numPr>
        <w:tabs>
          <w:tab w:val="clear" w:pos="720"/>
          <w:tab w:val="num" w:pos="426"/>
        </w:tabs>
        <w:ind w:left="426" w:hanging="426"/>
        <w:jc w:val="both"/>
        <w:rPr>
          <w:noProof/>
          <w:szCs w:val="24"/>
          <w:lang w:val="cs-CZ"/>
        </w:rPr>
      </w:pPr>
      <w:r w:rsidRPr="002812FE">
        <w:rPr>
          <w:noProof/>
          <w:szCs w:val="24"/>
          <w:lang w:val="cs-CZ"/>
        </w:rPr>
        <w:t>Způsob a podmínky, za kterých se služby dle předmětu plnění této Smlouvy poskytují, jsou uvedeny v Příloze č. 1.</w:t>
      </w:r>
    </w:p>
    <w:p w14:paraId="54912187" w14:textId="77777777" w:rsidR="00200E11" w:rsidRPr="00925F12" w:rsidRDefault="00200E11" w:rsidP="00200E11">
      <w:pPr>
        <w:numPr>
          <w:ilvl w:val="0"/>
          <w:numId w:val="7"/>
        </w:numPr>
        <w:tabs>
          <w:tab w:val="clear" w:pos="720"/>
          <w:tab w:val="num" w:pos="426"/>
        </w:tabs>
        <w:ind w:left="426" w:hanging="426"/>
        <w:jc w:val="both"/>
        <w:rPr>
          <w:noProof/>
          <w:szCs w:val="24"/>
          <w:lang w:val="cs-CZ"/>
        </w:rPr>
      </w:pPr>
      <w:r w:rsidRPr="00925F12">
        <w:rPr>
          <w:noProof/>
          <w:szCs w:val="24"/>
          <w:lang w:val="cs-CZ"/>
        </w:rPr>
        <w:lastRenderedPageBreak/>
        <w:t xml:space="preserve">Poskytovatel zaručuje, že veškeré služby budou poskytovány v souladu a v kvalitě odpovídající obecně uznávaným průmyslovým standardům. Tato záruka platí po dobu </w:t>
      </w:r>
      <w:r w:rsidR="00206313" w:rsidRPr="00925F12">
        <w:rPr>
          <w:noProof/>
          <w:szCs w:val="24"/>
          <w:lang w:val="cs-CZ"/>
        </w:rPr>
        <w:t>platnosti této smlouvy</w:t>
      </w:r>
      <w:r w:rsidRPr="00925F12">
        <w:rPr>
          <w:noProof/>
          <w:szCs w:val="24"/>
          <w:lang w:val="cs-CZ"/>
        </w:rPr>
        <w:t>. Výhradním opravným prostředkem a výlučným plněním Poskytovatele z titulu poskytnuté záruky bude opětovné a bezplatné poskytnutí příslušných reklamovaných služeb.</w:t>
      </w:r>
    </w:p>
    <w:p w14:paraId="5EC028F5" w14:textId="77777777" w:rsidR="00200E11" w:rsidRPr="00925F12" w:rsidRDefault="00200E11" w:rsidP="00020042">
      <w:pPr>
        <w:spacing w:before="240"/>
        <w:jc w:val="center"/>
        <w:rPr>
          <w:b/>
          <w:noProof/>
          <w:szCs w:val="24"/>
          <w:lang w:val="cs-CZ"/>
        </w:rPr>
      </w:pPr>
      <w:r w:rsidRPr="00925F12">
        <w:rPr>
          <w:b/>
          <w:noProof/>
          <w:szCs w:val="24"/>
          <w:lang w:val="cs-CZ"/>
        </w:rPr>
        <w:t>VIII.</w:t>
      </w:r>
      <w:r w:rsidRPr="00925F12">
        <w:rPr>
          <w:b/>
          <w:noProof/>
          <w:szCs w:val="24"/>
          <w:lang w:val="cs-CZ"/>
        </w:rPr>
        <w:br/>
        <w:t>Odstoupení od smlouvy</w:t>
      </w:r>
    </w:p>
    <w:p w14:paraId="0CF034F2" w14:textId="77777777" w:rsidR="00200E11" w:rsidRPr="00925F12" w:rsidRDefault="003A6155" w:rsidP="009E33B4">
      <w:pPr>
        <w:numPr>
          <w:ilvl w:val="0"/>
          <w:numId w:val="30"/>
        </w:numPr>
        <w:tabs>
          <w:tab w:val="clear" w:pos="720"/>
          <w:tab w:val="num" w:pos="426"/>
        </w:tabs>
        <w:ind w:left="426" w:hanging="426"/>
        <w:jc w:val="both"/>
        <w:rPr>
          <w:noProof/>
          <w:szCs w:val="24"/>
          <w:lang w:val="cs-CZ"/>
        </w:rPr>
      </w:pPr>
      <w:r w:rsidRPr="00925F12">
        <w:rPr>
          <w:noProof/>
          <w:szCs w:val="24"/>
          <w:lang w:val="cs-CZ"/>
        </w:rPr>
        <w:t>Objednatel</w:t>
      </w:r>
      <w:r w:rsidR="00200E11" w:rsidRPr="00925F12">
        <w:rPr>
          <w:noProof/>
          <w:szCs w:val="24"/>
          <w:lang w:val="cs-CZ"/>
        </w:rPr>
        <w:t xml:space="preserve"> má možnost odstoupit od </w:t>
      </w:r>
      <w:r w:rsidR="00D40727" w:rsidRPr="00925F12">
        <w:rPr>
          <w:noProof/>
          <w:szCs w:val="24"/>
          <w:lang w:val="cs-CZ"/>
        </w:rPr>
        <w:t xml:space="preserve">této </w:t>
      </w:r>
      <w:r w:rsidR="00200E11" w:rsidRPr="00925F12">
        <w:rPr>
          <w:noProof/>
          <w:szCs w:val="24"/>
          <w:lang w:val="cs-CZ"/>
        </w:rPr>
        <w:t>Smlouvy po písemném oznámení Poskytovateli</w:t>
      </w:r>
      <w:r w:rsidR="00E317D3" w:rsidRPr="00925F12">
        <w:rPr>
          <w:noProof/>
          <w:szCs w:val="24"/>
          <w:lang w:val="cs-CZ"/>
        </w:rPr>
        <w:t xml:space="preserve"> s okamžitou platností</w:t>
      </w:r>
      <w:r w:rsidR="00200E11" w:rsidRPr="00925F12">
        <w:rPr>
          <w:noProof/>
          <w:szCs w:val="24"/>
          <w:lang w:val="cs-CZ"/>
        </w:rPr>
        <w:t>, pokud:</w:t>
      </w:r>
    </w:p>
    <w:p w14:paraId="762BD7A4" w14:textId="77777777" w:rsidR="00200E11" w:rsidRPr="00925F12" w:rsidRDefault="00200E11" w:rsidP="009E33B4">
      <w:pPr>
        <w:numPr>
          <w:ilvl w:val="0"/>
          <w:numId w:val="31"/>
        </w:numPr>
        <w:tabs>
          <w:tab w:val="num" w:pos="1418"/>
        </w:tabs>
        <w:spacing w:before="60"/>
        <w:ind w:left="1418" w:hanging="512"/>
        <w:jc w:val="both"/>
        <w:rPr>
          <w:noProof/>
          <w:szCs w:val="24"/>
          <w:lang w:val="cs-CZ"/>
        </w:rPr>
      </w:pPr>
      <w:r w:rsidRPr="00925F12">
        <w:rPr>
          <w:noProof/>
          <w:szCs w:val="24"/>
          <w:lang w:val="cs-CZ"/>
        </w:rPr>
        <w:t>Poskytovatel ohlásí úpadek nebo mu úpadek hrozí a hrozba nepomine do šedesáti dnů od zahájení řízení, nebo žádá o ustavení správce nebo likvidátora, nebo učiní všeobecný příděl ve prospěch svých věřitelů.</w:t>
      </w:r>
    </w:p>
    <w:p w14:paraId="0AFCA378" w14:textId="77777777" w:rsidR="00200E11" w:rsidRPr="00925F12" w:rsidRDefault="00200E11" w:rsidP="009E33B4">
      <w:pPr>
        <w:numPr>
          <w:ilvl w:val="0"/>
          <w:numId w:val="31"/>
        </w:numPr>
        <w:tabs>
          <w:tab w:val="num" w:pos="1418"/>
        </w:tabs>
        <w:spacing w:before="60"/>
        <w:ind w:left="1418" w:hanging="512"/>
        <w:jc w:val="both"/>
        <w:rPr>
          <w:noProof/>
          <w:szCs w:val="24"/>
          <w:lang w:val="cs-CZ"/>
        </w:rPr>
      </w:pPr>
      <w:r w:rsidRPr="00925F12">
        <w:rPr>
          <w:noProof/>
          <w:szCs w:val="24"/>
          <w:lang w:val="cs-CZ"/>
        </w:rPr>
        <w:t xml:space="preserve">Došlo ze strany Poskytovatele k porušení některého z ustanovení Smlouvy, které - pokud je napravitelné, nebylo napraveno do </w:t>
      </w:r>
      <w:r w:rsidR="003A6155" w:rsidRPr="00925F12">
        <w:rPr>
          <w:noProof/>
          <w:szCs w:val="24"/>
          <w:lang w:val="cs-CZ"/>
        </w:rPr>
        <w:t>třiceti</w:t>
      </w:r>
      <w:r w:rsidRPr="00925F12">
        <w:rPr>
          <w:noProof/>
          <w:szCs w:val="24"/>
          <w:lang w:val="cs-CZ"/>
        </w:rPr>
        <w:t xml:space="preserve"> dnů od písemného upozornění Poskytovatele </w:t>
      </w:r>
      <w:r w:rsidR="003A6155" w:rsidRPr="00925F12">
        <w:rPr>
          <w:noProof/>
          <w:szCs w:val="24"/>
          <w:lang w:val="cs-CZ"/>
        </w:rPr>
        <w:t>Objednatelem</w:t>
      </w:r>
      <w:r w:rsidRPr="00925F12">
        <w:rPr>
          <w:noProof/>
          <w:szCs w:val="24"/>
          <w:lang w:val="cs-CZ"/>
        </w:rPr>
        <w:t>.</w:t>
      </w:r>
    </w:p>
    <w:p w14:paraId="1917F3DC" w14:textId="77777777" w:rsidR="00E317D3" w:rsidRPr="00925F12" w:rsidRDefault="00CC6A0A" w:rsidP="009E33B4">
      <w:pPr>
        <w:numPr>
          <w:ilvl w:val="0"/>
          <w:numId w:val="30"/>
        </w:numPr>
        <w:tabs>
          <w:tab w:val="clear" w:pos="720"/>
          <w:tab w:val="num" w:pos="426"/>
        </w:tabs>
        <w:ind w:left="426" w:hanging="426"/>
        <w:jc w:val="both"/>
        <w:rPr>
          <w:noProof/>
          <w:szCs w:val="24"/>
          <w:lang w:val="cs-CZ"/>
        </w:rPr>
      </w:pPr>
      <w:r w:rsidRPr="00925F12">
        <w:rPr>
          <w:noProof/>
          <w:szCs w:val="24"/>
          <w:lang w:val="cs-CZ"/>
        </w:rPr>
        <w:t>Poskytovatel</w:t>
      </w:r>
      <w:r w:rsidR="00E317D3" w:rsidRPr="00925F12">
        <w:rPr>
          <w:noProof/>
          <w:szCs w:val="24"/>
          <w:lang w:val="cs-CZ"/>
        </w:rPr>
        <w:t xml:space="preserve"> má možnost odstoupit od této Smlouvy po písemném oznámení </w:t>
      </w:r>
      <w:r w:rsidRPr="00925F12">
        <w:rPr>
          <w:noProof/>
          <w:szCs w:val="24"/>
          <w:lang w:val="cs-CZ"/>
        </w:rPr>
        <w:t>Objednateli</w:t>
      </w:r>
      <w:r w:rsidR="00E317D3" w:rsidRPr="00925F12">
        <w:rPr>
          <w:noProof/>
          <w:szCs w:val="24"/>
          <w:lang w:val="cs-CZ"/>
        </w:rPr>
        <w:t xml:space="preserve"> s okamžitou platností, pokud </w:t>
      </w:r>
      <w:r w:rsidRPr="00925F12">
        <w:rPr>
          <w:noProof/>
          <w:szCs w:val="24"/>
          <w:lang w:val="cs-CZ"/>
        </w:rPr>
        <w:t xml:space="preserve">je Objednatel </w:t>
      </w:r>
      <w:r w:rsidR="00B34A3C" w:rsidRPr="00925F12">
        <w:rPr>
          <w:noProof/>
          <w:szCs w:val="24"/>
          <w:lang w:val="cs-CZ"/>
        </w:rPr>
        <w:t>v prodlení</w:t>
      </w:r>
      <w:r w:rsidRPr="00925F12">
        <w:rPr>
          <w:noProof/>
          <w:szCs w:val="24"/>
          <w:lang w:val="cs-CZ"/>
        </w:rPr>
        <w:t xml:space="preserve"> s úhradou </w:t>
      </w:r>
      <w:r w:rsidR="00B34A3C" w:rsidRPr="00925F12">
        <w:rPr>
          <w:noProof/>
          <w:szCs w:val="24"/>
          <w:lang w:val="cs-CZ"/>
        </w:rPr>
        <w:t xml:space="preserve">dvou nebo více </w:t>
      </w:r>
      <w:r w:rsidRPr="00925F12">
        <w:rPr>
          <w:noProof/>
          <w:szCs w:val="24"/>
          <w:lang w:val="cs-CZ"/>
        </w:rPr>
        <w:t>faktur</w:t>
      </w:r>
      <w:r w:rsidR="00B34A3C" w:rsidRPr="00925F12">
        <w:rPr>
          <w:noProof/>
          <w:szCs w:val="24"/>
          <w:lang w:val="cs-CZ"/>
        </w:rPr>
        <w:t>, které byly vystaveny na základě této Smlouvy.</w:t>
      </w:r>
    </w:p>
    <w:p w14:paraId="46F2FA6A" w14:textId="77777777" w:rsidR="00200E11" w:rsidRPr="00925F12" w:rsidRDefault="00200E11" w:rsidP="009E33B4">
      <w:pPr>
        <w:numPr>
          <w:ilvl w:val="0"/>
          <w:numId w:val="30"/>
        </w:numPr>
        <w:tabs>
          <w:tab w:val="clear" w:pos="720"/>
          <w:tab w:val="num" w:pos="426"/>
        </w:tabs>
        <w:ind w:left="426" w:hanging="426"/>
        <w:jc w:val="both"/>
        <w:rPr>
          <w:noProof/>
          <w:szCs w:val="24"/>
          <w:lang w:val="cs-CZ"/>
        </w:rPr>
      </w:pPr>
      <w:r w:rsidRPr="00925F12">
        <w:rPr>
          <w:noProof/>
          <w:szCs w:val="24"/>
          <w:lang w:val="cs-CZ"/>
        </w:rPr>
        <w:t xml:space="preserve">Po písemném oznámení o odstoupení od Smlouvy dle odst. </w:t>
      </w:r>
      <w:r w:rsidR="000923E7" w:rsidRPr="00925F12">
        <w:rPr>
          <w:noProof/>
          <w:szCs w:val="24"/>
          <w:lang w:val="cs-CZ"/>
        </w:rPr>
        <w:t>1</w:t>
      </w:r>
      <w:r w:rsidRPr="00925F12">
        <w:rPr>
          <w:noProof/>
          <w:szCs w:val="24"/>
          <w:lang w:val="cs-CZ"/>
        </w:rPr>
        <w:t xml:space="preserve">. tohoto článku nebude poskytováno žádné plnění uvedené v čl. II. Toto ukončení poskytování plnění nezprošťuje </w:t>
      </w:r>
      <w:r w:rsidR="00A1507E" w:rsidRPr="00925F12">
        <w:rPr>
          <w:noProof/>
          <w:szCs w:val="24"/>
          <w:lang w:val="cs-CZ"/>
        </w:rPr>
        <w:t>Objednatele</w:t>
      </w:r>
      <w:r w:rsidRPr="00925F12">
        <w:rPr>
          <w:noProof/>
          <w:szCs w:val="24"/>
          <w:lang w:val="cs-CZ"/>
        </w:rPr>
        <w:t xml:space="preserve"> povinnosti uhradit všechny pohledávky Poskytovatele vůči </w:t>
      </w:r>
      <w:r w:rsidR="00A1507E" w:rsidRPr="00925F12">
        <w:rPr>
          <w:noProof/>
          <w:szCs w:val="24"/>
          <w:lang w:val="cs-CZ"/>
        </w:rPr>
        <w:t>Objednateli</w:t>
      </w:r>
      <w:r w:rsidRPr="00925F12">
        <w:rPr>
          <w:noProof/>
          <w:szCs w:val="24"/>
          <w:lang w:val="cs-CZ"/>
        </w:rPr>
        <w:t>, které vznikly před odstoupením, a neomezuje žádnou stranu v použití nápravy, která je jí dostupná. Smluvní strany se zavazují bez zbytečného odkladu vzájemně vyrovnat své závazky a pohledávky, a to včetně vrácení předem zaplacené úhrady za plnění, na kterou jim již nev</w:t>
      </w:r>
      <w:r w:rsidR="00A1507E" w:rsidRPr="00925F12">
        <w:rPr>
          <w:noProof/>
          <w:szCs w:val="24"/>
          <w:lang w:val="cs-CZ"/>
        </w:rPr>
        <w:t>znikl nárok.</w:t>
      </w:r>
    </w:p>
    <w:p w14:paraId="727D96E3" w14:textId="77777777" w:rsidR="00200E11" w:rsidRPr="00925F12" w:rsidRDefault="00200E11" w:rsidP="009E33B4">
      <w:pPr>
        <w:numPr>
          <w:ilvl w:val="0"/>
          <w:numId w:val="30"/>
        </w:numPr>
        <w:tabs>
          <w:tab w:val="clear" w:pos="720"/>
          <w:tab w:val="num" w:pos="426"/>
        </w:tabs>
        <w:ind w:left="426" w:hanging="426"/>
        <w:jc w:val="both"/>
        <w:rPr>
          <w:noProof/>
          <w:szCs w:val="24"/>
          <w:lang w:val="cs-CZ"/>
        </w:rPr>
      </w:pPr>
      <w:r w:rsidRPr="00925F12">
        <w:rPr>
          <w:noProof/>
          <w:szCs w:val="24"/>
          <w:lang w:val="cs-CZ"/>
        </w:rPr>
        <w:t>Opominutí nebo otálení kterékoli strany uvést v platnost nějakou lhůtu uvedenou v tomto článku nebude považováno za vzdání se této lhůty.</w:t>
      </w:r>
    </w:p>
    <w:p w14:paraId="57126F42" w14:textId="77777777" w:rsidR="00200E11" w:rsidRPr="00925F12" w:rsidRDefault="00200E11" w:rsidP="00020042">
      <w:pPr>
        <w:spacing w:before="240"/>
        <w:jc w:val="center"/>
        <w:rPr>
          <w:b/>
          <w:noProof/>
          <w:szCs w:val="24"/>
          <w:lang w:val="cs-CZ"/>
        </w:rPr>
      </w:pPr>
      <w:r w:rsidRPr="00925F12">
        <w:rPr>
          <w:b/>
          <w:noProof/>
          <w:szCs w:val="24"/>
          <w:lang w:val="cs-CZ"/>
        </w:rPr>
        <w:t>IX.</w:t>
      </w:r>
      <w:r w:rsidRPr="00925F12">
        <w:rPr>
          <w:b/>
          <w:noProof/>
          <w:szCs w:val="24"/>
          <w:lang w:val="cs-CZ"/>
        </w:rPr>
        <w:br/>
        <w:t>Sankce</w:t>
      </w:r>
    </w:p>
    <w:p w14:paraId="79432D49" w14:textId="77777777" w:rsidR="00200E11" w:rsidRPr="00925F12" w:rsidRDefault="00667925" w:rsidP="00200E11">
      <w:pPr>
        <w:numPr>
          <w:ilvl w:val="1"/>
          <w:numId w:val="8"/>
        </w:numPr>
        <w:tabs>
          <w:tab w:val="clear" w:pos="1440"/>
          <w:tab w:val="num" w:pos="426"/>
        </w:tabs>
        <w:ind w:left="426" w:hanging="426"/>
        <w:jc w:val="both"/>
        <w:rPr>
          <w:noProof/>
          <w:szCs w:val="24"/>
          <w:lang w:val="cs-CZ"/>
        </w:rPr>
      </w:pPr>
      <w:r w:rsidRPr="00925F12">
        <w:rPr>
          <w:noProof/>
          <w:szCs w:val="24"/>
          <w:lang w:val="cs-CZ"/>
        </w:rPr>
        <w:t>Objednatel</w:t>
      </w:r>
      <w:r w:rsidR="00200E11" w:rsidRPr="00925F12">
        <w:rPr>
          <w:noProof/>
          <w:szCs w:val="24"/>
          <w:lang w:val="cs-CZ"/>
        </w:rPr>
        <w:t xml:space="preserve"> v případě prodlení se zaplacením faktur vystavených Poskytovatelem </w:t>
      </w:r>
      <w:r w:rsidR="00E65A91" w:rsidRPr="00925F12">
        <w:rPr>
          <w:noProof/>
          <w:szCs w:val="24"/>
          <w:lang w:val="cs-CZ"/>
        </w:rPr>
        <w:t xml:space="preserve">na základě této Smlouvy </w:t>
      </w:r>
      <w:r w:rsidR="00200E11" w:rsidRPr="00925F12">
        <w:rPr>
          <w:noProof/>
          <w:szCs w:val="24"/>
          <w:lang w:val="cs-CZ"/>
        </w:rPr>
        <w:t xml:space="preserve">zaplatí Poskytovateli </w:t>
      </w:r>
      <w:r w:rsidR="00EA736F" w:rsidRPr="00925F12">
        <w:rPr>
          <w:noProof/>
          <w:szCs w:val="24"/>
          <w:lang w:val="cs-CZ"/>
        </w:rPr>
        <w:t>smluvní pokutu</w:t>
      </w:r>
      <w:r w:rsidR="00200E11" w:rsidRPr="00925F12">
        <w:rPr>
          <w:noProof/>
          <w:szCs w:val="24"/>
          <w:lang w:val="cs-CZ"/>
        </w:rPr>
        <w:t xml:space="preserve"> ve výši </w:t>
      </w:r>
      <w:r w:rsidR="00114072" w:rsidRPr="00925F12">
        <w:rPr>
          <w:noProof/>
          <w:szCs w:val="24"/>
          <w:lang w:val="cs-CZ"/>
        </w:rPr>
        <w:t>0,5</w:t>
      </w:r>
      <w:r w:rsidR="00200E11" w:rsidRPr="00925F12">
        <w:rPr>
          <w:noProof/>
          <w:szCs w:val="24"/>
          <w:lang w:val="cs-CZ"/>
        </w:rPr>
        <w:t xml:space="preserve"> % dlužné částky za každý započatý den prodlení.</w:t>
      </w:r>
    </w:p>
    <w:p w14:paraId="212D4275" w14:textId="77777777" w:rsidR="000932CC" w:rsidRPr="00925F12" w:rsidRDefault="00200E11" w:rsidP="009C32E5">
      <w:pPr>
        <w:numPr>
          <w:ilvl w:val="1"/>
          <w:numId w:val="8"/>
        </w:numPr>
        <w:tabs>
          <w:tab w:val="clear" w:pos="1440"/>
          <w:tab w:val="num" w:pos="426"/>
        </w:tabs>
        <w:ind w:left="426" w:hanging="426"/>
        <w:jc w:val="both"/>
        <w:rPr>
          <w:noProof/>
          <w:szCs w:val="24"/>
          <w:lang w:val="cs-CZ"/>
        </w:rPr>
      </w:pPr>
      <w:r w:rsidRPr="00925F12">
        <w:rPr>
          <w:noProof/>
          <w:szCs w:val="24"/>
          <w:lang w:val="cs-CZ"/>
        </w:rPr>
        <w:t xml:space="preserve">Poskytovatel v případě promeškání některé ze lhůt stanovených v čl. IV. zaplatí </w:t>
      </w:r>
      <w:r w:rsidR="006B5A78" w:rsidRPr="00925F12">
        <w:rPr>
          <w:noProof/>
          <w:szCs w:val="24"/>
          <w:lang w:val="cs-CZ"/>
        </w:rPr>
        <w:t>Objednateli</w:t>
      </w:r>
      <w:r w:rsidR="000932CC" w:rsidRPr="00925F12">
        <w:rPr>
          <w:noProof/>
          <w:szCs w:val="24"/>
          <w:lang w:val="cs-CZ"/>
        </w:rPr>
        <w:t xml:space="preserve"> smluvní pokutu </w:t>
      </w:r>
      <w:r w:rsidR="006D12F9">
        <w:rPr>
          <w:noProof/>
          <w:szCs w:val="24"/>
          <w:lang w:val="cs-CZ"/>
        </w:rPr>
        <w:t>definovanou v Příloze č. 2</w:t>
      </w:r>
      <w:r w:rsidR="009C32E5" w:rsidRPr="00925F12">
        <w:rPr>
          <w:noProof/>
          <w:szCs w:val="24"/>
          <w:lang w:val="cs-CZ"/>
        </w:rPr>
        <w:t>.</w:t>
      </w:r>
      <w:r w:rsidR="006D12F9">
        <w:rPr>
          <w:noProof/>
          <w:szCs w:val="24"/>
          <w:lang w:val="cs-CZ"/>
        </w:rPr>
        <w:t xml:space="preserve"> této Smlouvy.</w:t>
      </w:r>
    </w:p>
    <w:p w14:paraId="605B3C92" w14:textId="77777777" w:rsidR="00FF40ED" w:rsidRDefault="00200E11" w:rsidP="00200E11">
      <w:pPr>
        <w:numPr>
          <w:ilvl w:val="1"/>
          <w:numId w:val="8"/>
        </w:numPr>
        <w:tabs>
          <w:tab w:val="clear" w:pos="1440"/>
          <w:tab w:val="num" w:pos="426"/>
        </w:tabs>
        <w:ind w:left="426" w:hanging="426"/>
        <w:jc w:val="both"/>
        <w:rPr>
          <w:noProof/>
          <w:szCs w:val="24"/>
          <w:lang w:val="cs-CZ"/>
        </w:rPr>
      </w:pPr>
      <w:r w:rsidRPr="00925F12">
        <w:rPr>
          <w:noProof/>
          <w:szCs w:val="24"/>
          <w:lang w:val="cs-CZ"/>
        </w:rPr>
        <w:t>Právo na vymáhání smluvní pokuty nemusí být uplatněno. Neuplatnění práva na jejich vymáhání od druhé strany nebude považováno za vzdání se tohoto práva vůbec, pokud bude právo uplatněno v promlčecí době.</w:t>
      </w:r>
    </w:p>
    <w:p w14:paraId="437164D5" w14:textId="77777777" w:rsidR="0060476A" w:rsidRDefault="0060476A" w:rsidP="00A82563">
      <w:pPr>
        <w:spacing w:before="240"/>
        <w:jc w:val="center"/>
        <w:rPr>
          <w:b/>
          <w:noProof/>
          <w:szCs w:val="24"/>
          <w:lang w:val="cs-CZ"/>
        </w:rPr>
      </w:pPr>
    </w:p>
    <w:p w14:paraId="272FA47A" w14:textId="2CB1FE31" w:rsidR="00200E11" w:rsidRPr="00925F12" w:rsidRDefault="00200E11" w:rsidP="00A82563">
      <w:pPr>
        <w:spacing w:before="240"/>
        <w:jc w:val="center"/>
        <w:rPr>
          <w:b/>
          <w:noProof/>
          <w:szCs w:val="24"/>
          <w:lang w:val="cs-CZ"/>
        </w:rPr>
      </w:pPr>
      <w:r w:rsidRPr="00925F12">
        <w:rPr>
          <w:b/>
          <w:noProof/>
          <w:szCs w:val="24"/>
          <w:lang w:val="cs-CZ"/>
        </w:rPr>
        <w:t>X.</w:t>
      </w:r>
      <w:r w:rsidRPr="00925F12">
        <w:rPr>
          <w:b/>
          <w:noProof/>
          <w:szCs w:val="24"/>
          <w:lang w:val="cs-CZ"/>
        </w:rPr>
        <w:br/>
        <w:t>Závěrečná ustanovení</w:t>
      </w:r>
    </w:p>
    <w:p w14:paraId="69C5A453" w14:textId="77777777" w:rsidR="00200E11" w:rsidRDefault="00200E11" w:rsidP="003A236B">
      <w:pPr>
        <w:numPr>
          <w:ilvl w:val="0"/>
          <w:numId w:val="25"/>
        </w:numPr>
        <w:jc w:val="both"/>
        <w:rPr>
          <w:noProof/>
          <w:szCs w:val="24"/>
          <w:lang w:val="cs-CZ"/>
        </w:rPr>
      </w:pPr>
      <w:r w:rsidRPr="00925F12">
        <w:rPr>
          <w:noProof/>
          <w:szCs w:val="24"/>
          <w:lang w:val="cs-CZ"/>
        </w:rPr>
        <w:t>Smlouva nabývá platnosti dnem podpisu oprávněnými zástupci obou smluvních stran</w:t>
      </w:r>
      <w:r w:rsidR="003D593F">
        <w:rPr>
          <w:noProof/>
          <w:szCs w:val="24"/>
          <w:lang w:val="cs-CZ"/>
        </w:rPr>
        <w:t xml:space="preserve"> </w:t>
      </w:r>
      <w:r w:rsidR="003D593F" w:rsidRPr="00925F12">
        <w:rPr>
          <w:noProof/>
          <w:szCs w:val="24"/>
          <w:lang w:val="cs-CZ"/>
        </w:rPr>
        <w:t xml:space="preserve">a </w:t>
      </w:r>
      <w:r w:rsidR="00A97299" w:rsidRPr="00A97299">
        <w:rPr>
          <w:noProof/>
          <w:szCs w:val="24"/>
          <w:lang w:val="cs-CZ"/>
        </w:rPr>
        <w:t>nabývá účinnosti dnem jejího zveřejnění v rejstříku smluv</w:t>
      </w:r>
      <w:r w:rsidR="003D593F">
        <w:rPr>
          <w:noProof/>
          <w:szCs w:val="24"/>
          <w:lang w:val="cs-CZ"/>
        </w:rPr>
        <w:t>.</w:t>
      </w:r>
    </w:p>
    <w:p w14:paraId="5E3DF358" w14:textId="77777777" w:rsidR="00A97299" w:rsidRPr="00925F12" w:rsidRDefault="00A97299" w:rsidP="003A236B">
      <w:pPr>
        <w:numPr>
          <w:ilvl w:val="0"/>
          <w:numId w:val="25"/>
        </w:numPr>
        <w:jc w:val="both"/>
        <w:rPr>
          <w:noProof/>
          <w:szCs w:val="24"/>
          <w:lang w:val="cs-CZ"/>
        </w:rPr>
      </w:pPr>
      <w:r w:rsidRPr="00A97299">
        <w:rPr>
          <w:noProof/>
          <w:szCs w:val="24"/>
          <w:lang w:val="cs-CZ"/>
        </w:rPr>
        <w:lastRenderedPageBreak/>
        <w:t xml:space="preserve">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 Smluvní strany prohlašují, že smlouva neobsahuje žádné obchodní tajemství. Zveřejnění provede </w:t>
      </w:r>
      <w:r>
        <w:rPr>
          <w:noProof/>
          <w:szCs w:val="24"/>
          <w:lang w:val="cs-CZ"/>
        </w:rPr>
        <w:t>O</w:t>
      </w:r>
      <w:r w:rsidRPr="00A97299">
        <w:rPr>
          <w:noProof/>
          <w:szCs w:val="24"/>
          <w:lang w:val="cs-CZ"/>
        </w:rPr>
        <w:t>bjednatel.</w:t>
      </w:r>
    </w:p>
    <w:p w14:paraId="09AD6617" w14:textId="77777777" w:rsidR="000E63C8" w:rsidRPr="00925F12" w:rsidRDefault="003A236B" w:rsidP="000E63C8">
      <w:pPr>
        <w:numPr>
          <w:ilvl w:val="0"/>
          <w:numId w:val="25"/>
        </w:numPr>
        <w:jc w:val="both"/>
        <w:rPr>
          <w:noProof/>
          <w:szCs w:val="24"/>
          <w:lang w:val="cs-CZ"/>
        </w:rPr>
      </w:pPr>
      <w:r w:rsidRPr="00925F12">
        <w:rPr>
          <w:noProof/>
          <w:szCs w:val="24"/>
          <w:lang w:val="cs-CZ"/>
        </w:rPr>
        <w:t xml:space="preserve">Tato smlouva se uzavírá na dobu </w:t>
      </w:r>
      <w:r w:rsidR="00F00D58">
        <w:rPr>
          <w:noProof/>
          <w:szCs w:val="24"/>
          <w:lang w:val="cs-CZ"/>
        </w:rPr>
        <w:t>určitou do data 31. 1. 2028</w:t>
      </w:r>
      <w:r w:rsidR="000E63C8" w:rsidRPr="00925F12">
        <w:rPr>
          <w:noProof/>
          <w:szCs w:val="24"/>
          <w:lang w:val="cs-CZ"/>
        </w:rPr>
        <w:t>.</w:t>
      </w:r>
    </w:p>
    <w:p w14:paraId="5C324224" w14:textId="77777777" w:rsidR="00200E11" w:rsidRPr="00925F12" w:rsidRDefault="00200E11" w:rsidP="003A236B">
      <w:pPr>
        <w:numPr>
          <w:ilvl w:val="0"/>
          <w:numId w:val="25"/>
        </w:numPr>
        <w:jc w:val="both"/>
        <w:rPr>
          <w:noProof/>
          <w:szCs w:val="24"/>
          <w:lang w:val="cs-CZ"/>
        </w:rPr>
      </w:pPr>
      <w:r w:rsidRPr="00925F12">
        <w:rPr>
          <w:noProof/>
          <w:szCs w:val="24"/>
          <w:lang w:val="cs-CZ"/>
        </w:rPr>
        <w:t>Veškeré změny a doplňky týkající se Smlouvy budou provedeny formou písemných, pořadově číslovaných dodatků, které musí být podepsány zástupci smluvních stran oprávněnými k podpisu smlouvy.</w:t>
      </w:r>
    </w:p>
    <w:p w14:paraId="0F204B5A" w14:textId="77777777" w:rsidR="00200E11" w:rsidRPr="00925F12" w:rsidRDefault="00200E11" w:rsidP="003A236B">
      <w:pPr>
        <w:numPr>
          <w:ilvl w:val="0"/>
          <w:numId w:val="25"/>
        </w:numPr>
        <w:jc w:val="both"/>
        <w:rPr>
          <w:noProof/>
          <w:szCs w:val="24"/>
          <w:lang w:val="cs-CZ"/>
        </w:rPr>
      </w:pPr>
      <w:r w:rsidRPr="00925F12">
        <w:rPr>
          <w:noProof/>
          <w:szCs w:val="24"/>
          <w:lang w:val="cs-CZ"/>
        </w:rPr>
        <w:t>Doručování písemností týkajících se této Smlouvy se řídí ustanovením § 46 a násl. zákona č. 99/1963 Sb., občanský soudní řád, ve znění pozdějších předpisů</w:t>
      </w:r>
      <w:r w:rsidR="00AB0BC2">
        <w:rPr>
          <w:noProof/>
          <w:szCs w:val="24"/>
          <w:lang w:val="cs-CZ"/>
        </w:rPr>
        <w:t>, není-li ve Smlouvě pro konkrétní případ uvedeno jinak</w:t>
      </w:r>
      <w:r w:rsidRPr="00925F12">
        <w:rPr>
          <w:noProof/>
          <w:szCs w:val="24"/>
          <w:lang w:val="cs-CZ"/>
        </w:rPr>
        <w:t>.</w:t>
      </w:r>
    </w:p>
    <w:p w14:paraId="64F7813A" w14:textId="77777777" w:rsidR="00200E11" w:rsidRPr="00925F12" w:rsidRDefault="00200E11" w:rsidP="003A236B">
      <w:pPr>
        <w:numPr>
          <w:ilvl w:val="0"/>
          <w:numId w:val="25"/>
        </w:numPr>
        <w:jc w:val="both"/>
        <w:rPr>
          <w:noProof/>
          <w:szCs w:val="24"/>
          <w:lang w:val="cs-CZ"/>
        </w:rPr>
      </w:pPr>
      <w:r w:rsidRPr="00925F12">
        <w:rPr>
          <w:noProof/>
          <w:szCs w:val="24"/>
          <w:lang w:val="cs-CZ"/>
        </w:rPr>
        <w:t>Smluvní strany se zavazují, že případné rozpory, které mezi nimi vzniknou při realizaci této Smlouvy nebo v souvislosti s ní, budou řešit přednostně vzájemným jednáním.</w:t>
      </w:r>
      <w:r w:rsidR="00A045F8" w:rsidRPr="00925F12">
        <w:rPr>
          <w:noProof/>
          <w:szCs w:val="24"/>
          <w:lang w:val="cs-CZ"/>
        </w:rPr>
        <w:t xml:space="preserve"> </w:t>
      </w:r>
      <w:r w:rsidRPr="00925F12">
        <w:rPr>
          <w:noProof/>
          <w:szCs w:val="24"/>
          <w:lang w:val="cs-CZ"/>
        </w:rPr>
        <w:t>V opačném případě k řešení případných sporů určují smluvní strany příslušný obecný soud.</w:t>
      </w:r>
    </w:p>
    <w:p w14:paraId="06257D7E" w14:textId="77777777" w:rsidR="00200E11" w:rsidRPr="00925F12" w:rsidRDefault="00200E11" w:rsidP="003A236B">
      <w:pPr>
        <w:numPr>
          <w:ilvl w:val="0"/>
          <w:numId w:val="25"/>
        </w:numPr>
        <w:jc w:val="both"/>
        <w:rPr>
          <w:noProof/>
          <w:szCs w:val="24"/>
          <w:lang w:val="cs-CZ"/>
        </w:rPr>
      </w:pPr>
      <w:r w:rsidRPr="00925F12">
        <w:rPr>
          <w:noProof/>
          <w:szCs w:val="24"/>
          <w:lang w:val="cs-CZ"/>
        </w:rPr>
        <w:t>Je-li nebo stane-li se některé z ustanovení této Smlouvy neplatným nebo neúčinným, netýká se to ostatních ustanovení této Smlouvy. Smluvní strany se zavazují nahradit takové ustanovení novým, které bude mít stejný cíl a smysl. Totéž platí obdobně, vyskytnou-li se ve Smlouvě případné mezery.</w:t>
      </w:r>
    </w:p>
    <w:p w14:paraId="674C0212" w14:textId="77777777" w:rsidR="00200E11" w:rsidRPr="00925F12" w:rsidRDefault="00200E11" w:rsidP="003A236B">
      <w:pPr>
        <w:numPr>
          <w:ilvl w:val="0"/>
          <w:numId w:val="25"/>
        </w:numPr>
        <w:jc w:val="both"/>
        <w:rPr>
          <w:noProof/>
          <w:szCs w:val="24"/>
          <w:lang w:val="cs-CZ"/>
        </w:rPr>
      </w:pPr>
      <w:r w:rsidRPr="00925F12">
        <w:rPr>
          <w:noProof/>
          <w:szCs w:val="24"/>
          <w:lang w:val="cs-CZ"/>
        </w:rPr>
        <w:t>V případě odlišné úpravy této Smlouvy a jejích dodatků platí dohoda, že platnou je úprava později sjednaná smluvním dodatkem.</w:t>
      </w:r>
    </w:p>
    <w:p w14:paraId="69F84853" w14:textId="77777777" w:rsidR="00C03F17" w:rsidRPr="00925F12" w:rsidRDefault="00200E11" w:rsidP="003A236B">
      <w:pPr>
        <w:numPr>
          <w:ilvl w:val="0"/>
          <w:numId w:val="25"/>
        </w:numPr>
        <w:jc w:val="both"/>
        <w:rPr>
          <w:noProof/>
          <w:szCs w:val="24"/>
          <w:lang w:val="cs-CZ"/>
        </w:rPr>
      </w:pPr>
      <w:r w:rsidRPr="00925F12">
        <w:rPr>
          <w:noProof/>
          <w:szCs w:val="24"/>
          <w:lang w:val="cs-CZ"/>
        </w:rPr>
        <w:t xml:space="preserve">Vztahy vyplývající z této Smlouvy nebo s ní související, které zde nejsou výslovně upraveny, se řídí </w:t>
      </w:r>
      <w:r w:rsidR="00AB0BC2">
        <w:rPr>
          <w:noProof/>
          <w:szCs w:val="24"/>
          <w:lang w:val="cs-CZ"/>
        </w:rPr>
        <w:t>občanským</w:t>
      </w:r>
      <w:r w:rsidRPr="00925F12">
        <w:rPr>
          <w:noProof/>
          <w:szCs w:val="24"/>
          <w:lang w:val="cs-CZ"/>
        </w:rPr>
        <w:t xml:space="preserve"> zákoníkem v platném znění. Vztahy související s uplatněním autorských práv se řídí autorským zákonem. </w:t>
      </w:r>
    </w:p>
    <w:p w14:paraId="74FB858B" w14:textId="77777777" w:rsidR="000E63C8" w:rsidRPr="00925F12" w:rsidRDefault="00200E11" w:rsidP="003A236B">
      <w:pPr>
        <w:numPr>
          <w:ilvl w:val="0"/>
          <w:numId w:val="25"/>
        </w:numPr>
        <w:jc w:val="both"/>
        <w:rPr>
          <w:noProof/>
          <w:szCs w:val="24"/>
          <w:lang w:val="cs-CZ"/>
        </w:rPr>
      </w:pPr>
      <w:r w:rsidRPr="00925F12">
        <w:rPr>
          <w:noProof/>
          <w:szCs w:val="24"/>
          <w:lang w:val="cs-CZ"/>
        </w:rPr>
        <w:t xml:space="preserve">Smluvní strany prohlašují, že tato Smlouva je výrazem jejich pravé, vážné a svobodné vůle, jakož i to, že jim nejsou známy žádné okolnosti, které by její uzavření vylučovaly. Na důkaz toho připojují oprávnění zástupci smluvních stran své podpisy. </w:t>
      </w:r>
    </w:p>
    <w:p w14:paraId="703F2D30" w14:textId="77777777" w:rsidR="00FF40ED" w:rsidRPr="00925F12" w:rsidRDefault="00200E11" w:rsidP="003A236B">
      <w:pPr>
        <w:numPr>
          <w:ilvl w:val="0"/>
          <w:numId w:val="25"/>
        </w:numPr>
        <w:jc w:val="both"/>
        <w:rPr>
          <w:noProof/>
          <w:szCs w:val="24"/>
          <w:lang w:val="cs-CZ"/>
        </w:rPr>
      </w:pPr>
      <w:r w:rsidRPr="00925F12">
        <w:rPr>
          <w:noProof/>
          <w:szCs w:val="24"/>
          <w:lang w:val="cs-CZ"/>
        </w:rPr>
        <w:t xml:space="preserve">Smluvní strany se zavazují, že </w:t>
      </w:r>
      <w:r w:rsidR="00036351" w:rsidRPr="00925F12">
        <w:rPr>
          <w:noProof/>
          <w:szCs w:val="24"/>
          <w:lang w:val="cs-CZ"/>
        </w:rPr>
        <w:t xml:space="preserve">bez zbytečného odkladu </w:t>
      </w:r>
      <w:r w:rsidRPr="00925F12">
        <w:rPr>
          <w:noProof/>
          <w:szCs w:val="24"/>
          <w:lang w:val="cs-CZ"/>
        </w:rPr>
        <w:t xml:space="preserve">sdělí </w:t>
      </w:r>
      <w:r w:rsidR="00036351" w:rsidRPr="00925F12">
        <w:rPr>
          <w:noProof/>
          <w:szCs w:val="24"/>
          <w:lang w:val="cs-CZ"/>
        </w:rPr>
        <w:t xml:space="preserve">druhé smluvní straně </w:t>
      </w:r>
      <w:r w:rsidRPr="00925F12">
        <w:rPr>
          <w:noProof/>
          <w:szCs w:val="24"/>
          <w:lang w:val="cs-CZ"/>
        </w:rPr>
        <w:t xml:space="preserve">všechny změny v údajích uvedených v této smlouvě, jakož i další změny, které by mohly mít vliv na plnění dle smlouvy. </w:t>
      </w:r>
    </w:p>
    <w:p w14:paraId="42B588D7" w14:textId="77777777" w:rsidR="005F4677" w:rsidRDefault="00200E11" w:rsidP="00983D35">
      <w:pPr>
        <w:numPr>
          <w:ilvl w:val="0"/>
          <w:numId w:val="25"/>
        </w:numPr>
        <w:jc w:val="both"/>
        <w:rPr>
          <w:noProof/>
          <w:szCs w:val="24"/>
          <w:lang w:val="cs-CZ"/>
        </w:rPr>
      </w:pPr>
      <w:r w:rsidRPr="00925F12">
        <w:rPr>
          <w:noProof/>
          <w:szCs w:val="24"/>
          <w:lang w:val="cs-CZ"/>
        </w:rPr>
        <w:t>Tato Smlouva, stejně jako její přílohy je vyhotovena ve dvou stejnopisech, z nichž každá ze smluvních stran obdrží jeden výtisk.</w:t>
      </w:r>
    </w:p>
    <w:p w14:paraId="494F8A6E" w14:textId="77777777" w:rsidR="00200E11" w:rsidRPr="005F4677" w:rsidRDefault="00200E11" w:rsidP="00161919">
      <w:pPr>
        <w:numPr>
          <w:ilvl w:val="0"/>
          <w:numId w:val="25"/>
        </w:numPr>
        <w:jc w:val="both"/>
        <w:rPr>
          <w:noProof/>
          <w:szCs w:val="24"/>
          <w:lang w:val="cs-CZ"/>
        </w:rPr>
      </w:pPr>
      <w:r w:rsidRPr="005F4677">
        <w:rPr>
          <w:noProof/>
          <w:szCs w:val="24"/>
          <w:lang w:val="cs-CZ"/>
        </w:rPr>
        <w:t>Nedílnou součástí Smlouvy jsou následující přílohy:</w:t>
      </w:r>
    </w:p>
    <w:p w14:paraId="0B7E6E23" w14:textId="77777777" w:rsidR="002B53F1" w:rsidRPr="00925F12" w:rsidRDefault="00200E11" w:rsidP="002B53F1">
      <w:pPr>
        <w:numPr>
          <w:ilvl w:val="1"/>
          <w:numId w:val="9"/>
        </w:numPr>
        <w:jc w:val="both"/>
        <w:rPr>
          <w:noProof/>
          <w:szCs w:val="24"/>
          <w:lang w:val="cs-CZ"/>
        </w:rPr>
      </w:pPr>
      <w:r w:rsidRPr="00925F12">
        <w:rPr>
          <w:noProof/>
          <w:szCs w:val="24"/>
          <w:lang w:val="cs-CZ"/>
        </w:rPr>
        <w:t>Příloha č. 1 –</w:t>
      </w:r>
      <w:r w:rsidR="00F00D58">
        <w:rPr>
          <w:noProof/>
          <w:szCs w:val="24"/>
          <w:lang w:val="cs-CZ"/>
        </w:rPr>
        <w:t xml:space="preserve"> </w:t>
      </w:r>
      <w:r w:rsidR="007C6EE7" w:rsidRPr="00925F12">
        <w:rPr>
          <w:noProof/>
          <w:szCs w:val="24"/>
          <w:lang w:val="cs-CZ"/>
        </w:rPr>
        <w:t>S</w:t>
      </w:r>
      <w:r w:rsidRPr="00925F12">
        <w:rPr>
          <w:noProof/>
          <w:szCs w:val="24"/>
          <w:lang w:val="cs-CZ"/>
        </w:rPr>
        <w:t xml:space="preserve">pecifikace </w:t>
      </w:r>
      <w:r w:rsidR="003148B3" w:rsidRPr="00925F12">
        <w:rPr>
          <w:noProof/>
          <w:szCs w:val="24"/>
          <w:lang w:val="cs-CZ"/>
        </w:rPr>
        <w:t>předmětu smlouvy</w:t>
      </w:r>
      <w:r w:rsidRPr="00925F12">
        <w:rPr>
          <w:noProof/>
          <w:szCs w:val="24"/>
          <w:lang w:val="cs-CZ"/>
        </w:rPr>
        <w:t xml:space="preserve"> </w:t>
      </w:r>
    </w:p>
    <w:p w14:paraId="0C53F5D5" w14:textId="77777777" w:rsidR="0066408A" w:rsidRPr="00925F12" w:rsidRDefault="0066408A" w:rsidP="00F047C5">
      <w:pPr>
        <w:numPr>
          <w:ilvl w:val="1"/>
          <w:numId w:val="9"/>
        </w:numPr>
        <w:spacing w:before="0"/>
        <w:jc w:val="both"/>
        <w:rPr>
          <w:noProof/>
          <w:szCs w:val="24"/>
          <w:lang w:val="cs-CZ"/>
        </w:rPr>
      </w:pPr>
      <w:r w:rsidRPr="00925F12">
        <w:rPr>
          <w:noProof/>
          <w:szCs w:val="24"/>
          <w:lang w:val="cs-CZ"/>
        </w:rPr>
        <w:t xml:space="preserve">Příloha č. </w:t>
      </w:r>
      <w:r w:rsidR="00983D35" w:rsidRPr="00925F12">
        <w:rPr>
          <w:noProof/>
          <w:szCs w:val="24"/>
          <w:lang w:val="cs-CZ"/>
        </w:rPr>
        <w:t>2</w:t>
      </w:r>
      <w:r w:rsidRPr="00925F12">
        <w:rPr>
          <w:noProof/>
          <w:szCs w:val="24"/>
          <w:lang w:val="cs-CZ"/>
        </w:rPr>
        <w:t xml:space="preserve"> – </w:t>
      </w:r>
      <w:r w:rsidR="00F047C5" w:rsidRPr="00925F12">
        <w:rPr>
          <w:noProof/>
          <w:szCs w:val="24"/>
          <w:lang w:val="cs-CZ"/>
        </w:rPr>
        <w:t>Pravidla kontaktování technické podpory</w:t>
      </w:r>
    </w:p>
    <w:p w14:paraId="0C0A99F0" w14:textId="77777777" w:rsidR="0066408A" w:rsidRPr="00925F12" w:rsidRDefault="000F40FF" w:rsidP="00880C07">
      <w:pPr>
        <w:numPr>
          <w:ilvl w:val="1"/>
          <w:numId w:val="9"/>
        </w:numPr>
        <w:spacing w:before="0"/>
        <w:jc w:val="both"/>
        <w:rPr>
          <w:noProof/>
          <w:szCs w:val="24"/>
          <w:lang w:val="cs-CZ"/>
        </w:rPr>
      </w:pPr>
      <w:r w:rsidRPr="00925F12">
        <w:rPr>
          <w:noProof/>
          <w:szCs w:val="24"/>
          <w:lang w:val="cs-CZ"/>
        </w:rPr>
        <w:t xml:space="preserve">Příloha č. </w:t>
      </w:r>
      <w:r w:rsidR="00983D35" w:rsidRPr="00925F12">
        <w:rPr>
          <w:noProof/>
          <w:szCs w:val="24"/>
          <w:lang w:val="cs-CZ"/>
        </w:rPr>
        <w:t>3</w:t>
      </w:r>
      <w:r w:rsidRPr="00925F12">
        <w:rPr>
          <w:noProof/>
          <w:szCs w:val="24"/>
          <w:lang w:val="cs-CZ"/>
        </w:rPr>
        <w:t xml:space="preserve"> – Ceník práce</w:t>
      </w:r>
      <w:r w:rsidR="008522CD" w:rsidRPr="00925F12">
        <w:rPr>
          <w:noProof/>
          <w:szCs w:val="24"/>
          <w:lang w:val="cs-CZ"/>
        </w:rPr>
        <w:t xml:space="preserve"> Poskytovatele</w:t>
      </w:r>
    </w:p>
    <w:p w14:paraId="0DC05073" w14:textId="703620B5" w:rsidR="00676DDC" w:rsidRDefault="00676DDC" w:rsidP="00676DDC">
      <w:pPr>
        <w:spacing w:before="0"/>
        <w:jc w:val="both"/>
        <w:rPr>
          <w:noProof/>
          <w:szCs w:val="24"/>
          <w:lang w:val="cs-CZ"/>
        </w:rPr>
      </w:pPr>
    </w:p>
    <w:p w14:paraId="6791BE15" w14:textId="5D360F0F" w:rsidR="0060476A" w:rsidRDefault="0060476A" w:rsidP="00676DDC">
      <w:pPr>
        <w:spacing w:before="0"/>
        <w:jc w:val="both"/>
        <w:rPr>
          <w:noProof/>
          <w:szCs w:val="24"/>
          <w:lang w:val="cs-CZ"/>
        </w:rPr>
      </w:pPr>
    </w:p>
    <w:p w14:paraId="7DEC8DB5" w14:textId="77056218" w:rsidR="0060476A" w:rsidRDefault="0060476A" w:rsidP="00676DDC">
      <w:pPr>
        <w:spacing w:before="0"/>
        <w:jc w:val="both"/>
        <w:rPr>
          <w:noProof/>
          <w:szCs w:val="24"/>
          <w:lang w:val="cs-CZ"/>
        </w:rPr>
      </w:pPr>
    </w:p>
    <w:p w14:paraId="249130FA" w14:textId="77777777" w:rsidR="0060476A" w:rsidRPr="00925F12" w:rsidRDefault="0060476A" w:rsidP="00676DDC">
      <w:pPr>
        <w:spacing w:before="0"/>
        <w:jc w:val="both"/>
        <w:rPr>
          <w:noProof/>
          <w:szCs w:val="24"/>
          <w:lang w:val="cs-CZ"/>
        </w:rPr>
      </w:pPr>
    </w:p>
    <w:p w14:paraId="2FC47597" w14:textId="77777777" w:rsidR="00C510D8" w:rsidRDefault="00C510D8" w:rsidP="00200E11">
      <w:pPr>
        <w:spacing w:before="360" w:after="840"/>
        <w:ind w:left="284" w:hanging="284"/>
        <w:jc w:val="both"/>
        <w:rPr>
          <w:noProof/>
          <w:szCs w:val="24"/>
          <w:lang w:val="cs-CZ"/>
        </w:rPr>
      </w:pPr>
    </w:p>
    <w:p w14:paraId="25DB1176" w14:textId="40B30B47" w:rsidR="00200E11" w:rsidRPr="00925F12" w:rsidRDefault="00C03F17" w:rsidP="00200E11">
      <w:pPr>
        <w:spacing w:before="360" w:after="840"/>
        <w:ind w:left="284" w:hanging="284"/>
        <w:jc w:val="both"/>
        <w:rPr>
          <w:noProof/>
          <w:szCs w:val="24"/>
          <w:lang w:val="cs-CZ"/>
        </w:rPr>
      </w:pPr>
      <w:r w:rsidRPr="00925F12">
        <w:rPr>
          <w:noProof/>
          <w:szCs w:val="24"/>
          <w:lang w:val="cs-CZ"/>
        </w:rPr>
        <w:lastRenderedPageBreak/>
        <w:t>V Praze dne</w:t>
      </w:r>
      <w:r w:rsidR="00200E11" w:rsidRPr="00925F12">
        <w:rPr>
          <w:noProof/>
          <w:szCs w:val="24"/>
          <w:lang w:val="cs-CZ"/>
        </w:rPr>
        <w:t xml:space="preserve"> </w:t>
      </w:r>
      <w:r w:rsidR="0096661E">
        <w:rPr>
          <w:noProof/>
          <w:szCs w:val="24"/>
          <w:lang w:val="cs-CZ"/>
        </w:rPr>
        <w:tab/>
      </w:r>
      <w:r w:rsidR="0096661E">
        <w:rPr>
          <w:noProof/>
          <w:szCs w:val="24"/>
          <w:lang w:val="cs-CZ"/>
        </w:rPr>
        <w:tab/>
      </w:r>
      <w:r w:rsidR="0096661E">
        <w:rPr>
          <w:noProof/>
          <w:szCs w:val="24"/>
          <w:lang w:val="cs-CZ"/>
        </w:rPr>
        <w:tab/>
      </w:r>
      <w:r w:rsidR="0096661E">
        <w:rPr>
          <w:noProof/>
          <w:szCs w:val="24"/>
          <w:lang w:val="cs-CZ"/>
        </w:rPr>
        <w:tab/>
      </w:r>
      <w:r w:rsidR="0096661E">
        <w:rPr>
          <w:noProof/>
          <w:szCs w:val="24"/>
          <w:lang w:val="cs-CZ"/>
        </w:rPr>
        <w:tab/>
      </w:r>
      <w:r w:rsidR="0096661E">
        <w:rPr>
          <w:noProof/>
          <w:szCs w:val="24"/>
          <w:lang w:val="cs-CZ"/>
        </w:rPr>
        <w:tab/>
        <w:t>V </w:t>
      </w:r>
      <w:r w:rsidR="00C86CDC">
        <w:rPr>
          <w:noProof/>
          <w:szCs w:val="24"/>
          <w:lang w:val="cs-CZ"/>
        </w:rPr>
        <w:t>Praze</w:t>
      </w:r>
      <w:r w:rsidR="0096661E">
        <w:rPr>
          <w:noProof/>
          <w:szCs w:val="24"/>
          <w:lang w:val="cs-CZ"/>
        </w:rPr>
        <w:t xml:space="preserve"> dne</w:t>
      </w:r>
    </w:p>
    <w:tbl>
      <w:tblPr>
        <w:tblW w:w="9288" w:type="dxa"/>
        <w:tblLayout w:type="fixed"/>
        <w:tblLook w:val="0000" w:firstRow="0" w:lastRow="0" w:firstColumn="0" w:lastColumn="0" w:noHBand="0" w:noVBand="0"/>
      </w:tblPr>
      <w:tblGrid>
        <w:gridCol w:w="4082"/>
        <w:gridCol w:w="236"/>
        <w:gridCol w:w="4970"/>
      </w:tblGrid>
      <w:tr w:rsidR="00200E11" w:rsidRPr="00925F12" w14:paraId="101E486F" w14:textId="77777777">
        <w:trPr>
          <w:cantSplit/>
        </w:trPr>
        <w:tc>
          <w:tcPr>
            <w:tcW w:w="4082" w:type="dxa"/>
            <w:tcBorders>
              <w:top w:val="nil"/>
              <w:left w:val="nil"/>
              <w:bottom w:val="nil"/>
              <w:right w:val="nil"/>
            </w:tcBorders>
          </w:tcPr>
          <w:p w14:paraId="6039B2DB" w14:textId="77777777" w:rsidR="00200E11" w:rsidRPr="00925F12" w:rsidRDefault="00200E11" w:rsidP="00036351">
            <w:pPr>
              <w:spacing w:before="0"/>
              <w:jc w:val="center"/>
              <w:rPr>
                <w:noProof/>
                <w:szCs w:val="24"/>
                <w:lang w:val="cs-CZ"/>
              </w:rPr>
            </w:pPr>
            <w:r w:rsidRPr="00925F12">
              <w:rPr>
                <w:noProof/>
                <w:szCs w:val="24"/>
                <w:lang w:val="cs-CZ"/>
              </w:rPr>
              <w:t>Poskytovatel:</w:t>
            </w:r>
          </w:p>
        </w:tc>
        <w:tc>
          <w:tcPr>
            <w:tcW w:w="236" w:type="dxa"/>
            <w:tcBorders>
              <w:top w:val="nil"/>
              <w:left w:val="nil"/>
              <w:bottom w:val="nil"/>
              <w:right w:val="nil"/>
            </w:tcBorders>
          </w:tcPr>
          <w:p w14:paraId="208F7758" w14:textId="77777777" w:rsidR="00200E11" w:rsidRPr="00925F12" w:rsidRDefault="00200E11" w:rsidP="00036351">
            <w:pPr>
              <w:spacing w:before="0"/>
              <w:jc w:val="center"/>
              <w:rPr>
                <w:noProof/>
                <w:szCs w:val="24"/>
                <w:lang w:val="cs-CZ"/>
              </w:rPr>
            </w:pPr>
          </w:p>
        </w:tc>
        <w:tc>
          <w:tcPr>
            <w:tcW w:w="4970" w:type="dxa"/>
            <w:tcBorders>
              <w:top w:val="nil"/>
              <w:left w:val="nil"/>
              <w:bottom w:val="nil"/>
              <w:right w:val="nil"/>
            </w:tcBorders>
          </w:tcPr>
          <w:p w14:paraId="3AE22124" w14:textId="77777777" w:rsidR="00200E11" w:rsidRPr="00925F12" w:rsidRDefault="00D17851" w:rsidP="00036351">
            <w:pPr>
              <w:spacing w:before="0"/>
              <w:jc w:val="center"/>
              <w:rPr>
                <w:noProof/>
                <w:szCs w:val="24"/>
                <w:lang w:val="cs-CZ"/>
              </w:rPr>
            </w:pPr>
            <w:r w:rsidRPr="00925F12">
              <w:rPr>
                <w:noProof/>
                <w:szCs w:val="24"/>
                <w:lang w:val="cs-CZ"/>
              </w:rPr>
              <w:t>Objednatel</w:t>
            </w:r>
            <w:r w:rsidR="00200E11" w:rsidRPr="00925F12">
              <w:rPr>
                <w:noProof/>
                <w:szCs w:val="24"/>
                <w:lang w:val="cs-CZ"/>
              </w:rPr>
              <w:t>:</w:t>
            </w:r>
          </w:p>
        </w:tc>
      </w:tr>
      <w:tr w:rsidR="00200E11" w:rsidRPr="00925F12" w14:paraId="40EB452D" w14:textId="77777777">
        <w:trPr>
          <w:cantSplit/>
        </w:trPr>
        <w:tc>
          <w:tcPr>
            <w:tcW w:w="4082" w:type="dxa"/>
            <w:tcBorders>
              <w:top w:val="nil"/>
              <w:left w:val="nil"/>
              <w:bottom w:val="nil"/>
              <w:right w:val="nil"/>
            </w:tcBorders>
          </w:tcPr>
          <w:p w14:paraId="74CD8271" w14:textId="77777777" w:rsidR="00200E11" w:rsidRPr="00925F12" w:rsidRDefault="00200E11" w:rsidP="00036351">
            <w:pPr>
              <w:spacing w:before="0" w:after="120"/>
              <w:jc w:val="center"/>
              <w:rPr>
                <w:noProof/>
                <w:szCs w:val="24"/>
                <w:lang w:val="cs-CZ"/>
              </w:rPr>
            </w:pPr>
          </w:p>
        </w:tc>
        <w:tc>
          <w:tcPr>
            <w:tcW w:w="236" w:type="dxa"/>
            <w:tcBorders>
              <w:top w:val="nil"/>
              <w:left w:val="nil"/>
              <w:bottom w:val="nil"/>
              <w:right w:val="nil"/>
            </w:tcBorders>
          </w:tcPr>
          <w:p w14:paraId="0B122B21" w14:textId="77777777" w:rsidR="00200E11" w:rsidRPr="00925F12" w:rsidRDefault="00200E11" w:rsidP="00036351">
            <w:pPr>
              <w:spacing w:before="0" w:after="120"/>
              <w:jc w:val="center"/>
              <w:rPr>
                <w:noProof/>
                <w:szCs w:val="24"/>
                <w:lang w:val="cs-CZ"/>
              </w:rPr>
            </w:pPr>
          </w:p>
        </w:tc>
        <w:tc>
          <w:tcPr>
            <w:tcW w:w="4970" w:type="dxa"/>
            <w:tcBorders>
              <w:top w:val="nil"/>
              <w:left w:val="nil"/>
              <w:bottom w:val="nil"/>
              <w:right w:val="nil"/>
            </w:tcBorders>
          </w:tcPr>
          <w:p w14:paraId="530D510D" w14:textId="77777777" w:rsidR="00200E11" w:rsidRPr="00925F12" w:rsidRDefault="00200E11" w:rsidP="00036351">
            <w:pPr>
              <w:spacing w:before="0" w:after="120"/>
              <w:jc w:val="center"/>
              <w:rPr>
                <w:noProof/>
                <w:szCs w:val="24"/>
                <w:lang w:val="cs-CZ"/>
              </w:rPr>
            </w:pPr>
          </w:p>
        </w:tc>
      </w:tr>
      <w:tr w:rsidR="00200E11" w:rsidRPr="00925F12" w14:paraId="747B7204" w14:textId="77777777">
        <w:trPr>
          <w:cantSplit/>
        </w:trPr>
        <w:tc>
          <w:tcPr>
            <w:tcW w:w="4082" w:type="dxa"/>
            <w:tcBorders>
              <w:top w:val="nil"/>
              <w:left w:val="nil"/>
              <w:bottom w:val="nil"/>
              <w:right w:val="nil"/>
            </w:tcBorders>
          </w:tcPr>
          <w:p w14:paraId="1CC9A6F1" w14:textId="77777777" w:rsidR="00200E11" w:rsidRPr="00925F12" w:rsidRDefault="00200E11" w:rsidP="00036351">
            <w:pPr>
              <w:spacing w:before="0" w:after="120"/>
              <w:jc w:val="center"/>
              <w:rPr>
                <w:noProof/>
                <w:szCs w:val="24"/>
                <w:lang w:val="cs-CZ"/>
              </w:rPr>
            </w:pPr>
          </w:p>
          <w:p w14:paraId="7F162BFC" w14:textId="77777777" w:rsidR="00200E11" w:rsidRPr="00925F12" w:rsidRDefault="00200E11" w:rsidP="00880C07">
            <w:pPr>
              <w:spacing w:before="0" w:after="120"/>
              <w:rPr>
                <w:noProof/>
                <w:szCs w:val="24"/>
                <w:lang w:val="cs-CZ"/>
              </w:rPr>
            </w:pPr>
          </w:p>
          <w:p w14:paraId="10A26AD8" w14:textId="77777777" w:rsidR="00200E11" w:rsidRPr="00925F12" w:rsidRDefault="00200E11" w:rsidP="00036351">
            <w:pPr>
              <w:spacing w:before="0" w:after="120"/>
              <w:jc w:val="center"/>
              <w:rPr>
                <w:noProof/>
                <w:szCs w:val="24"/>
                <w:lang w:val="cs-CZ"/>
              </w:rPr>
            </w:pPr>
            <w:r w:rsidRPr="00925F12">
              <w:rPr>
                <w:noProof/>
                <w:szCs w:val="24"/>
                <w:lang w:val="cs-CZ"/>
              </w:rPr>
              <w:t xml:space="preserve">. . . . . . . . . . . . . . . . . . . . . . . . . . . . . </w:t>
            </w:r>
          </w:p>
        </w:tc>
        <w:tc>
          <w:tcPr>
            <w:tcW w:w="236" w:type="dxa"/>
            <w:tcBorders>
              <w:top w:val="nil"/>
              <w:left w:val="nil"/>
              <w:bottom w:val="nil"/>
              <w:right w:val="nil"/>
            </w:tcBorders>
          </w:tcPr>
          <w:p w14:paraId="41E9A388" w14:textId="77777777" w:rsidR="00200E11" w:rsidRPr="00925F12" w:rsidRDefault="00200E11" w:rsidP="00036351">
            <w:pPr>
              <w:spacing w:before="0" w:after="120"/>
              <w:jc w:val="center"/>
              <w:rPr>
                <w:noProof/>
                <w:szCs w:val="24"/>
                <w:lang w:val="cs-CZ"/>
              </w:rPr>
            </w:pPr>
          </w:p>
        </w:tc>
        <w:tc>
          <w:tcPr>
            <w:tcW w:w="4970" w:type="dxa"/>
            <w:tcBorders>
              <w:top w:val="nil"/>
              <w:left w:val="nil"/>
              <w:bottom w:val="nil"/>
              <w:right w:val="nil"/>
            </w:tcBorders>
          </w:tcPr>
          <w:p w14:paraId="3B3361B0" w14:textId="77777777" w:rsidR="00200E11" w:rsidRPr="00925F12" w:rsidRDefault="00200E11" w:rsidP="00802588">
            <w:pPr>
              <w:spacing w:before="0" w:after="120"/>
              <w:rPr>
                <w:noProof/>
                <w:szCs w:val="24"/>
                <w:lang w:val="cs-CZ"/>
              </w:rPr>
            </w:pPr>
          </w:p>
          <w:p w14:paraId="3D376924" w14:textId="77777777" w:rsidR="00200E11" w:rsidRPr="00925F12" w:rsidRDefault="00200E11" w:rsidP="00880C07">
            <w:pPr>
              <w:spacing w:before="0" w:after="120"/>
              <w:rPr>
                <w:noProof/>
                <w:szCs w:val="24"/>
                <w:lang w:val="cs-CZ"/>
              </w:rPr>
            </w:pPr>
          </w:p>
          <w:p w14:paraId="11C95981" w14:textId="77777777" w:rsidR="00200E11" w:rsidRPr="00925F12" w:rsidRDefault="00200E11" w:rsidP="00036351">
            <w:pPr>
              <w:spacing w:before="0" w:after="120"/>
              <w:jc w:val="center"/>
              <w:rPr>
                <w:noProof/>
                <w:szCs w:val="24"/>
                <w:lang w:val="cs-CZ"/>
              </w:rPr>
            </w:pPr>
            <w:r w:rsidRPr="00925F12">
              <w:rPr>
                <w:noProof/>
                <w:szCs w:val="24"/>
                <w:lang w:val="cs-CZ"/>
              </w:rPr>
              <w:t xml:space="preserve">. . . . . . . . . . . . . . . . . . . . . . . . . . . . . </w:t>
            </w:r>
          </w:p>
        </w:tc>
      </w:tr>
      <w:tr w:rsidR="00200E11" w:rsidRPr="00B95A61" w14:paraId="7CF220A5" w14:textId="77777777">
        <w:trPr>
          <w:cantSplit/>
        </w:trPr>
        <w:tc>
          <w:tcPr>
            <w:tcW w:w="4082" w:type="dxa"/>
            <w:tcBorders>
              <w:top w:val="nil"/>
              <w:left w:val="nil"/>
              <w:bottom w:val="nil"/>
              <w:right w:val="nil"/>
            </w:tcBorders>
          </w:tcPr>
          <w:p w14:paraId="3ED20095" w14:textId="2F5A4A1D" w:rsidR="001616F2" w:rsidRPr="00925F12" w:rsidRDefault="00D96EAB" w:rsidP="00C03F17">
            <w:pPr>
              <w:pStyle w:val="normalcond"/>
              <w:tabs>
                <w:tab w:val="clear" w:pos="426"/>
                <w:tab w:val="clear" w:pos="2269"/>
                <w:tab w:val="clear" w:pos="5387"/>
                <w:tab w:val="clear" w:pos="6379"/>
              </w:tabs>
              <w:spacing w:before="0" w:line="240" w:lineRule="auto"/>
              <w:jc w:val="center"/>
              <w:rPr>
                <w:noProof/>
                <w:sz w:val="24"/>
                <w:lang w:val="cs-CZ"/>
              </w:rPr>
            </w:pPr>
            <w:r>
              <w:rPr>
                <w:noProof/>
                <w:sz w:val="24"/>
                <w:lang w:val="cs-CZ"/>
              </w:rPr>
              <w:t>xxxxx</w:t>
            </w:r>
          </w:p>
          <w:p w14:paraId="196D3B28" w14:textId="77777777" w:rsidR="00707A8C" w:rsidRPr="00925F12" w:rsidRDefault="00C03F17" w:rsidP="00C03F17">
            <w:pPr>
              <w:pStyle w:val="normalcond"/>
              <w:tabs>
                <w:tab w:val="clear" w:pos="426"/>
                <w:tab w:val="clear" w:pos="2269"/>
                <w:tab w:val="clear" w:pos="5387"/>
                <w:tab w:val="clear" w:pos="6379"/>
              </w:tabs>
              <w:spacing w:before="0" w:line="240" w:lineRule="auto"/>
              <w:jc w:val="center"/>
              <w:rPr>
                <w:noProof/>
                <w:sz w:val="24"/>
                <w:lang w:val="cs-CZ"/>
              </w:rPr>
            </w:pPr>
            <w:r w:rsidRPr="00925F12">
              <w:rPr>
                <w:noProof/>
                <w:sz w:val="24"/>
                <w:lang w:val="cs-CZ"/>
              </w:rPr>
              <w:t>j</w:t>
            </w:r>
            <w:r w:rsidR="00707A8C" w:rsidRPr="00925F12">
              <w:rPr>
                <w:noProof/>
                <w:sz w:val="24"/>
                <w:lang w:val="cs-CZ"/>
              </w:rPr>
              <w:t>ednatel společnosti</w:t>
            </w:r>
          </w:p>
          <w:p w14:paraId="0E833E02" w14:textId="77777777" w:rsidR="00707A8C" w:rsidRPr="00925F12" w:rsidRDefault="00707A8C" w:rsidP="00C03F17">
            <w:pPr>
              <w:pStyle w:val="normalcond"/>
              <w:tabs>
                <w:tab w:val="clear" w:pos="426"/>
                <w:tab w:val="clear" w:pos="2269"/>
                <w:tab w:val="clear" w:pos="5387"/>
                <w:tab w:val="clear" w:pos="6379"/>
              </w:tabs>
              <w:spacing w:before="0" w:line="240" w:lineRule="auto"/>
              <w:jc w:val="center"/>
              <w:rPr>
                <w:noProof/>
                <w:sz w:val="24"/>
                <w:lang w:val="cs-CZ"/>
              </w:rPr>
            </w:pPr>
            <w:r w:rsidRPr="00925F12">
              <w:rPr>
                <w:noProof/>
                <w:sz w:val="24"/>
                <w:lang w:val="cs-CZ"/>
              </w:rPr>
              <w:t>Perfect System, s.r.o.</w:t>
            </w:r>
          </w:p>
        </w:tc>
        <w:tc>
          <w:tcPr>
            <w:tcW w:w="236" w:type="dxa"/>
            <w:tcBorders>
              <w:top w:val="nil"/>
              <w:left w:val="nil"/>
              <w:bottom w:val="nil"/>
              <w:right w:val="nil"/>
            </w:tcBorders>
          </w:tcPr>
          <w:p w14:paraId="5BEE8959" w14:textId="77777777" w:rsidR="00200E11" w:rsidRPr="00925F12" w:rsidRDefault="00200E11" w:rsidP="00036351">
            <w:pPr>
              <w:spacing w:before="0" w:after="120"/>
              <w:jc w:val="center"/>
              <w:rPr>
                <w:noProof/>
                <w:szCs w:val="24"/>
                <w:lang w:val="cs-CZ"/>
              </w:rPr>
            </w:pPr>
          </w:p>
        </w:tc>
        <w:tc>
          <w:tcPr>
            <w:tcW w:w="4970" w:type="dxa"/>
            <w:tcBorders>
              <w:top w:val="nil"/>
              <w:left w:val="nil"/>
              <w:bottom w:val="nil"/>
              <w:right w:val="nil"/>
            </w:tcBorders>
          </w:tcPr>
          <w:p w14:paraId="69180521" w14:textId="2E24F28A" w:rsidR="00C86CDC" w:rsidRPr="00C86CDC" w:rsidRDefault="00D96EAB" w:rsidP="00C86CDC">
            <w:pPr>
              <w:pStyle w:val="normalcond"/>
              <w:tabs>
                <w:tab w:val="clear" w:pos="426"/>
                <w:tab w:val="clear" w:pos="2269"/>
                <w:tab w:val="clear" w:pos="5387"/>
                <w:tab w:val="clear" w:pos="6379"/>
              </w:tabs>
              <w:spacing w:before="0" w:line="240" w:lineRule="auto"/>
              <w:jc w:val="center"/>
              <w:rPr>
                <w:noProof/>
                <w:sz w:val="24"/>
                <w:lang w:val="cs-CZ"/>
              </w:rPr>
            </w:pPr>
            <w:r>
              <w:rPr>
                <w:noProof/>
                <w:sz w:val="24"/>
                <w:lang w:val="cs-CZ"/>
              </w:rPr>
              <w:t>xxxx</w:t>
            </w:r>
          </w:p>
          <w:p w14:paraId="5989AF1C" w14:textId="77777777" w:rsidR="00C86CDC" w:rsidRPr="00C86CDC" w:rsidRDefault="00C86CDC" w:rsidP="00C86CDC">
            <w:pPr>
              <w:pStyle w:val="normalcond"/>
              <w:tabs>
                <w:tab w:val="clear" w:pos="426"/>
                <w:tab w:val="clear" w:pos="2269"/>
                <w:tab w:val="clear" w:pos="5387"/>
                <w:tab w:val="clear" w:pos="6379"/>
              </w:tabs>
              <w:spacing w:before="0" w:line="240" w:lineRule="auto"/>
              <w:jc w:val="center"/>
              <w:rPr>
                <w:noProof/>
                <w:sz w:val="24"/>
                <w:lang w:val="cs-CZ"/>
              </w:rPr>
            </w:pPr>
            <w:r w:rsidRPr="00C86CDC">
              <w:rPr>
                <w:noProof/>
                <w:sz w:val="24"/>
                <w:lang w:val="cs-CZ"/>
              </w:rPr>
              <w:t>generální ředitel</w:t>
            </w:r>
          </w:p>
          <w:p w14:paraId="120FA323" w14:textId="77777777" w:rsidR="00200E11" w:rsidRPr="00925F12" w:rsidRDefault="00C86CDC" w:rsidP="00C86CDC">
            <w:pPr>
              <w:pStyle w:val="normalcond"/>
              <w:tabs>
                <w:tab w:val="clear" w:pos="426"/>
                <w:tab w:val="clear" w:pos="2269"/>
                <w:tab w:val="clear" w:pos="5387"/>
                <w:tab w:val="clear" w:pos="6379"/>
              </w:tabs>
              <w:spacing w:before="0" w:line="240" w:lineRule="auto"/>
              <w:jc w:val="center"/>
              <w:rPr>
                <w:noProof/>
                <w:sz w:val="24"/>
                <w:lang w:val="cs-CZ"/>
              </w:rPr>
            </w:pPr>
            <w:r w:rsidRPr="00C86CDC">
              <w:rPr>
                <w:noProof/>
                <w:sz w:val="24"/>
                <w:lang w:val="cs-CZ"/>
              </w:rPr>
              <w:t>Česká filharmonie</w:t>
            </w:r>
          </w:p>
        </w:tc>
      </w:tr>
    </w:tbl>
    <w:p w14:paraId="6FDB5D37" w14:textId="77777777" w:rsidR="00463A72" w:rsidRDefault="00463A72" w:rsidP="009C3A4A">
      <w:pPr>
        <w:spacing w:before="0"/>
        <w:outlineLvl w:val="0"/>
        <w:rPr>
          <w:b/>
          <w:noProof/>
          <w:lang w:val="cs-CZ"/>
        </w:rPr>
      </w:pPr>
    </w:p>
    <w:p w14:paraId="4D93E9CF" w14:textId="77777777" w:rsidR="00463A72" w:rsidRDefault="00463A72" w:rsidP="009C3A4A">
      <w:pPr>
        <w:spacing w:before="0"/>
        <w:outlineLvl w:val="0"/>
        <w:rPr>
          <w:b/>
          <w:noProof/>
          <w:lang w:val="cs-CZ"/>
        </w:rPr>
      </w:pPr>
    </w:p>
    <w:p w14:paraId="3E7D9A84" w14:textId="77777777" w:rsidR="00463A72" w:rsidRDefault="00463A72" w:rsidP="009C3A4A">
      <w:pPr>
        <w:spacing w:before="0"/>
        <w:outlineLvl w:val="0"/>
        <w:rPr>
          <w:b/>
          <w:noProof/>
          <w:lang w:val="cs-CZ"/>
        </w:rPr>
      </w:pPr>
    </w:p>
    <w:p w14:paraId="739D9E81" w14:textId="77777777" w:rsidR="00463A72" w:rsidRDefault="00463A72" w:rsidP="009C3A4A">
      <w:pPr>
        <w:spacing w:before="0"/>
        <w:outlineLvl w:val="0"/>
        <w:rPr>
          <w:b/>
          <w:noProof/>
          <w:lang w:val="cs-CZ"/>
        </w:rPr>
      </w:pPr>
    </w:p>
    <w:p w14:paraId="00D6B1EE" w14:textId="4FB0F902" w:rsidR="00463A72" w:rsidRPr="00463A72" w:rsidRDefault="00463A72" w:rsidP="009C3A4A">
      <w:pPr>
        <w:spacing w:before="0"/>
        <w:outlineLvl w:val="0"/>
        <w:rPr>
          <w:bCs/>
          <w:noProof/>
          <w:lang w:val="cs-CZ"/>
        </w:rPr>
      </w:pPr>
      <w:r w:rsidRPr="00463A72">
        <w:rPr>
          <w:bCs/>
          <w:noProof/>
          <w:lang w:val="cs-CZ"/>
        </w:rPr>
        <w:t xml:space="preserve">Za správnost zodpovídá </w:t>
      </w:r>
      <w:r w:rsidR="00D96EAB">
        <w:rPr>
          <w:bCs/>
          <w:noProof/>
          <w:lang w:val="cs-CZ"/>
        </w:rPr>
        <w:t>xxxxx</w:t>
      </w:r>
      <w:r w:rsidRPr="00463A72">
        <w:rPr>
          <w:bCs/>
          <w:noProof/>
          <w:lang w:val="cs-CZ"/>
        </w:rPr>
        <w:t>, vedoucí oddělení IS/IT</w:t>
      </w:r>
    </w:p>
    <w:p w14:paraId="47749CB3" w14:textId="77777777" w:rsidR="009C3A4A" w:rsidRPr="00925F12" w:rsidRDefault="00200E11" w:rsidP="009C3A4A">
      <w:pPr>
        <w:spacing w:before="0"/>
        <w:outlineLvl w:val="0"/>
        <w:rPr>
          <w:b/>
          <w:noProof/>
          <w:szCs w:val="24"/>
          <w:lang w:val="cs-CZ"/>
        </w:rPr>
      </w:pPr>
      <w:r w:rsidRPr="00925F12">
        <w:rPr>
          <w:b/>
          <w:noProof/>
          <w:lang w:val="cs-CZ"/>
        </w:rPr>
        <w:br w:type="page"/>
      </w:r>
      <w:r w:rsidR="009C3A4A" w:rsidRPr="00925F12">
        <w:rPr>
          <w:b/>
          <w:noProof/>
          <w:szCs w:val="24"/>
          <w:lang w:val="cs-CZ"/>
        </w:rPr>
        <w:lastRenderedPageBreak/>
        <w:t>Příloha č. 1 – Detailní specifikace plnění služeb:</w:t>
      </w:r>
    </w:p>
    <w:p w14:paraId="5FAC636E" w14:textId="77777777" w:rsidR="009C3A4A" w:rsidRPr="00925F12" w:rsidRDefault="009C3A4A" w:rsidP="009C3A4A">
      <w:pPr>
        <w:spacing w:before="0"/>
        <w:outlineLvl w:val="0"/>
        <w:rPr>
          <w:b/>
          <w:noProof/>
          <w:szCs w:val="24"/>
          <w:lang w:val="cs-CZ"/>
        </w:rPr>
      </w:pPr>
    </w:p>
    <w:p w14:paraId="736F678C" w14:textId="77777777" w:rsidR="009C3A4A" w:rsidRPr="00925F12" w:rsidRDefault="004B1C88" w:rsidP="009C3A4A">
      <w:pPr>
        <w:spacing w:before="0"/>
        <w:outlineLvl w:val="0"/>
        <w:rPr>
          <w:b/>
          <w:noProof/>
          <w:szCs w:val="24"/>
          <w:lang w:val="cs-CZ"/>
        </w:rPr>
      </w:pPr>
      <w:r w:rsidRPr="00925F12">
        <w:rPr>
          <w:b/>
          <w:noProof/>
          <w:szCs w:val="24"/>
          <w:lang w:val="cs-CZ"/>
        </w:rPr>
        <w:t>Plnění dl</w:t>
      </w:r>
      <w:r w:rsidR="00EC7532">
        <w:rPr>
          <w:b/>
          <w:noProof/>
          <w:szCs w:val="24"/>
          <w:lang w:val="cs-CZ"/>
        </w:rPr>
        <w:t xml:space="preserve">e Čl. II. odst. 2. písm. a) až </w:t>
      </w:r>
      <w:r w:rsidR="008A1C32">
        <w:rPr>
          <w:b/>
          <w:noProof/>
          <w:szCs w:val="24"/>
          <w:lang w:val="cs-CZ"/>
        </w:rPr>
        <w:t>g</w:t>
      </w:r>
      <w:r w:rsidRPr="00925F12">
        <w:rPr>
          <w:b/>
          <w:noProof/>
          <w:szCs w:val="24"/>
          <w:lang w:val="cs-CZ"/>
        </w:rPr>
        <w:t>) Smlouvy</w:t>
      </w:r>
    </w:p>
    <w:p w14:paraId="13E457FA" w14:textId="77777777" w:rsidR="006F4BDE" w:rsidRPr="006F4BDE" w:rsidRDefault="006F4BDE" w:rsidP="002E14BC">
      <w:pPr>
        <w:numPr>
          <w:ilvl w:val="0"/>
          <w:numId w:val="34"/>
        </w:numPr>
        <w:tabs>
          <w:tab w:val="clear" w:pos="1440"/>
          <w:tab w:val="center" w:pos="284"/>
          <w:tab w:val="right" w:pos="9071"/>
        </w:tabs>
        <w:ind w:hanging="1440"/>
        <w:textAlignment w:val="auto"/>
        <w:rPr>
          <w:b/>
          <w:szCs w:val="24"/>
          <w:lang w:val="cs-CZ" w:eastAsia="x-none"/>
        </w:rPr>
      </w:pPr>
      <w:r w:rsidRPr="006F4BDE">
        <w:rPr>
          <w:b/>
          <w:szCs w:val="24"/>
          <w:lang w:val="cs-CZ" w:eastAsia="x-none"/>
        </w:rPr>
        <w:t>Předmět plnění technické podpory</w:t>
      </w:r>
      <w:r w:rsidR="002E14BC">
        <w:rPr>
          <w:b/>
          <w:szCs w:val="24"/>
          <w:lang w:val="cs-CZ" w:eastAsia="x-none"/>
        </w:rPr>
        <w:t xml:space="preserve"> - Čl. II. odst. 2. písm. a)</w:t>
      </w:r>
    </w:p>
    <w:p w14:paraId="3A0FDDE0" w14:textId="77777777" w:rsidR="006F4BDE" w:rsidRPr="006F4BDE" w:rsidRDefault="006F4BDE" w:rsidP="006F4BDE">
      <w:pPr>
        <w:widowControl w:val="0"/>
        <w:ind w:left="360"/>
        <w:jc w:val="both"/>
        <w:textAlignment w:val="auto"/>
        <w:rPr>
          <w:szCs w:val="24"/>
          <w:lang w:val="cs-CZ"/>
        </w:rPr>
      </w:pPr>
      <w:r w:rsidRPr="006F4BDE">
        <w:rPr>
          <w:szCs w:val="24"/>
          <w:lang w:val="cs-CZ"/>
        </w:rPr>
        <w:t xml:space="preserve">Tyto podmínky zajistí komplexní podporu Objednatele denně včetně sobot, nedělí a svátků, a to zejména prostřednictvím dálkového přístupu. Dále garantuje v případě potřeby osobní zásah servisního technika. </w:t>
      </w:r>
    </w:p>
    <w:p w14:paraId="0DBF9BDE" w14:textId="77777777" w:rsidR="006F4BDE" w:rsidRPr="006F4BDE" w:rsidRDefault="006F4BDE" w:rsidP="006F4BDE">
      <w:pPr>
        <w:widowControl w:val="0"/>
        <w:ind w:left="360"/>
        <w:jc w:val="both"/>
        <w:textAlignment w:val="auto"/>
        <w:rPr>
          <w:szCs w:val="24"/>
          <w:lang w:val="cs-CZ"/>
        </w:rPr>
      </w:pPr>
      <w:r w:rsidRPr="006F4BDE">
        <w:rPr>
          <w:szCs w:val="24"/>
          <w:lang w:val="cs-CZ"/>
        </w:rPr>
        <w:t>Technická podpora je rozdělena na tzv. servisní pohotovost, garantující připravenost technika Poskytovatele řešit a vyřešit požadavky Objednatele, a na pravidelné servisní činnosti, zajišťující předcházení případných poruch.</w:t>
      </w:r>
    </w:p>
    <w:p w14:paraId="0ACB3DB0" w14:textId="77777777" w:rsidR="006F4BDE" w:rsidRPr="006F4BDE" w:rsidRDefault="006F4BDE" w:rsidP="006F4BDE">
      <w:pPr>
        <w:numPr>
          <w:ilvl w:val="0"/>
          <w:numId w:val="33"/>
        </w:numPr>
        <w:overflowPunct/>
        <w:autoSpaceDE/>
        <w:adjustRightInd/>
        <w:ind w:left="360"/>
        <w:jc w:val="both"/>
        <w:textAlignment w:val="auto"/>
        <w:rPr>
          <w:b/>
          <w:szCs w:val="24"/>
          <w:lang w:val="cs-CZ"/>
        </w:rPr>
      </w:pPr>
      <w:r w:rsidRPr="006F4BDE">
        <w:rPr>
          <w:b/>
          <w:szCs w:val="24"/>
          <w:lang w:val="cs-CZ"/>
        </w:rPr>
        <w:t>Technická podpora provozu systému</w:t>
      </w:r>
    </w:p>
    <w:p w14:paraId="320A3898" w14:textId="77777777" w:rsidR="006F4BDE" w:rsidRPr="006F4BDE" w:rsidRDefault="006F4BDE" w:rsidP="006F4BDE">
      <w:pPr>
        <w:widowControl w:val="0"/>
        <w:ind w:left="360"/>
        <w:jc w:val="both"/>
        <w:textAlignment w:val="auto"/>
        <w:rPr>
          <w:szCs w:val="24"/>
          <w:lang w:val="cs-CZ"/>
        </w:rPr>
      </w:pPr>
      <w:r w:rsidRPr="006F4BDE">
        <w:rPr>
          <w:szCs w:val="24"/>
          <w:lang w:val="cs-CZ"/>
        </w:rPr>
        <w:t>Plnění je poskytováno denně včetně sobot, nedělí a dnů pracovního klidu v době od 8:00 do 22:00 hod. na určeném telefonním čísle Poskytovatele pro kritické nefunkčnosti Systému a na určené e-mailové adrese pro nekritické nefunkčnosti Systému. Nejzazší doba odezvy pro kritické nefunkčnosti Systému je do 0,5 hodiny. Doba odezvy pro nekritické nefunkčnosti systému je do následujícího pracovního dne</w:t>
      </w:r>
      <w:r w:rsidR="002E14BC">
        <w:rPr>
          <w:szCs w:val="24"/>
          <w:lang w:val="cs-CZ"/>
        </w:rPr>
        <w:t>, viz Příloha č. 2 Smlouvy</w:t>
      </w:r>
      <w:r w:rsidRPr="006F4BDE">
        <w:rPr>
          <w:szCs w:val="24"/>
          <w:lang w:val="cs-CZ"/>
        </w:rPr>
        <w:t>.</w:t>
      </w:r>
    </w:p>
    <w:p w14:paraId="4D29E6C6" w14:textId="77777777" w:rsidR="00920535" w:rsidRDefault="00920535" w:rsidP="002E14BC">
      <w:pPr>
        <w:numPr>
          <w:ilvl w:val="0"/>
          <w:numId w:val="34"/>
        </w:numPr>
        <w:tabs>
          <w:tab w:val="clear" w:pos="1440"/>
          <w:tab w:val="center" w:pos="284"/>
          <w:tab w:val="right" w:pos="9071"/>
        </w:tabs>
        <w:ind w:hanging="1440"/>
        <w:textAlignment w:val="auto"/>
        <w:rPr>
          <w:b/>
          <w:szCs w:val="24"/>
          <w:lang w:val="cs-CZ" w:eastAsia="x-none"/>
        </w:rPr>
      </w:pPr>
      <w:r>
        <w:rPr>
          <w:b/>
          <w:szCs w:val="24"/>
          <w:lang w:val="cs-CZ" w:eastAsia="x-none"/>
        </w:rPr>
        <w:t>Serverhosting Systému</w:t>
      </w:r>
      <w:r w:rsidR="00F60FAE">
        <w:rPr>
          <w:b/>
          <w:szCs w:val="24"/>
          <w:lang w:val="cs-CZ" w:eastAsia="x-none"/>
        </w:rPr>
        <w:t xml:space="preserve"> - Čl. II. odst. 2. písm. b)</w:t>
      </w:r>
    </w:p>
    <w:p w14:paraId="5B8725AD" w14:textId="77777777" w:rsidR="00920535" w:rsidRPr="00920535" w:rsidRDefault="00920535" w:rsidP="00F60FAE">
      <w:pPr>
        <w:numPr>
          <w:ilvl w:val="0"/>
          <w:numId w:val="37"/>
        </w:numPr>
        <w:overflowPunct/>
        <w:autoSpaceDE/>
        <w:adjustRightInd/>
        <w:ind w:left="360"/>
        <w:jc w:val="both"/>
        <w:textAlignment w:val="auto"/>
        <w:rPr>
          <w:b/>
          <w:szCs w:val="24"/>
          <w:lang w:val="cs-CZ"/>
        </w:rPr>
      </w:pPr>
      <w:r w:rsidRPr="00920535">
        <w:rPr>
          <w:b/>
          <w:szCs w:val="24"/>
          <w:lang w:val="cs-CZ"/>
        </w:rPr>
        <w:t>Parametry serverhostingu</w:t>
      </w:r>
    </w:p>
    <w:p w14:paraId="6ABD3F54" w14:textId="77777777" w:rsidR="00920535" w:rsidRPr="00920535" w:rsidRDefault="00920535" w:rsidP="00E74612">
      <w:pPr>
        <w:widowControl w:val="0"/>
        <w:numPr>
          <w:ilvl w:val="3"/>
          <w:numId w:val="35"/>
        </w:numPr>
        <w:ind w:left="709" w:hanging="283"/>
        <w:jc w:val="both"/>
        <w:textAlignment w:val="auto"/>
        <w:rPr>
          <w:szCs w:val="24"/>
          <w:lang w:val="cs-CZ"/>
        </w:rPr>
      </w:pPr>
      <w:r w:rsidRPr="00920535">
        <w:rPr>
          <w:szCs w:val="24"/>
          <w:lang w:val="cs-CZ"/>
        </w:rPr>
        <w:t xml:space="preserve">Předmětem plnění jsou činnosti související s umístěním, správou, zabezpečením a připojením serveru </w:t>
      </w:r>
      <w:r w:rsidR="00E74612">
        <w:rPr>
          <w:szCs w:val="24"/>
          <w:lang w:val="cs-CZ"/>
        </w:rPr>
        <w:t>Systému</w:t>
      </w:r>
      <w:r w:rsidRPr="00920535">
        <w:rPr>
          <w:szCs w:val="24"/>
          <w:lang w:val="cs-CZ"/>
        </w:rPr>
        <w:t xml:space="preserve"> k síti Internet prostřednictvím serverového hnízda Poskytovatele.</w:t>
      </w:r>
    </w:p>
    <w:p w14:paraId="79335F6A"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 xml:space="preserve">Server je vyhrazen pro provoz serverové části </w:t>
      </w:r>
      <w:r w:rsidR="00E74612">
        <w:rPr>
          <w:szCs w:val="24"/>
          <w:lang w:val="cs-CZ"/>
        </w:rPr>
        <w:t>Systému</w:t>
      </w:r>
      <w:r w:rsidRPr="00920535">
        <w:rPr>
          <w:szCs w:val="24"/>
          <w:lang w:val="cs-CZ"/>
        </w:rPr>
        <w:t xml:space="preserve"> (aplikační vrstva + webové rozhraní) </w:t>
      </w:r>
      <w:r w:rsidR="00D8018F">
        <w:rPr>
          <w:szCs w:val="24"/>
          <w:lang w:val="cs-CZ"/>
        </w:rPr>
        <w:t>Objednatel</w:t>
      </w:r>
      <w:r w:rsidRPr="00920535">
        <w:rPr>
          <w:szCs w:val="24"/>
          <w:lang w:val="cs-CZ"/>
        </w:rPr>
        <w:t>e</w:t>
      </w:r>
    </w:p>
    <w:p w14:paraId="42E066E9"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Poskytovatel garantuje soulad poskytovaných služeb s legislativou GDPR</w:t>
      </w:r>
    </w:p>
    <w:p w14:paraId="35D8C6CC" w14:textId="77777777" w:rsidR="00920535" w:rsidRPr="00920535" w:rsidRDefault="00920535" w:rsidP="00E74612">
      <w:pPr>
        <w:widowControl w:val="0"/>
        <w:ind w:left="360"/>
        <w:jc w:val="both"/>
        <w:textAlignment w:val="auto"/>
        <w:rPr>
          <w:szCs w:val="24"/>
          <w:lang w:val="cs-CZ"/>
        </w:rPr>
      </w:pPr>
    </w:p>
    <w:p w14:paraId="584F44E4" w14:textId="77777777" w:rsidR="00920535" w:rsidRPr="00920535" w:rsidRDefault="00920535" w:rsidP="00F60FAE">
      <w:pPr>
        <w:numPr>
          <w:ilvl w:val="0"/>
          <w:numId w:val="37"/>
        </w:numPr>
        <w:overflowPunct/>
        <w:autoSpaceDE/>
        <w:adjustRightInd/>
        <w:ind w:left="360"/>
        <w:jc w:val="both"/>
        <w:textAlignment w:val="auto"/>
        <w:rPr>
          <w:b/>
          <w:szCs w:val="24"/>
          <w:lang w:val="cs-CZ"/>
        </w:rPr>
      </w:pPr>
      <w:r w:rsidRPr="00920535">
        <w:rPr>
          <w:b/>
          <w:szCs w:val="24"/>
          <w:lang w:val="cs-CZ"/>
        </w:rPr>
        <w:t>Parametry služby:</w:t>
      </w:r>
    </w:p>
    <w:p w14:paraId="7412D549"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 xml:space="preserve">server </w:t>
      </w:r>
      <w:r w:rsidR="00E74612">
        <w:rPr>
          <w:szCs w:val="24"/>
          <w:lang w:val="cs-CZ"/>
        </w:rPr>
        <w:t>Systému</w:t>
      </w:r>
      <w:r w:rsidRPr="00920535">
        <w:rPr>
          <w:szCs w:val="24"/>
          <w:lang w:val="cs-CZ"/>
        </w:rPr>
        <w:t xml:space="preserve"> je přímo a neblokovaně připojen do Internetu prostřednictvím páteřní sítě</w:t>
      </w:r>
    </w:p>
    <w:p w14:paraId="118D5865"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 xml:space="preserve">server </w:t>
      </w:r>
      <w:r w:rsidR="00E74612">
        <w:rPr>
          <w:szCs w:val="24"/>
          <w:lang w:val="cs-CZ"/>
        </w:rPr>
        <w:t>Systému</w:t>
      </w:r>
      <w:r w:rsidR="00E74612" w:rsidRPr="00920535">
        <w:rPr>
          <w:szCs w:val="24"/>
          <w:lang w:val="cs-CZ"/>
        </w:rPr>
        <w:t xml:space="preserve"> </w:t>
      </w:r>
      <w:r w:rsidRPr="00920535">
        <w:rPr>
          <w:szCs w:val="24"/>
          <w:lang w:val="cs-CZ"/>
        </w:rPr>
        <w:t>při své komunikaci využívá veškerou dostupnou kapacitu připojení páteřní sítě</w:t>
      </w:r>
    </w:p>
    <w:p w14:paraId="7684CC5E"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 xml:space="preserve">bude zajištěn nepřetržitý provoz, přístup k datům a aplikaci </w:t>
      </w:r>
      <w:r w:rsidR="0037573A">
        <w:rPr>
          <w:szCs w:val="24"/>
          <w:lang w:val="cs-CZ"/>
        </w:rPr>
        <w:t>v režimu 99,7 %.</w:t>
      </w:r>
    </w:p>
    <w:p w14:paraId="5FA11C65"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 xml:space="preserve">server </w:t>
      </w:r>
      <w:r w:rsidR="0037573A">
        <w:rPr>
          <w:szCs w:val="24"/>
          <w:lang w:val="cs-CZ"/>
        </w:rPr>
        <w:t>Systému</w:t>
      </w:r>
      <w:r w:rsidR="0037573A" w:rsidRPr="00920535">
        <w:rPr>
          <w:szCs w:val="24"/>
          <w:lang w:val="cs-CZ"/>
        </w:rPr>
        <w:t xml:space="preserve"> </w:t>
      </w:r>
      <w:r w:rsidRPr="00920535">
        <w:rPr>
          <w:szCs w:val="24"/>
          <w:lang w:val="cs-CZ"/>
        </w:rPr>
        <w:t>je chráněn firewallem, vzdálený přístup na server pouze pro vyhrazené hostitele</w:t>
      </w:r>
    </w:p>
    <w:p w14:paraId="42CB3E69"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 xml:space="preserve">serveru </w:t>
      </w:r>
      <w:r w:rsidR="0037573A">
        <w:rPr>
          <w:szCs w:val="24"/>
          <w:lang w:val="cs-CZ"/>
        </w:rPr>
        <w:t>Systému</w:t>
      </w:r>
      <w:r w:rsidR="0037573A" w:rsidRPr="00920535">
        <w:rPr>
          <w:szCs w:val="24"/>
          <w:lang w:val="cs-CZ"/>
        </w:rPr>
        <w:t xml:space="preserve"> </w:t>
      </w:r>
      <w:r w:rsidRPr="00920535">
        <w:rPr>
          <w:szCs w:val="24"/>
          <w:lang w:val="cs-CZ"/>
        </w:rPr>
        <w:t>bude přidělena vlastní IP adresa</w:t>
      </w:r>
    </w:p>
    <w:p w14:paraId="0A261552"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 xml:space="preserve">server </w:t>
      </w:r>
      <w:r w:rsidR="0037573A">
        <w:rPr>
          <w:szCs w:val="24"/>
          <w:lang w:val="cs-CZ"/>
        </w:rPr>
        <w:t>Systému</w:t>
      </w:r>
      <w:r w:rsidR="0037573A" w:rsidRPr="00920535">
        <w:rPr>
          <w:szCs w:val="24"/>
          <w:lang w:val="cs-CZ"/>
        </w:rPr>
        <w:t xml:space="preserve"> </w:t>
      </w:r>
      <w:r w:rsidRPr="00920535">
        <w:rPr>
          <w:szCs w:val="24"/>
          <w:lang w:val="cs-CZ"/>
        </w:rPr>
        <w:t>je napojen na nepřetržitý monitoring</w:t>
      </w:r>
    </w:p>
    <w:p w14:paraId="720C8FBA"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umístěný server je napájen z nepřetržitého zdroje napájení, který je zajištěn motorgenerátorem</w:t>
      </w:r>
    </w:p>
    <w:p w14:paraId="66F2C176"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místnost pro umístění serverů je dvojitě klimatizována</w:t>
      </w:r>
    </w:p>
    <w:p w14:paraId="09F4C57B"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na operační systém serveru jsou do 24 hodin instalovány opravné aktualizace vydané výrobcem operačního systému</w:t>
      </w:r>
    </w:p>
    <w:p w14:paraId="0E48AB98"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lastRenderedPageBreak/>
        <w:t xml:space="preserve">centrální zálohování dat z aplikace </w:t>
      </w:r>
      <w:r w:rsidR="0037573A">
        <w:rPr>
          <w:szCs w:val="24"/>
          <w:lang w:val="cs-CZ"/>
        </w:rPr>
        <w:t>Systému</w:t>
      </w:r>
      <w:r w:rsidRPr="00920535">
        <w:rPr>
          <w:szCs w:val="24"/>
          <w:lang w:val="cs-CZ"/>
        </w:rPr>
        <w:t>, která je na serveru instalována. Zálohování probíhá každý den v 0.00 hodin. Dojde-li ke ztrátě dat, budou data obnovena ze zálohy provedené v 0.00 hodin příslušného dne.</w:t>
      </w:r>
    </w:p>
    <w:p w14:paraId="14EBAAA2"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 xml:space="preserve">nejpozději do šesti hodin od zjištění poruchy nahlásí Poskytovatel </w:t>
      </w:r>
      <w:r w:rsidR="00D8018F">
        <w:rPr>
          <w:szCs w:val="24"/>
          <w:lang w:val="cs-CZ"/>
        </w:rPr>
        <w:t>Objednatel</w:t>
      </w:r>
      <w:r w:rsidRPr="00920535">
        <w:rPr>
          <w:szCs w:val="24"/>
          <w:lang w:val="cs-CZ"/>
        </w:rPr>
        <w:t xml:space="preserve">i náhradní IP adresu serveru RS, která je nutná pro rekonfiguraci klientských stanic </w:t>
      </w:r>
      <w:r w:rsidR="0037573A">
        <w:rPr>
          <w:szCs w:val="24"/>
          <w:lang w:val="cs-CZ"/>
        </w:rPr>
        <w:t>Systému</w:t>
      </w:r>
    </w:p>
    <w:p w14:paraId="2FFDB61C"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 xml:space="preserve">nejpozději do osmi hodin od zjištění poruchy nahlásí Poskytovatel </w:t>
      </w:r>
      <w:r w:rsidR="00D8018F">
        <w:rPr>
          <w:szCs w:val="24"/>
          <w:lang w:val="cs-CZ"/>
        </w:rPr>
        <w:t>Objednatel</w:t>
      </w:r>
      <w:r w:rsidRPr="00920535">
        <w:rPr>
          <w:szCs w:val="24"/>
          <w:lang w:val="cs-CZ"/>
        </w:rPr>
        <w:t xml:space="preserve">i náhradní IP adresu webového rozhraní </w:t>
      </w:r>
      <w:r w:rsidR="0037573A">
        <w:rPr>
          <w:szCs w:val="24"/>
          <w:lang w:val="cs-CZ"/>
        </w:rPr>
        <w:t>Systému</w:t>
      </w:r>
      <w:r w:rsidRPr="00920535">
        <w:rPr>
          <w:szCs w:val="24"/>
          <w:lang w:val="cs-CZ"/>
        </w:rPr>
        <w:t>, která je nutná ke změně DNS záznamů.</w:t>
      </w:r>
    </w:p>
    <w:p w14:paraId="33401EEC"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 xml:space="preserve">u náhradního řešení garantuje Poskytovatel konektivitu do sítě Internet minimálně takto: 64kbps na každou </w:t>
      </w:r>
      <w:r w:rsidR="00D8018F">
        <w:rPr>
          <w:szCs w:val="24"/>
          <w:lang w:val="cs-CZ"/>
        </w:rPr>
        <w:t>Objednatel</w:t>
      </w:r>
      <w:r w:rsidRPr="00920535">
        <w:rPr>
          <w:szCs w:val="24"/>
          <w:lang w:val="cs-CZ"/>
        </w:rPr>
        <w:t xml:space="preserve">i licencovanou klientskou stanici </w:t>
      </w:r>
      <w:r w:rsidR="0037573A">
        <w:rPr>
          <w:szCs w:val="24"/>
          <w:lang w:val="cs-CZ"/>
        </w:rPr>
        <w:t>Systému</w:t>
      </w:r>
      <w:r w:rsidR="0037573A" w:rsidRPr="00920535">
        <w:rPr>
          <w:szCs w:val="24"/>
          <w:lang w:val="cs-CZ"/>
        </w:rPr>
        <w:t xml:space="preserve"> </w:t>
      </w:r>
      <w:r w:rsidRPr="00920535">
        <w:rPr>
          <w:szCs w:val="24"/>
          <w:lang w:val="cs-CZ"/>
        </w:rPr>
        <w:t xml:space="preserve">a navíc 256kbps pro provoz webového rozhraní </w:t>
      </w:r>
      <w:r w:rsidR="0037573A">
        <w:rPr>
          <w:szCs w:val="24"/>
          <w:lang w:val="cs-CZ"/>
        </w:rPr>
        <w:t>Systému</w:t>
      </w:r>
      <w:r w:rsidRPr="00920535">
        <w:rPr>
          <w:szCs w:val="24"/>
          <w:lang w:val="cs-CZ"/>
        </w:rPr>
        <w:t xml:space="preserve">. Poskytovatel dále u náhradního řešení garantuje zajištění náhradního serveru </w:t>
      </w:r>
      <w:r w:rsidR="0037573A">
        <w:rPr>
          <w:szCs w:val="24"/>
          <w:lang w:val="cs-CZ"/>
        </w:rPr>
        <w:t>Systému</w:t>
      </w:r>
      <w:r w:rsidRPr="00920535">
        <w:rPr>
          <w:szCs w:val="24"/>
          <w:lang w:val="cs-CZ"/>
        </w:rPr>
        <w:t xml:space="preserve">, </w:t>
      </w:r>
      <w:r w:rsidR="0037573A">
        <w:rPr>
          <w:szCs w:val="24"/>
          <w:lang w:val="cs-CZ"/>
        </w:rPr>
        <w:t>Systému</w:t>
      </w:r>
      <w:r w:rsidR="0037573A" w:rsidRPr="00920535">
        <w:rPr>
          <w:szCs w:val="24"/>
          <w:lang w:val="cs-CZ"/>
        </w:rPr>
        <w:t xml:space="preserve"> </w:t>
      </w:r>
      <w:r w:rsidRPr="00920535">
        <w:rPr>
          <w:szCs w:val="24"/>
          <w:lang w:val="cs-CZ"/>
        </w:rPr>
        <w:t>a přidružených aplikací včetně rekonstrukce databáze systému z poslední zálohy dat a přidělení nové IP adresy.</w:t>
      </w:r>
    </w:p>
    <w:p w14:paraId="3DEF19E7" w14:textId="77777777" w:rsidR="00920535" w:rsidRPr="00920535" w:rsidRDefault="00920535" w:rsidP="00E74612">
      <w:pPr>
        <w:widowControl w:val="0"/>
        <w:numPr>
          <w:ilvl w:val="3"/>
          <w:numId w:val="35"/>
        </w:numPr>
        <w:tabs>
          <w:tab w:val="num" w:pos="720"/>
        </w:tabs>
        <w:ind w:left="709" w:hanging="283"/>
        <w:jc w:val="both"/>
        <w:textAlignment w:val="auto"/>
        <w:rPr>
          <w:szCs w:val="24"/>
          <w:lang w:val="cs-CZ"/>
        </w:rPr>
      </w:pPr>
      <w:r w:rsidRPr="00920535">
        <w:rPr>
          <w:szCs w:val="24"/>
          <w:lang w:val="cs-CZ"/>
        </w:rPr>
        <w:t>pracovní dobou rozumí čas od 8.00 hodin do 16.30 hodin v pracovní den. Je-li porucha zjištěna mimo pracovní dobu, práce na zajištění náhradního řešení započnou okamžitě, lhůty dle těchto ustanovení však začínají běžet od 8.00 hodin v pracovní den.</w:t>
      </w:r>
    </w:p>
    <w:p w14:paraId="18C1886A" w14:textId="77777777" w:rsidR="00920535" w:rsidRPr="00920535" w:rsidRDefault="00920535" w:rsidP="0037573A">
      <w:pPr>
        <w:widowControl w:val="0"/>
        <w:ind w:left="360"/>
        <w:jc w:val="both"/>
        <w:textAlignment w:val="auto"/>
        <w:rPr>
          <w:szCs w:val="24"/>
          <w:lang w:val="cs-CZ"/>
        </w:rPr>
      </w:pPr>
      <w:r w:rsidRPr="00920535">
        <w:rPr>
          <w:szCs w:val="24"/>
          <w:lang w:val="cs-CZ"/>
        </w:rPr>
        <w:t>Poruchou předmětné služby není:</w:t>
      </w:r>
    </w:p>
    <w:p w14:paraId="539B07A6" w14:textId="77777777" w:rsidR="00920535" w:rsidRPr="00920535" w:rsidRDefault="00920535" w:rsidP="0037573A">
      <w:pPr>
        <w:widowControl w:val="0"/>
        <w:numPr>
          <w:ilvl w:val="0"/>
          <w:numId w:val="38"/>
        </w:numPr>
        <w:jc w:val="both"/>
        <w:textAlignment w:val="auto"/>
        <w:rPr>
          <w:szCs w:val="24"/>
          <w:lang w:val="cs-CZ"/>
        </w:rPr>
      </w:pPr>
      <w:r w:rsidRPr="00920535">
        <w:rPr>
          <w:szCs w:val="24"/>
          <w:lang w:val="cs-CZ"/>
        </w:rPr>
        <w:t>porucha služby vzniklá za okolností vylučující odpovědnost,</w:t>
      </w:r>
    </w:p>
    <w:p w14:paraId="7D814D88" w14:textId="77777777" w:rsidR="00920535" w:rsidRPr="00920535" w:rsidRDefault="00920535" w:rsidP="0037573A">
      <w:pPr>
        <w:widowControl w:val="0"/>
        <w:numPr>
          <w:ilvl w:val="0"/>
          <w:numId w:val="38"/>
        </w:numPr>
        <w:jc w:val="both"/>
        <w:textAlignment w:val="auto"/>
        <w:rPr>
          <w:szCs w:val="24"/>
          <w:lang w:val="cs-CZ"/>
        </w:rPr>
      </w:pPr>
      <w:r w:rsidRPr="00920535">
        <w:rPr>
          <w:szCs w:val="24"/>
          <w:lang w:val="cs-CZ"/>
        </w:rPr>
        <w:t xml:space="preserve">plánovaná, </w:t>
      </w:r>
      <w:r w:rsidR="00D8018F">
        <w:rPr>
          <w:szCs w:val="24"/>
          <w:lang w:val="cs-CZ"/>
        </w:rPr>
        <w:t>Objednateli</w:t>
      </w:r>
      <w:r w:rsidRPr="00920535">
        <w:rPr>
          <w:szCs w:val="24"/>
          <w:lang w:val="cs-CZ"/>
        </w:rPr>
        <w:t xml:space="preserve"> předem oznámená a </w:t>
      </w:r>
      <w:r w:rsidR="00D8018F">
        <w:rPr>
          <w:szCs w:val="24"/>
          <w:lang w:val="cs-CZ"/>
        </w:rPr>
        <w:t>Objednatelem</w:t>
      </w:r>
      <w:r w:rsidRPr="00920535">
        <w:rPr>
          <w:szCs w:val="24"/>
          <w:lang w:val="cs-CZ"/>
        </w:rPr>
        <w:t xml:space="preserve"> odsouhlasená odstávka RS z důvodu aktualizace operačních systémů, aplikace opravných patchů operačních systémů, případně z důvodu aktualizace programového vybavení,</w:t>
      </w:r>
    </w:p>
    <w:p w14:paraId="64885FA0" w14:textId="77777777" w:rsidR="00920535" w:rsidRPr="00920535" w:rsidRDefault="00920535" w:rsidP="0037573A">
      <w:pPr>
        <w:widowControl w:val="0"/>
        <w:numPr>
          <w:ilvl w:val="0"/>
          <w:numId w:val="38"/>
        </w:numPr>
        <w:jc w:val="both"/>
        <w:textAlignment w:val="auto"/>
        <w:rPr>
          <w:szCs w:val="24"/>
          <w:lang w:val="cs-CZ"/>
        </w:rPr>
      </w:pPr>
      <w:r w:rsidRPr="00920535">
        <w:rPr>
          <w:szCs w:val="24"/>
          <w:lang w:val="cs-CZ"/>
        </w:rPr>
        <w:t xml:space="preserve">porucha připojení k síti internet na straně </w:t>
      </w:r>
      <w:r w:rsidR="00D8018F">
        <w:rPr>
          <w:szCs w:val="24"/>
          <w:lang w:val="cs-CZ"/>
        </w:rPr>
        <w:t>Objednatele</w:t>
      </w:r>
      <w:r w:rsidRPr="00920535">
        <w:rPr>
          <w:szCs w:val="24"/>
          <w:lang w:val="cs-CZ"/>
        </w:rPr>
        <w:t>,</w:t>
      </w:r>
    </w:p>
    <w:p w14:paraId="5EC97BD4" w14:textId="77777777" w:rsidR="00920535" w:rsidRPr="00920535" w:rsidRDefault="00920535" w:rsidP="0037573A">
      <w:pPr>
        <w:widowControl w:val="0"/>
        <w:numPr>
          <w:ilvl w:val="0"/>
          <w:numId w:val="38"/>
        </w:numPr>
        <w:jc w:val="both"/>
        <w:textAlignment w:val="auto"/>
        <w:rPr>
          <w:szCs w:val="24"/>
          <w:lang w:val="cs-CZ"/>
        </w:rPr>
      </w:pPr>
      <w:r w:rsidRPr="00920535">
        <w:rPr>
          <w:szCs w:val="24"/>
          <w:lang w:val="cs-CZ"/>
        </w:rPr>
        <w:t xml:space="preserve">odstávka prováděná na žádost </w:t>
      </w:r>
      <w:r w:rsidR="00D8018F">
        <w:rPr>
          <w:szCs w:val="24"/>
          <w:lang w:val="cs-CZ"/>
        </w:rPr>
        <w:t>Objednatele</w:t>
      </w:r>
      <w:r w:rsidRPr="00920535">
        <w:rPr>
          <w:szCs w:val="24"/>
          <w:lang w:val="cs-CZ"/>
        </w:rPr>
        <w:t xml:space="preserve"> a výpadky způsobené </w:t>
      </w:r>
      <w:r w:rsidR="00D8018F">
        <w:rPr>
          <w:szCs w:val="24"/>
          <w:lang w:val="cs-CZ"/>
        </w:rPr>
        <w:t>Objednatelem</w:t>
      </w:r>
      <w:r w:rsidRPr="00920535">
        <w:rPr>
          <w:szCs w:val="24"/>
          <w:lang w:val="cs-CZ"/>
        </w:rPr>
        <w:t>,</w:t>
      </w:r>
    </w:p>
    <w:p w14:paraId="72A053C5" w14:textId="77777777" w:rsidR="00920535" w:rsidRPr="00920535" w:rsidRDefault="00920535" w:rsidP="0037573A">
      <w:pPr>
        <w:widowControl w:val="0"/>
        <w:numPr>
          <w:ilvl w:val="0"/>
          <w:numId w:val="38"/>
        </w:numPr>
        <w:jc w:val="both"/>
        <w:textAlignment w:val="auto"/>
        <w:rPr>
          <w:szCs w:val="24"/>
          <w:lang w:val="cs-CZ"/>
        </w:rPr>
      </w:pPr>
      <w:r w:rsidRPr="00920535">
        <w:rPr>
          <w:szCs w:val="24"/>
          <w:lang w:val="cs-CZ"/>
        </w:rPr>
        <w:t>nedostupnost způsobená nefunkčností služeb třetích stran využívaných k poskytování služby serverhostingu dle této Přílohy Smlouvy.</w:t>
      </w:r>
    </w:p>
    <w:p w14:paraId="0BBAB204" w14:textId="77777777" w:rsidR="00920535" w:rsidRDefault="00920535" w:rsidP="00920535">
      <w:pPr>
        <w:tabs>
          <w:tab w:val="center" w:pos="284"/>
          <w:tab w:val="right" w:pos="9071"/>
        </w:tabs>
        <w:textAlignment w:val="auto"/>
        <w:rPr>
          <w:b/>
          <w:szCs w:val="24"/>
          <w:lang w:val="cs-CZ" w:eastAsia="x-none"/>
        </w:rPr>
      </w:pPr>
    </w:p>
    <w:p w14:paraId="144C0A43" w14:textId="77777777" w:rsidR="006F4BDE" w:rsidRPr="006F4BDE" w:rsidRDefault="006F4BDE" w:rsidP="002E14BC">
      <w:pPr>
        <w:numPr>
          <w:ilvl w:val="0"/>
          <w:numId w:val="34"/>
        </w:numPr>
        <w:tabs>
          <w:tab w:val="clear" w:pos="1440"/>
          <w:tab w:val="center" w:pos="284"/>
          <w:tab w:val="right" w:pos="9071"/>
        </w:tabs>
        <w:ind w:hanging="1440"/>
        <w:textAlignment w:val="auto"/>
        <w:rPr>
          <w:b/>
          <w:szCs w:val="24"/>
          <w:lang w:val="cs-CZ" w:eastAsia="x-none"/>
        </w:rPr>
      </w:pPr>
      <w:r w:rsidRPr="006F4BDE">
        <w:rPr>
          <w:b/>
          <w:szCs w:val="24"/>
          <w:lang w:val="cs-CZ" w:eastAsia="x-none"/>
        </w:rPr>
        <w:t>Garance servisního zásahu</w:t>
      </w:r>
      <w:r w:rsidR="00A10528">
        <w:rPr>
          <w:b/>
          <w:szCs w:val="24"/>
          <w:lang w:val="cs-CZ" w:eastAsia="x-none"/>
        </w:rPr>
        <w:t xml:space="preserve"> - Čl. II. odst. 2. písm. c)</w:t>
      </w:r>
    </w:p>
    <w:p w14:paraId="443278C4" w14:textId="77777777" w:rsidR="006F4BDE" w:rsidRPr="006F4BDE" w:rsidRDefault="006F4BDE" w:rsidP="006F4BDE">
      <w:pPr>
        <w:ind w:left="360"/>
        <w:jc w:val="both"/>
        <w:textAlignment w:val="auto"/>
        <w:rPr>
          <w:szCs w:val="24"/>
          <w:lang w:val="cs-CZ"/>
        </w:rPr>
      </w:pPr>
      <w:r w:rsidRPr="006F4BDE">
        <w:rPr>
          <w:szCs w:val="24"/>
          <w:lang w:val="cs-CZ"/>
        </w:rPr>
        <w:t xml:space="preserve">Technik řeší požadavky ihned, bez zbytečného </w:t>
      </w:r>
      <w:r w:rsidR="000F778E" w:rsidRPr="006F4BDE">
        <w:rPr>
          <w:szCs w:val="24"/>
          <w:lang w:val="cs-CZ"/>
        </w:rPr>
        <w:t>odkladu,</w:t>
      </w:r>
      <w:r w:rsidRPr="006F4BDE">
        <w:rPr>
          <w:szCs w:val="24"/>
          <w:lang w:val="cs-CZ"/>
        </w:rPr>
        <w:t xml:space="preserve"> a to prostřednictvím telefonu nebo vzdáleného přístupu. V případě nutnosti a po dohodě s objednatelem vyjíždí k osobnímu servisnímu zásahu v době plnění. Osobní servisní zásah je garantován pro případ kritické nefunkčnosti (viz. Příloha č. 2) Systému.</w:t>
      </w:r>
    </w:p>
    <w:p w14:paraId="5F4FDB88" w14:textId="77777777" w:rsidR="006F4BDE" w:rsidRPr="006F4BDE" w:rsidRDefault="006F4BDE" w:rsidP="00A10528">
      <w:pPr>
        <w:numPr>
          <w:ilvl w:val="0"/>
          <w:numId w:val="34"/>
        </w:numPr>
        <w:tabs>
          <w:tab w:val="clear" w:pos="1440"/>
          <w:tab w:val="center" w:pos="284"/>
          <w:tab w:val="right" w:pos="9071"/>
        </w:tabs>
        <w:ind w:hanging="1440"/>
        <w:textAlignment w:val="auto"/>
        <w:rPr>
          <w:b/>
          <w:szCs w:val="24"/>
          <w:lang w:val="cs-CZ" w:eastAsia="x-none"/>
        </w:rPr>
      </w:pPr>
      <w:r w:rsidRPr="006F4BDE">
        <w:rPr>
          <w:b/>
          <w:szCs w:val="24"/>
          <w:lang w:val="cs-CZ" w:eastAsia="x-none"/>
        </w:rPr>
        <w:t>Monitoring</w:t>
      </w:r>
      <w:r w:rsidR="00A10528">
        <w:rPr>
          <w:b/>
          <w:szCs w:val="24"/>
          <w:lang w:val="cs-CZ" w:eastAsia="x-none"/>
        </w:rPr>
        <w:t xml:space="preserve"> Systému - Čl. II. odst. 2. písm. d)</w:t>
      </w:r>
    </w:p>
    <w:p w14:paraId="15A5D291" w14:textId="77777777" w:rsidR="00C5051A" w:rsidRDefault="006F4BDE" w:rsidP="006F4BDE">
      <w:pPr>
        <w:ind w:left="360"/>
        <w:jc w:val="both"/>
        <w:textAlignment w:val="auto"/>
        <w:rPr>
          <w:szCs w:val="24"/>
          <w:lang w:val="cs-CZ"/>
        </w:rPr>
      </w:pPr>
      <w:r w:rsidRPr="006F4BDE">
        <w:rPr>
          <w:noProof/>
          <w:szCs w:val="24"/>
          <w:lang w:val="cs-CZ"/>
        </w:rPr>
        <w:t xml:space="preserve">Toto plnění předpokládá zachycení a předcházení většiny chyb, vad a nefukčností Systému na straně Poskytovatele. Poskytovatel je povinen chyby, vady a nefukčnosti Systému identifikované v rámci monitoringu Systému odstranit okamžitě. </w:t>
      </w:r>
      <w:r w:rsidRPr="006F4BDE">
        <w:rPr>
          <w:szCs w:val="24"/>
          <w:lang w:val="cs-CZ"/>
        </w:rPr>
        <w:t>Nepřetržité napojení Systému na dohledové centrum Poskytovatele, Systém je pod neustálým dohledem (umožňují-li to technické podmínky v místě instalace Systému) a části případných problémů je proto možno předejít. Dále pravidelná kontrola a údržba Systému.</w:t>
      </w:r>
    </w:p>
    <w:p w14:paraId="158BB635" w14:textId="77777777" w:rsidR="006F4BDE" w:rsidRPr="006F4BDE" w:rsidRDefault="00C5051A" w:rsidP="006F4BDE">
      <w:pPr>
        <w:ind w:left="360"/>
        <w:jc w:val="both"/>
        <w:textAlignment w:val="auto"/>
        <w:rPr>
          <w:szCs w:val="24"/>
          <w:lang w:val="cs-CZ"/>
        </w:rPr>
      </w:pPr>
      <w:r>
        <w:rPr>
          <w:szCs w:val="24"/>
          <w:lang w:val="cs-CZ"/>
        </w:rPr>
        <w:br w:type="page"/>
      </w:r>
    </w:p>
    <w:p w14:paraId="2BD9C534" w14:textId="77777777" w:rsidR="003E56FD" w:rsidRDefault="003E56FD" w:rsidP="00A10528">
      <w:pPr>
        <w:numPr>
          <w:ilvl w:val="0"/>
          <w:numId w:val="34"/>
        </w:numPr>
        <w:tabs>
          <w:tab w:val="clear" w:pos="1440"/>
          <w:tab w:val="center" w:pos="284"/>
          <w:tab w:val="right" w:pos="9071"/>
        </w:tabs>
        <w:ind w:left="284" w:hanging="284"/>
        <w:textAlignment w:val="auto"/>
        <w:rPr>
          <w:b/>
          <w:szCs w:val="24"/>
          <w:lang w:val="cs-CZ" w:eastAsia="x-none"/>
        </w:rPr>
      </w:pPr>
      <w:r>
        <w:rPr>
          <w:b/>
          <w:szCs w:val="24"/>
          <w:lang w:val="cs-CZ" w:eastAsia="x-none"/>
        </w:rPr>
        <w:lastRenderedPageBreak/>
        <w:t>Konzultační činnost IT specialisty Poskytovatele</w:t>
      </w:r>
      <w:r w:rsidR="005C1687">
        <w:rPr>
          <w:b/>
          <w:szCs w:val="24"/>
          <w:lang w:val="cs-CZ" w:eastAsia="x-none"/>
        </w:rPr>
        <w:t xml:space="preserve"> - Čl. II. odst. 2. písm. </w:t>
      </w:r>
      <w:r w:rsidR="008A1C32">
        <w:rPr>
          <w:b/>
          <w:szCs w:val="24"/>
          <w:lang w:val="cs-CZ" w:eastAsia="x-none"/>
        </w:rPr>
        <w:t>e</w:t>
      </w:r>
      <w:r w:rsidR="005C1687">
        <w:rPr>
          <w:b/>
          <w:szCs w:val="24"/>
          <w:lang w:val="cs-CZ" w:eastAsia="x-none"/>
        </w:rPr>
        <w:t>)</w:t>
      </w:r>
    </w:p>
    <w:p w14:paraId="5C6F2D56" w14:textId="77777777" w:rsidR="003E56FD" w:rsidRDefault="00E20D5E" w:rsidP="003E56FD">
      <w:pPr>
        <w:ind w:left="360"/>
        <w:jc w:val="both"/>
        <w:textAlignment w:val="auto"/>
        <w:rPr>
          <w:szCs w:val="24"/>
          <w:lang w:val="cs-CZ"/>
        </w:rPr>
      </w:pPr>
      <w:r w:rsidRPr="00E20D5E">
        <w:rPr>
          <w:szCs w:val="24"/>
          <w:lang w:val="cs-CZ"/>
        </w:rPr>
        <w:t xml:space="preserve">Poskytovatel v rámci této smlouvy garantuje připravenost svého </w:t>
      </w:r>
      <w:r>
        <w:rPr>
          <w:szCs w:val="24"/>
          <w:lang w:val="cs-CZ"/>
        </w:rPr>
        <w:t>IT specialisty</w:t>
      </w:r>
      <w:r w:rsidRPr="00E20D5E">
        <w:rPr>
          <w:szCs w:val="24"/>
          <w:lang w:val="cs-CZ"/>
        </w:rPr>
        <w:t xml:space="preserve"> pro konzultace provozu systému a </w:t>
      </w:r>
      <w:r>
        <w:rPr>
          <w:szCs w:val="24"/>
          <w:lang w:val="cs-CZ"/>
        </w:rPr>
        <w:t>doškolení obsluhy Systému</w:t>
      </w:r>
      <w:r w:rsidRPr="00E20D5E">
        <w:rPr>
          <w:szCs w:val="24"/>
          <w:lang w:val="cs-CZ"/>
        </w:rPr>
        <w:t>.</w:t>
      </w:r>
    </w:p>
    <w:p w14:paraId="302B2717" w14:textId="77777777" w:rsidR="00E20D5E" w:rsidRDefault="00EA6F2C" w:rsidP="003E56FD">
      <w:pPr>
        <w:ind w:left="360"/>
        <w:jc w:val="both"/>
        <w:textAlignment w:val="auto"/>
        <w:rPr>
          <w:szCs w:val="24"/>
          <w:lang w:val="cs-CZ"/>
        </w:rPr>
      </w:pPr>
      <w:r>
        <w:rPr>
          <w:szCs w:val="24"/>
          <w:lang w:val="cs-CZ"/>
        </w:rPr>
        <w:t>IT specialista přidělený Objednateli:</w:t>
      </w:r>
    </w:p>
    <w:p w14:paraId="028777F3" w14:textId="451DF667" w:rsidR="00EA6F2C" w:rsidRDefault="00B95A61" w:rsidP="003E56FD">
      <w:pPr>
        <w:ind w:left="360"/>
        <w:jc w:val="both"/>
        <w:textAlignment w:val="auto"/>
        <w:rPr>
          <w:szCs w:val="24"/>
          <w:lang w:val="cs-CZ"/>
        </w:rPr>
      </w:pPr>
      <w:r>
        <w:rPr>
          <w:szCs w:val="24"/>
          <w:lang w:val="cs-CZ"/>
        </w:rPr>
        <w:t>xxxxx</w:t>
      </w:r>
      <w:r w:rsidR="00EA6F2C">
        <w:rPr>
          <w:szCs w:val="24"/>
          <w:lang w:val="cs-CZ"/>
        </w:rPr>
        <w:t xml:space="preserve">, </w:t>
      </w:r>
      <w:r>
        <w:rPr>
          <w:szCs w:val="24"/>
          <w:lang w:val="cs-CZ"/>
        </w:rPr>
        <w:t>xxxxxxxxx</w:t>
      </w:r>
    </w:p>
    <w:p w14:paraId="2211498B" w14:textId="77777777" w:rsidR="00EA6F2C" w:rsidRDefault="00EA6F2C" w:rsidP="003E56FD">
      <w:pPr>
        <w:ind w:left="360"/>
        <w:jc w:val="both"/>
        <w:textAlignment w:val="auto"/>
        <w:rPr>
          <w:szCs w:val="24"/>
          <w:lang w:val="cs-CZ"/>
        </w:rPr>
      </w:pPr>
      <w:r>
        <w:rPr>
          <w:szCs w:val="24"/>
          <w:lang w:val="cs-CZ"/>
        </w:rPr>
        <w:t>Případnou změnu osoby přiděleného IT specialisty je Poskytovatel povinen oznámit Objednateli písemně (postačí i forma e-mailu) v dostatečném předstihu.</w:t>
      </w:r>
    </w:p>
    <w:p w14:paraId="0C3F300B" w14:textId="77777777" w:rsidR="00730787" w:rsidRDefault="00730787" w:rsidP="003E56FD">
      <w:pPr>
        <w:ind w:left="360"/>
        <w:jc w:val="both"/>
        <w:textAlignment w:val="auto"/>
        <w:rPr>
          <w:szCs w:val="24"/>
          <w:lang w:val="cs-CZ"/>
        </w:rPr>
      </w:pPr>
      <w:r>
        <w:rPr>
          <w:szCs w:val="24"/>
          <w:lang w:val="cs-CZ"/>
        </w:rPr>
        <w:t>Doba plnění je v pracovní den v čase 8.00 – 16.30 hodin.</w:t>
      </w:r>
    </w:p>
    <w:p w14:paraId="6F22D89B" w14:textId="77777777" w:rsidR="00730787" w:rsidRPr="003E56FD" w:rsidRDefault="00730787" w:rsidP="003E56FD">
      <w:pPr>
        <w:ind w:left="360"/>
        <w:jc w:val="both"/>
        <w:textAlignment w:val="auto"/>
        <w:rPr>
          <w:szCs w:val="24"/>
          <w:lang w:val="cs-CZ"/>
        </w:rPr>
      </w:pPr>
      <w:r>
        <w:rPr>
          <w:szCs w:val="24"/>
          <w:lang w:val="cs-CZ"/>
        </w:rPr>
        <w:t>Pro případ nepřítomnosti přiděleného IT specialisty (dovolená na zotavenou, pracovní neschopnost, služební cesta apod.) garantuje Poskytovatel dostupnost jiného seniorního IT specialisty</w:t>
      </w:r>
      <w:r w:rsidR="00E12AE4">
        <w:rPr>
          <w:szCs w:val="24"/>
          <w:lang w:val="cs-CZ"/>
        </w:rPr>
        <w:t>, který bude obeznámen s provozem a potřebami Objednatele.</w:t>
      </w:r>
    </w:p>
    <w:p w14:paraId="26DC9E82" w14:textId="77777777" w:rsidR="006F4BDE" w:rsidRPr="006F4BDE" w:rsidRDefault="006F4BDE" w:rsidP="00A10528">
      <w:pPr>
        <w:numPr>
          <w:ilvl w:val="0"/>
          <w:numId w:val="34"/>
        </w:numPr>
        <w:tabs>
          <w:tab w:val="clear" w:pos="1440"/>
          <w:tab w:val="center" w:pos="284"/>
          <w:tab w:val="right" w:pos="9071"/>
        </w:tabs>
        <w:ind w:left="284" w:hanging="284"/>
        <w:textAlignment w:val="auto"/>
        <w:rPr>
          <w:b/>
          <w:szCs w:val="24"/>
          <w:lang w:val="cs-CZ" w:eastAsia="x-none"/>
        </w:rPr>
      </w:pPr>
      <w:r w:rsidRPr="006F4BDE">
        <w:rPr>
          <w:b/>
          <w:szCs w:val="24"/>
          <w:lang w:val="cs-CZ" w:eastAsia="x-none"/>
        </w:rPr>
        <w:t xml:space="preserve">Pravidelný </w:t>
      </w:r>
      <w:r w:rsidR="00A10528">
        <w:rPr>
          <w:b/>
          <w:szCs w:val="24"/>
          <w:lang w:val="cs-CZ" w:eastAsia="x-none"/>
        </w:rPr>
        <w:t xml:space="preserve">upgrade Systému, udržování Systému v souladu s legislativou ČR - Čl. II. odst. 2. písm. </w:t>
      </w:r>
      <w:r w:rsidR="008A1C32">
        <w:rPr>
          <w:b/>
          <w:szCs w:val="24"/>
          <w:lang w:val="cs-CZ" w:eastAsia="x-none"/>
        </w:rPr>
        <w:t>f</w:t>
      </w:r>
      <w:r w:rsidR="00A10528">
        <w:rPr>
          <w:b/>
          <w:szCs w:val="24"/>
          <w:lang w:val="cs-CZ" w:eastAsia="x-none"/>
        </w:rPr>
        <w:t>)</w:t>
      </w:r>
      <w:r w:rsidR="005C1687">
        <w:rPr>
          <w:b/>
          <w:szCs w:val="24"/>
          <w:lang w:val="cs-CZ" w:eastAsia="x-none"/>
        </w:rPr>
        <w:t xml:space="preserve"> a </w:t>
      </w:r>
      <w:r w:rsidR="008A1C32">
        <w:rPr>
          <w:b/>
          <w:szCs w:val="24"/>
          <w:lang w:val="cs-CZ" w:eastAsia="x-none"/>
        </w:rPr>
        <w:t>g</w:t>
      </w:r>
      <w:r w:rsidR="005C1687">
        <w:rPr>
          <w:b/>
          <w:szCs w:val="24"/>
          <w:lang w:val="cs-CZ" w:eastAsia="x-none"/>
        </w:rPr>
        <w:t>)</w:t>
      </w:r>
    </w:p>
    <w:p w14:paraId="78B99FCA" w14:textId="2E8BC753" w:rsidR="003E56FD" w:rsidRPr="006F4BDE" w:rsidRDefault="005C1687" w:rsidP="006F4BDE">
      <w:pPr>
        <w:ind w:left="360"/>
        <w:jc w:val="both"/>
        <w:textAlignment w:val="auto"/>
        <w:rPr>
          <w:szCs w:val="24"/>
          <w:lang w:val="cs-CZ"/>
        </w:rPr>
      </w:pPr>
      <w:r>
        <w:rPr>
          <w:szCs w:val="24"/>
          <w:lang w:val="cs-CZ"/>
        </w:rPr>
        <w:t xml:space="preserve">Je realizován </w:t>
      </w:r>
      <w:r w:rsidR="008A1C32">
        <w:rPr>
          <w:szCs w:val="24"/>
          <w:lang w:val="cs-CZ"/>
        </w:rPr>
        <w:t>2x ročně</w:t>
      </w:r>
      <w:r w:rsidR="003E56FD" w:rsidRPr="00F422DC">
        <w:rPr>
          <w:szCs w:val="24"/>
          <w:lang w:val="cs-CZ"/>
        </w:rPr>
        <w:t xml:space="preserve">. </w:t>
      </w:r>
      <w:r w:rsidR="003E56FD">
        <w:rPr>
          <w:szCs w:val="24"/>
          <w:lang w:val="cs-CZ"/>
        </w:rPr>
        <w:t xml:space="preserve">Ve výjimečných případech může Poskytovatel </w:t>
      </w:r>
      <w:r w:rsidR="008A1C32">
        <w:rPr>
          <w:szCs w:val="24"/>
          <w:lang w:val="cs-CZ"/>
        </w:rPr>
        <w:t>četnost</w:t>
      </w:r>
      <w:r w:rsidR="003E56FD">
        <w:rPr>
          <w:szCs w:val="24"/>
          <w:lang w:val="cs-CZ"/>
        </w:rPr>
        <w:t xml:space="preserve"> upgrade změnit, o tuto skutečnost je Poskytovatel povinen oznámit Objednateli písemně s dostatečným předstihem</w:t>
      </w:r>
      <w:r w:rsidR="003E56FD" w:rsidRPr="00F422DC">
        <w:rPr>
          <w:szCs w:val="24"/>
          <w:lang w:val="cs-CZ"/>
        </w:rPr>
        <w:t xml:space="preserve">. </w:t>
      </w:r>
      <w:r w:rsidR="003E56FD" w:rsidRPr="00E62B66">
        <w:rPr>
          <w:noProof/>
          <w:szCs w:val="24"/>
          <w:lang w:val="cs-CZ"/>
        </w:rPr>
        <w:t xml:space="preserve">Smluvní strany výslovně sjednávají, že komunikace ohledně </w:t>
      </w:r>
      <w:r w:rsidR="003E56FD">
        <w:rPr>
          <w:noProof/>
          <w:szCs w:val="24"/>
          <w:lang w:val="cs-CZ"/>
        </w:rPr>
        <w:t xml:space="preserve">změn termínu upgrade </w:t>
      </w:r>
      <w:r w:rsidR="003E56FD" w:rsidRPr="00E62B66">
        <w:rPr>
          <w:noProof/>
          <w:szCs w:val="24"/>
          <w:lang w:val="cs-CZ"/>
        </w:rPr>
        <w:t>bude probíhat emailovou komunikací mezi adresami</w:t>
      </w:r>
      <w:r w:rsidR="003E56FD">
        <w:rPr>
          <w:noProof/>
          <w:szCs w:val="24"/>
          <w:lang w:val="cs-CZ"/>
        </w:rPr>
        <w:t xml:space="preserve"> Objednatele</w:t>
      </w:r>
      <w:r w:rsidR="003E56FD" w:rsidRPr="00E62B66">
        <w:rPr>
          <w:noProof/>
          <w:szCs w:val="24"/>
          <w:lang w:val="cs-CZ"/>
        </w:rPr>
        <w:t xml:space="preserve"> </w:t>
      </w:r>
      <w:r w:rsidR="00B95A61" w:rsidRPr="00B95A61">
        <w:rPr>
          <w:lang w:val="cs-CZ"/>
        </w:rPr>
        <w:t>xx</w:t>
      </w:r>
      <w:r w:rsidR="00B95A61">
        <w:rPr>
          <w:lang w:val="cs-CZ"/>
        </w:rPr>
        <w:t xml:space="preserve">xxxx </w:t>
      </w:r>
      <w:r w:rsidR="00C510D8">
        <w:rPr>
          <w:noProof/>
          <w:szCs w:val="24"/>
          <w:lang w:val="cs-CZ"/>
        </w:rPr>
        <w:t xml:space="preserve">a </w:t>
      </w:r>
      <w:r w:rsidR="003E56FD">
        <w:rPr>
          <w:noProof/>
          <w:szCs w:val="24"/>
          <w:lang w:val="cs-CZ"/>
        </w:rPr>
        <w:t xml:space="preserve">Poskytovatele </w:t>
      </w:r>
      <w:r w:rsidR="00B95A61" w:rsidRPr="00B95A61">
        <w:rPr>
          <w:noProof/>
          <w:szCs w:val="24"/>
          <w:lang w:val="cs-CZ"/>
        </w:rPr>
        <w:t>xxxxx</w:t>
      </w:r>
      <w:r w:rsidR="00B95A61" w:rsidRPr="00B95A61">
        <w:rPr>
          <w:lang w:val="cs-CZ"/>
        </w:rPr>
        <w:t xml:space="preserve"> </w:t>
      </w:r>
      <w:r w:rsidR="00C510D8">
        <w:rPr>
          <w:noProof/>
          <w:szCs w:val="24"/>
          <w:lang w:val="cs-CZ"/>
        </w:rPr>
        <w:t xml:space="preserve"> </w:t>
      </w:r>
      <w:r w:rsidR="003E56FD" w:rsidRPr="00E62B66">
        <w:rPr>
          <w:noProof/>
          <w:szCs w:val="24"/>
          <w:lang w:val="cs-CZ"/>
        </w:rPr>
        <w:t>a</w:t>
      </w:r>
      <w:r w:rsidR="00A53392">
        <w:rPr>
          <w:noProof/>
          <w:szCs w:val="24"/>
          <w:lang w:val="cs-CZ"/>
        </w:rPr>
        <w:t>/nebo</w:t>
      </w:r>
      <w:r w:rsidR="003E56FD" w:rsidRPr="00E62B66">
        <w:rPr>
          <w:noProof/>
          <w:szCs w:val="24"/>
          <w:lang w:val="cs-CZ"/>
        </w:rPr>
        <w:t xml:space="preserve"> </w:t>
      </w:r>
      <w:r w:rsidR="00B95A61" w:rsidRPr="00B95A61">
        <w:rPr>
          <w:noProof/>
          <w:szCs w:val="24"/>
          <w:lang w:val="cs-CZ"/>
        </w:rPr>
        <w:t>xxxxxx</w:t>
      </w:r>
      <w:r w:rsidR="003E56FD" w:rsidRPr="00E62B66">
        <w:rPr>
          <w:noProof/>
          <w:szCs w:val="24"/>
          <w:lang w:val="cs-CZ"/>
        </w:rPr>
        <w:t>. Tato komunikace bude považována na písemnou formu.</w:t>
      </w:r>
    </w:p>
    <w:p w14:paraId="0433FBED" w14:textId="71109CD7" w:rsidR="00D81666" w:rsidRDefault="004A1EDF" w:rsidP="00D81666">
      <w:pPr>
        <w:spacing w:before="0"/>
        <w:outlineLvl w:val="0"/>
        <w:rPr>
          <w:b/>
          <w:noProof/>
          <w:szCs w:val="24"/>
          <w:lang w:val="cs-CZ"/>
        </w:rPr>
      </w:pPr>
      <w:r w:rsidRPr="00925F12">
        <w:rPr>
          <w:b/>
          <w:noProof/>
          <w:szCs w:val="24"/>
          <w:lang w:val="cs-CZ"/>
        </w:rPr>
        <w:br w:type="page"/>
      </w:r>
      <w:bookmarkStart w:id="0" w:name="OLE_LINK1"/>
      <w:r w:rsidR="00D81666" w:rsidRPr="00925F12">
        <w:rPr>
          <w:b/>
          <w:noProof/>
          <w:szCs w:val="24"/>
          <w:lang w:val="cs-CZ"/>
        </w:rPr>
        <w:lastRenderedPageBreak/>
        <w:t xml:space="preserve"> </w:t>
      </w:r>
    </w:p>
    <w:p w14:paraId="255DE2E3" w14:textId="77777777" w:rsidR="0060476A" w:rsidRPr="00925F12" w:rsidRDefault="0060476A" w:rsidP="00D81666">
      <w:pPr>
        <w:spacing w:before="0"/>
        <w:outlineLvl w:val="0"/>
        <w:rPr>
          <w:b/>
          <w:noProof/>
          <w:szCs w:val="24"/>
          <w:lang w:val="cs-CZ"/>
        </w:rPr>
      </w:pPr>
    </w:p>
    <w:p w14:paraId="59546A2B" w14:textId="77777777" w:rsidR="004E53E2" w:rsidRPr="00925F12" w:rsidRDefault="004E53E2" w:rsidP="004E53E2">
      <w:pPr>
        <w:spacing w:before="0"/>
        <w:outlineLvl w:val="0"/>
        <w:rPr>
          <w:b/>
          <w:noProof/>
          <w:szCs w:val="24"/>
          <w:lang w:val="cs-CZ"/>
        </w:rPr>
      </w:pPr>
      <w:r w:rsidRPr="00925F12">
        <w:rPr>
          <w:b/>
          <w:noProof/>
          <w:szCs w:val="24"/>
          <w:lang w:val="cs-CZ"/>
        </w:rPr>
        <w:t xml:space="preserve">Příloha č. </w:t>
      </w:r>
      <w:r w:rsidR="00D81666" w:rsidRPr="00925F12">
        <w:rPr>
          <w:b/>
          <w:noProof/>
          <w:szCs w:val="24"/>
          <w:lang w:val="cs-CZ"/>
        </w:rPr>
        <w:t>2</w:t>
      </w:r>
      <w:r w:rsidRPr="00925F12">
        <w:rPr>
          <w:b/>
          <w:noProof/>
          <w:szCs w:val="24"/>
          <w:lang w:val="cs-CZ"/>
        </w:rPr>
        <w:t xml:space="preserve"> – </w:t>
      </w:r>
      <w:r w:rsidR="005A1696" w:rsidRPr="00925F12">
        <w:rPr>
          <w:b/>
          <w:noProof/>
          <w:szCs w:val="24"/>
          <w:lang w:val="cs-CZ"/>
        </w:rPr>
        <w:t>Pravidla k</w:t>
      </w:r>
      <w:r w:rsidRPr="00925F12">
        <w:rPr>
          <w:b/>
          <w:noProof/>
          <w:szCs w:val="24"/>
          <w:lang w:val="cs-CZ"/>
        </w:rPr>
        <w:t>ontaktování technické podpory</w:t>
      </w:r>
      <w:r w:rsidR="00C163C2">
        <w:rPr>
          <w:b/>
          <w:noProof/>
          <w:szCs w:val="24"/>
          <w:lang w:val="cs-CZ"/>
        </w:rPr>
        <w:t>, smluvní pokuty</w:t>
      </w:r>
      <w:r w:rsidRPr="00925F12">
        <w:rPr>
          <w:b/>
          <w:noProof/>
          <w:szCs w:val="24"/>
          <w:lang w:val="cs-CZ"/>
        </w:rPr>
        <w:t>:</w:t>
      </w:r>
    </w:p>
    <w:bookmarkEnd w:id="0"/>
    <w:p w14:paraId="1679E0DF" w14:textId="77777777" w:rsidR="005A1696" w:rsidRPr="00925F12" w:rsidRDefault="00CC2EBC" w:rsidP="00CC2EBC">
      <w:pPr>
        <w:tabs>
          <w:tab w:val="left" w:pos="3844"/>
        </w:tabs>
        <w:spacing w:before="0"/>
        <w:jc w:val="both"/>
        <w:outlineLvl w:val="0"/>
        <w:rPr>
          <w:sz w:val="22"/>
          <w:lang w:val="cs-CZ"/>
        </w:rPr>
      </w:pPr>
      <w:r w:rsidRPr="00925F12">
        <w:rPr>
          <w:sz w:val="22"/>
          <w:lang w:val="cs-CZ"/>
        </w:rPr>
        <w:tab/>
      </w:r>
    </w:p>
    <w:p w14:paraId="5CB4780B" w14:textId="77777777" w:rsidR="005A1696" w:rsidRPr="00CD15EB" w:rsidRDefault="005A1696" w:rsidP="005A1696">
      <w:pPr>
        <w:spacing w:before="0"/>
        <w:jc w:val="both"/>
        <w:outlineLvl w:val="0"/>
        <w:rPr>
          <w:b/>
          <w:szCs w:val="24"/>
          <w:u w:val="single"/>
          <w:lang w:val="cs-CZ"/>
        </w:rPr>
      </w:pPr>
      <w:r w:rsidRPr="00CD15EB">
        <w:rPr>
          <w:b/>
          <w:szCs w:val="24"/>
          <w:u w:val="single"/>
          <w:lang w:val="cs-CZ"/>
        </w:rPr>
        <w:t>Vymezení pojmů</w:t>
      </w:r>
    </w:p>
    <w:p w14:paraId="126E1E35" w14:textId="77777777" w:rsidR="005A1696" w:rsidRPr="00CD15EB" w:rsidRDefault="005A1696" w:rsidP="005A1696">
      <w:pPr>
        <w:spacing w:before="0"/>
        <w:jc w:val="both"/>
        <w:outlineLvl w:val="0"/>
        <w:rPr>
          <w:szCs w:val="24"/>
          <w:lang w:val="cs-CZ"/>
        </w:rPr>
      </w:pPr>
      <w:r w:rsidRPr="00CD15EB">
        <w:rPr>
          <w:b/>
          <w:szCs w:val="24"/>
          <w:lang w:val="cs-CZ"/>
        </w:rPr>
        <w:t>Kritickou nefunkčností Systému</w:t>
      </w:r>
      <w:r w:rsidRPr="00CD15EB">
        <w:rPr>
          <w:szCs w:val="24"/>
          <w:lang w:val="cs-CZ"/>
        </w:rPr>
        <w:t xml:space="preserve"> se rozumí </w:t>
      </w:r>
      <w:r w:rsidR="00C121EC" w:rsidRPr="00CD15EB">
        <w:rPr>
          <w:szCs w:val="24"/>
          <w:lang w:val="cs-CZ"/>
        </w:rPr>
        <w:t>j</w:t>
      </w:r>
      <w:r w:rsidRPr="00CD15EB">
        <w:rPr>
          <w:szCs w:val="24"/>
          <w:lang w:val="cs-CZ"/>
        </w:rPr>
        <w:t>akýkoliv výpadek přímého nebo online prodeje vstupenek, který je příčinou úplné nefunkčnosti Systém</w:t>
      </w:r>
      <w:r w:rsidR="00C121EC" w:rsidRPr="00CD15EB">
        <w:rPr>
          <w:szCs w:val="24"/>
          <w:lang w:val="cs-CZ"/>
        </w:rPr>
        <w:t xml:space="preserve">u. </w:t>
      </w:r>
      <w:r w:rsidRPr="00CD15EB">
        <w:rPr>
          <w:szCs w:val="24"/>
          <w:lang w:val="cs-CZ"/>
        </w:rPr>
        <w:t>Kritickou nefunkčností Systému je nemožnost prodávat vstupenky na pokladně způsobená chybou Systému</w:t>
      </w:r>
      <w:r w:rsidR="003A4C30">
        <w:rPr>
          <w:szCs w:val="24"/>
          <w:lang w:val="cs-CZ"/>
        </w:rPr>
        <w:t xml:space="preserve"> včetně kritických chyb v tiskových definicích (např. tisk jiné ceny, zkomolené názvy apod.)</w:t>
      </w:r>
      <w:r w:rsidRPr="00CD15EB">
        <w:rPr>
          <w:szCs w:val="24"/>
          <w:lang w:val="cs-CZ"/>
        </w:rPr>
        <w:t>.</w:t>
      </w:r>
    </w:p>
    <w:p w14:paraId="2589936C" w14:textId="77777777" w:rsidR="005A1696" w:rsidRPr="00CD15EB" w:rsidRDefault="005A1696" w:rsidP="005A1696">
      <w:pPr>
        <w:spacing w:before="0"/>
        <w:jc w:val="both"/>
        <w:outlineLvl w:val="0"/>
        <w:rPr>
          <w:szCs w:val="24"/>
          <w:lang w:val="cs-CZ"/>
        </w:rPr>
      </w:pPr>
    </w:p>
    <w:p w14:paraId="29E96A9B" w14:textId="77777777" w:rsidR="005A1696" w:rsidRPr="00CD15EB" w:rsidRDefault="005A1696" w:rsidP="005A1696">
      <w:pPr>
        <w:spacing w:before="0"/>
        <w:jc w:val="both"/>
        <w:outlineLvl w:val="0"/>
        <w:rPr>
          <w:szCs w:val="24"/>
          <w:lang w:val="cs-CZ"/>
        </w:rPr>
      </w:pPr>
      <w:r w:rsidRPr="00CD15EB">
        <w:rPr>
          <w:b/>
          <w:szCs w:val="24"/>
          <w:lang w:val="cs-CZ"/>
        </w:rPr>
        <w:t>Nekritickou nefunkčností Systému</w:t>
      </w:r>
      <w:r w:rsidRPr="00CD15EB">
        <w:rPr>
          <w:szCs w:val="24"/>
          <w:lang w:val="cs-CZ"/>
        </w:rPr>
        <w:t xml:space="preserve"> se rozumí všechny ostatní případy chyb či omezeného provozu Systému, které nemají přímý vliv na prodej vstupenek. Nekritickou nefunkčností Systému je např. chyba ve výkazech poskytovaných Systémem, delší odezvy Systému neznemožňující prodej vstupenek způsobené na straně Systému apod.</w:t>
      </w:r>
    </w:p>
    <w:p w14:paraId="7AAB8403" w14:textId="77777777" w:rsidR="005A1696" w:rsidRDefault="005A1696" w:rsidP="005A1696">
      <w:pPr>
        <w:spacing w:before="0"/>
        <w:jc w:val="both"/>
        <w:outlineLvl w:val="0"/>
        <w:rPr>
          <w:szCs w:val="24"/>
          <w:lang w:val="cs-CZ"/>
        </w:rPr>
      </w:pPr>
    </w:p>
    <w:p w14:paraId="20F460C7" w14:textId="77777777" w:rsidR="00C163C2" w:rsidRPr="00C163C2" w:rsidRDefault="00C163C2" w:rsidP="00C163C2">
      <w:pPr>
        <w:spacing w:before="0"/>
        <w:jc w:val="both"/>
        <w:outlineLvl w:val="0"/>
        <w:rPr>
          <w:bCs/>
          <w:szCs w:val="24"/>
          <w:lang w:val="cs-CZ"/>
        </w:rPr>
      </w:pPr>
      <w:r w:rsidRPr="00C163C2">
        <w:rPr>
          <w:bCs/>
          <w:szCs w:val="24"/>
          <w:lang w:val="cs-CZ"/>
        </w:rPr>
        <w:t>Jednotlivé nefunkčnosti se smějí v rámci kalendářního roku projevit maximálně v těchto počtech nebo množství:</w:t>
      </w:r>
    </w:p>
    <w:p w14:paraId="5A31652B" w14:textId="77777777" w:rsidR="00C163C2" w:rsidRPr="00C163C2" w:rsidRDefault="00C163C2" w:rsidP="00C163C2">
      <w:pPr>
        <w:spacing w:before="0"/>
        <w:jc w:val="both"/>
        <w:outlineLvl w:val="0"/>
        <w:rPr>
          <w:bCs/>
          <w:szCs w:val="24"/>
          <w:lang w:val="cs-CZ"/>
        </w:rPr>
      </w:pPr>
      <w:r w:rsidRPr="00C163C2">
        <w:rPr>
          <w:b/>
          <w:szCs w:val="24"/>
          <w:lang w:val="cs-CZ"/>
        </w:rPr>
        <w:t>Kritická nefunkčnost</w:t>
      </w:r>
      <w:r w:rsidRPr="00C163C2">
        <w:rPr>
          <w:bCs/>
          <w:szCs w:val="24"/>
          <w:lang w:val="cs-CZ"/>
        </w:rPr>
        <w:t xml:space="preserve"> – souhrnná doba trvání v hod. 24, počet výskytů max. 2</w:t>
      </w:r>
    </w:p>
    <w:p w14:paraId="34030946" w14:textId="77777777" w:rsidR="00C163C2" w:rsidRPr="00C163C2" w:rsidRDefault="00C163C2" w:rsidP="00C163C2">
      <w:pPr>
        <w:spacing w:before="0"/>
        <w:jc w:val="both"/>
        <w:outlineLvl w:val="0"/>
        <w:rPr>
          <w:bCs/>
          <w:szCs w:val="24"/>
          <w:lang w:val="cs-CZ"/>
        </w:rPr>
      </w:pPr>
      <w:r w:rsidRPr="00C163C2">
        <w:rPr>
          <w:b/>
          <w:szCs w:val="24"/>
          <w:lang w:val="cs-CZ"/>
        </w:rPr>
        <w:t>Nekritická nefunkčnost</w:t>
      </w:r>
      <w:r w:rsidRPr="00C163C2">
        <w:rPr>
          <w:bCs/>
          <w:szCs w:val="24"/>
          <w:lang w:val="cs-CZ"/>
        </w:rPr>
        <w:t xml:space="preserve"> – počet výskytů max. 24</w:t>
      </w:r>
    </w:p>
    <w:p w14:paraId="7387966C" w14:textId="77777777" w:rsidR="00C163C2" w:rsidRPr="00CD15EB" w:rsidRDefault="00C163C2" w:rsidP="005A1696">
      <w:pPr>
        <w:spacing w:before="0"/>
        <w:jc w:val="both"/>
        <w:outlineLvl w:val="0"/>
        <w:rPr>
          <w:szCs w:val="24"/>
          <w:lang w:val="cs-CZ"/>
        </w:rPr>
      </w:pPr>
    </w:p>
    <w:p w14:paraId="33A29ED4" w14:textId="77777777" w:rsidR="005A1696" w:rsidRPr="00925F12" w:rsidRDefault="005A1696" w:rsidP="005A1696">
      <w:pPr>
        <w:spacing w:before="0"/>
        <w:jc w:val="both"/>
        <w:outlineLvl w:val="0"/>
        <w:rPr>
          <w:b/>
          <w:sz w:val="22"/>
          <w:u w:val="single"/>
          <w:lang w:val="cs-CZ"/>
        </w:rPr>
      </w:pPr>
      <w:r w:rsidRPr="00925F12">
        <w:rPr>
          <w:b/>
          <w:sz w:val="22"/>
          <w:u w:val="single"/>
          <w:lang w:val="cs-CZ"/>
        </w:rPr>
        <w:t>Způsob kontaktování technické podpory</w:t>
      </w:r>
    </w:p>
    <w:tbl>
      <w:tblPr>
        <w:tblW w:w="0" w:type="auto"/>
        <w:tblCellMar>
          <w:left w:w="0" w:type="dxa"/>
          <w:right w:w="0" w:type="dxa"/>
        </w:tblCellMar>
        <w:tblLook w:val="04A0" w:firstRow="1" w:lastRow="0" w:firstColumn="1" w:lastColumn="0" w:noHBand="0" w:noVBand="1"/>
      </w:tblPr>
      <w:tblGrid>
        <w:gridCol w:w="3820"/>
        <w:gridCol w:w="5219"/>
      </w:tblGrid>
      <w:tr w:rsidR="005A1696" w:rsidRPr="00925F12" w14:paraId="20090740" w14:textId="77777777" w:rsidTr="005A1696">
        <w:tc>
          <w:tcPr>
            <w:tcW w:w="3820" w:type="dxa"/>
            <w:tcBorders>
              <w:top w:val="single" w:sz="8" w:space="0" w:color="4F81BD"/>
              <w:left w:val="single" w:sz="8" w:space="0" w:color="4F81BD"/>
              <w:bottom w:val="nil"/>
              <w:right w:val="nil"/>
            </w:tcBorders>
            <w:shd w:val="clear" w:color="auto" w:fill="4F81BD"/>
            <w:tcMar>
              <w:top w:w="0" w:type="dxa"/>
              <w:left w:w="108" w:type="dxa"/>
              <w:bottom w:w="0" w:type="dxa"/>
              <w:right w:w="108" w:type="dxa"/>
            </w:tcMar>
            <w:hideMark/>
          </w:tcPr>
          <w:p w14:paraId="00B3EC95" w14:textId="77777777" w:rsidR="005A1696" w:rsidRPr="00925F12" w:rsidRDefault="005A1696">
            <w:pPr>
              <w:rPr>
                <w:rFonts w:eastAsia="Calibri"/>
                <w:b/>
                <w:bCs/>
                <w:color w:val="FFFFFF"/>
                <w:sz w:val="20"/>
                <w:lang w:val="cs-CZ"/>
              </w:rPr>
            </w:pPr>
            <w:r w:rsidRPr="00925F12">
              <w:rPr>
                <w:b/>
                <w:bCs/>
                <w:color w:val="FFFFFF"/>
                <w:sz w:val="20"/>
                <w:lang w:val="cs-CZ"/>
              </w:rPr>
              <w:t>Problém</w:t>
            </w:r>
          </w:p>
        </w:tc>
        <w:tc>
          <w:tcPr>
            <w:tcW w:w="5219" w:type="dxa"/>
            <w:tcBorders>
              <w:top w:val="single" w:sz="8" w:space="0" w:color="4F81BD"/>
              <w:left w:val="nil"/>
              <w:bottom w:val="nil"/>
              <w:right w:val="single" w:sz="8" w:space="0" w:color="4F81BD"/>
            </w:tcBorders>
            <w:shd w:val="clear" w:color="auto" w:fill="4F81BD"/>
            <w:tcMar>
              <w:top w:w="0" w:type="dxa"/>
              <w:left w:w="108" w:type="dxa"/>
              <w:bottom w:w="0" w:type="dxa"/>
              <w:right w:w="108" w:type="dxa"/>
            </w:tcMar>
            <w:hideMark/>
          </w:tcPr>
          <w:p w14:paraId="1187C123" w14:textId="77777777" w:rsidR="005A1696" w:rsidRPr="00925F12" w:rsidRDefault="005A1696">
            <w:pPr>
              <w:rPr>
                <w:rFonts w:eastAsia="Calibri"/>
                <w:b/>
                <w:bCs/>
                <w:color w:val="FFFFFF"/>
                <w:sz w:val="20"/>
                <w:lang w:val="cs-CZ"/>
              </w:rPr>
            </w:pPr>
            <w:r w:rsidRPr="00925F12">
              <w:rPr>
                <w:b/>
                <w:bCs/>
                <w:color w:val="FFFFFF"/>
                <w:sz w:val="20"/>
                <w:lang w:val="cs-CZ"/>
              </w:rPr>
              <w:t>Způsob hlášení</w:t>
            </w:r>
          </w:p>
        </w:tc>
      </w:tr>
      <w:tr w:rsidR="005A1696" w:rsidRPr="00B95A61" w14:paraId="5518ACED" w14:textId="77777777" w:rsidTr="005A1696">
        <w:tc>
          <w:tcPr>
            <w:tcW w:w="3820" w:type="dxa"/>
            <w:tcBorders>
              <w:top w:val="single" w:sz="8" w:space="0" w:color="4F81BD"/>
              <w:left w:val="single" w:sz="8" w:space="0" w:color="4F81BD"/>
              <w:bottom w:val="single" w:sz="8" w:space="0" w:color="4F81BD"/>
              <w:right w:val="nil"/>
            </w:tcBorders>
            <w:tcMar>
              <w:top w:w="0" w:type="dxa"/>
              <w:left w:w="108" w:type="dxa"/>
              <w:bottom w:w="0" w:type="dxa"/>
              <w:right w:w="108" w:type="dxa"/>
            </w:tcMar>
            <w:hideMark/>
          </w:tcPr>
          <w:p w14:paraId="1567F5B0" w14:textId="77777777" w:rsidR="005A1696" w:rsidRPr="00925F12" w:rsidRDefault="005A1696">
            <w:pPr>
              <w:jc w:val="both"/>
              <w:rPr>
                <w:rFonts w:eastAsia="Calibri"/>
                <w:b/>
                <w:bCs/>
                <w:sz w:val="20"/>
                <w:lang w:val="cs-CZ"/>
              </w:rPr>
            </w:pPr>
            <w:r w:rsidRPr="00925F12">
              <w:rPr>
                <w:b/>
                <w:bCs/>
                <w:sz w:val="20"/>
                <w:lang w:val="cs-CZ"/>
              </w:rPr>
              <w:t>Nekritické nefunkčnosti Systému</w:t>
            </w:r>
          </w:p>
        </w:tc>
        <w:tc>
          <w:tcPr>
            <w:tcW w:w="5219" w:type="dxa"/>
            <w:tcBorders>
              <w:top w:val="single" w:sz="8" w:space="0" w:color="4F81BD"/>
              <w:left w:val="nil"/>
              <w:bottom w:val="single" w:sz="8" w:space="0" w:color="4F81BD"/>
              <w:right w:val="single" w:sz="8" w:space="0" w:color="4F81BD"/>
            </w:tcBorders>
            <w:tcMar>
              <w:top w:w="0" w:type="dxa"/>
              <w:left w:w="108" w:type="dxa"/>
              <w:bottom w:w="0" w:type="dxa"/>
              <w:right w:w="108" w:type="dxa"/>
            </w:tcMar>
            <w:hideMark/>
          </w:tcPr>
          <w:p w14:paraId="50490B16" w14:textId="2CBCEF4B" w:rsidR="005A1696" w:rsidRPr="00B95A61" w:rsidRDefault="005A1696">
            <w:pPr>
              <w:jc w:val="both"/>
              <w:rPr>
                <w:sz w:val="20"/>
                <w:lang w:val="cs-CZ"/>
              </w:rPr>
            </w:pPr>
            <w:r w:rsidRPr="00925F12">
              <w:rPr>
                <w:sz w:val="20"/>
                <w:lang w:val="cs-CZ"/>
              </w:rPr>
              <w:t>Nefunkčnost hlásit na emailov</w:t>
            </w:r>
            <w:r w:rsidR="00A32E8C" w:rsidRPr="00925F12">
              <w:rPr>
                <w:sz w:val="20"/>
                <w:lang w:val="cs-CZ"/>
              </w:rPr>
              <w:t>ou</w:t>
            </w:r>
            <w:r w:rsidRPr="00925F12">
              <w:rPr>
                <w:sz w:val="20"/>
                <w:lang w:val="cs-CZ"/>
              </w:rPr>
              <w:t xml:space="preserve"> adres</w:t>
            </w:r>
            <w:r w:rsidR="00A32E8C" w:rsidRPr="00925F12">
              <w:rPr>
                <w:sz w:val="20"/>
                <w:lang w:val="cs-CZ"/>
              </w:rPr>
              <w:t>u</w:t>
            </w:r>
            <w:r w:rsidRPr="00925F12">
              <w:rPr>
                <w:sz w:val="20"/>
                <w:lang w:val="cs-CZ"/>
              </w:rPr>
              <w:t xml:space="preserve"> Poskytovatele </w:t>
            </w:r>
            <w:r w:rsidR="00B95A61" w:rsidRPr="00B95A61">
              <w:rPr>
                <w:lang w:val="cs-CZ"/>
              </w:rPr>
              <w:t>xxxx</w:t>
            </w:r>
            <w:r w:rsidR="00B95A61">
              <w:rPr>
                <w:lang w:val="cs-CZ"/>
              </w:rPr>
              <w:t>x</w:t>
            </w:r>
          </w:p>
          <w:p w14:paraId="1D3B1848" w14:textId="77777777" w:rsidR="00C163C2" w:rsidRDefault="005A1696">
            <w:pPr>
              <w:jc w:val="both"/>
              <w:rPr>
                <w:sz w:val="20"/>
                <w:lang w:val="cs-CZ"/>
              </w:rPr>
            </w:pPr>
            <w:r w:rsidRPr="00925F12">
              <w:rPr>
                <w:sz w:val="20"/>
                <w:lang w:val="cs-CZ"/>
              </w:rPr>
              <w:t>Doba odezvy do následujícího pracovního dne.</w:t>
            </w:r>
          </w:p>
          <w:p w14:paraId="7F1F56AC" w14:textId="77777777" w:rsidR="005A1696" w:rsidRPr="00925F12" w:rsidRDefault="00C163C2">
            <w:pPr>
              <w:jc w:val="both"/>
              <w:rPr>
                <w:sz w:val="20"/>
                <w:lang w:val="cs-CZ"/>
              </w:rPr>
            </w:pPr>
            <w:r>
              <w:rPr>
                <w:sz w:val="20"/>
                <w:lang w:val="cs-CZ"/>
              </w:rPr>
              <w:t xml:space="preserve">Doba vyřešení dle dohody </w:t>
            </w:r>
            <w:r w:rsidRPr="00C163C2">
              <w:rPr>
                <w:sz w:val="20"/>
                <w:lang w:val="cs-CZ"/>
              </w:rPr>
              <w:t>nebo v závislosti na charakteru nefunkčnosti dle dohody s vydáním nové verze Systému</w:t>
            </w:r>
            <w:r>
              <w:rPr>
                <w:sz w:val="20"/>
                <w:lang w:val="cs-CZ"/>
              </w:rPr>
              <w:t>.</w:t>
            </w:r>
          </w:p>
          <w:p w14:paraId="704D007D" w14:textId="77777777" w:rsidR="00666859" w:rsidRPr="00925F12" w:rsidRDefault="00666859">
            <w:pPr>
              <w:jc w:val="both"/>
              <w:rPr>
                <w:sz w:val="20"/>
                <w:lang w:val="cs-CZ"/>
              </w:rPr>
            </w:pPr>
          </w:p>
        </w:tc>
      </w:tr>
      <w:tr w:rsidR="005A1696" w:rsidRPr="00B95A61" w14:paraId="49148F0F" w14:textId="77777777" w:rsidTr="005A1696">
        <w:tc>
          <w:tcPr>
            <w:tcW w:w="3820" w:type="dxa"/>
            <w:tcBorders>
              <w:top w:val="nil"/>
              <w:left w:val="single" w:sz="8" w:space="0" w:color="4F81BD"/>
              <w:bottom w:val="single" w:sz="8" w:space="0" w:color="4F81BD"/>
              <w:right w:val="nil"/>
            </w:tcBorders>
            <w:tcMar>
              <w:top w:w="0" w:type="dxa"/>
              <w:left w:w="108" w:type="dxa"/>
              <w:bottom w:w="0" w:type="dxa"/>
              <w:right w:w="108" w:type="dxa"/>
            </w:tcMar>
            <w:hideMark/>
          </w:tcPr>
          <w:p w14:paraId="2EAEE122" w14:textId="77777777" w:rsidR="005A1696" w:rsidRPr="00925F12" w:rsidRDefault="005A1696">
            <w:pPr>
              <w:jc w:val="both"/>
              <w:rPr>
                <w:rFonts w:eastAsia="Calibri"/>
                <w:b/>
                <w:bCs/>
                <w:sz w:val="20"/>
                <w:lang w:val="cs-CZ"/>
              </w:rPr>
            </w:pPr>
            <w:r w:rsidRPr="00925F12">
              <w:rPr>
                <w:b/>
                <w:bCs/>
                <w:sz w:val="20"/>
                <w:lang w:val="cs-CZ"/>
              </w:rPr>
              <w:t>Kritické nefunkčnosti systému</w:t>
            </w:r>
          </w:p>
        </w:tc>
        <w:tc>
          <w:tcPr>
            <w:tcW w:w="5219" w:type="dxa"/>
            <w:tcBorders>
              <w:top w:val="nil"/>
              <w:left w:val="nil"/>
              <w:bottom w:val="single" w:sz="8" w:space="0" w:color="4F81BD"/>
              <w:right w:val="single" w:sz="8" w:space="0" w:color="4F81BD"/>
            </w:tcBorders>
            <w:tcMar>
              <w:top w:w="0" w:type="dxa"/>
              <w:left w:w="108" w:type="dxa"/>
              <w:bottom w:w="0" w:type="dxa"/>
              <w:right w:w="108" w:type="dxa"/>
            </w:tcMar>
          </w:tcPr>
          <w:p w14:paraId="05FF9173" w14:textId="324209EA" w:rsidR="00C44014" w:rsidRPr="00C44014" w:rsidRDefault="00C44014" w:rsidP="00C44014">
            <w:pPr>
              <w:jc w:val="both"/>
              <w:rPr>
                <w:sz w:val="20"/>
                <w:lang w:val="cs-CZ"/>
              </w:rPr>
            </w:pPr>
            <w:r w:rsidRPr="00C44014">
              <w:rPr>
                <w:sz w:val="20"/>
                <w:lang w:val="cs-CZ"/>
              </w:rPr>
              <w:t xml:space="preserve">Nefunkčnost hlásit přímo na tel.: </w:t>
            </w:r>
            <w:r w:rsidR="00B95A61">
              <w:rPr>
                <w:sz w:val="20"/>
                <w:lang w:val="cs-CZ"/>
              </w:rPr>
              <w:t>xxxxx</w:t>
            </w:r>
            <w:r w:rsidRPr="00C44014">
              <w:rPr>
                <w:sz w:val="20"/>
                <w:lang w:val="cs-CZ"/>
              </w:rPr>
              <w:t xml:space="preserve"> v době 8.00 – 22.00 hodin.</w:t>
            </w:r>
          </w:p>
          <w:p w14:paraId="387B8FD1" w14:textId="77777777" w:rsidR="005A1696" w:rsidRPr="001F036D" w:rsidRDefault="00B8240B">
            <w:pPr>
              <w:jc w:val="both"/>
              <w:rPr>
                <w:sz w:val="20"/>
                <w:lang w:val="cs-CZ"/>
              </w:rPr>
            </w:pPr>
            <w:r w:rsidRPr="001F036D">
              <w:rPr>
                <w:sz w:val="20"/>
                <w:lang w:val="cs-CZ"/>
              </w:rPr>
              <w:t>Doba odezvy je do 30 minut od nahlášení.</w:t>
            </w:r>
            <w:r w:rsidR="00525776" w:rsidRPr="001F036D">
              <w:rPr>
                <w:sz w:val="20"/>
                <w:lang w:val="cs-CZ"/>
              </w:rPr>
              <w:t xml:space="preserve"> </w:t>
            </w:r>
            <w:r w:rsidR="001F036D">
              <w:rPr>
                <w:sz w:val="20"/>
                <w:lang w:val="cs-CZ"/>
              </w:rPr>
              <w:t>G</w:t>
            </w:r>
            <w:r w:rsidR="00525776" w:rsidRPr="001F036D">
              <w:rPr>
                <w:sz w:val="20"/>
                <w:lang w:val="cs-CZ"/>
              </w:rPr>
              <w:t xml:space="preserve">arantována doba vyřešení </w:t>
            </w:r>
            <w:r w:rsidR="001F036D">
              <w:rPr>
                <w:sz w:val="20"/>
                <w:lang w:val="cs-CZ"/>
              </w:rPr>
              <w:t>kritické nefunkčnosti</w:t>
            </w:r>
            <w:r w:rsidR="00525776" w:rsidRPr="001F036D">
              <w:rPr>
                <w:sz w:val="20"/>
                <w:lang w:val="cs-CZ"/>
              </w:rPr>
              <w:t xml:space="preserve"> </w:t>
            </w:r>
            <w:r w:rsidR="001F036D">
              <w:rPr>
                <w:sz w:val="20"/>
                <w:lang w:val="cs-CZ"/>
              </w:rPr>
              <w:t xml:space="preserve">(za vyřešení se považuje i </w:t>
            </w:r>
            <w:r w:rsidR="00525776" w:rsidRPr="001F036D">
              <w:rPr>
                <w:sz w:val="20"/>
                <w:lang w:val="cs-CZ"/>
              </w:rPr>
              <w:t>zajištění náhradního řešení</w:t>
            </w:r>
            <w:r w:rsidR="001F036D">
              <w:rPr>
                <w:sz w:val="20"/>
                <w:lang w:val="cs-CZ"/>
              </w:rPr>
              <w:t>)</w:t>
            </w:r>
            <w:r w:rsidR="00525776" w:rsidRPr="001F036D">
              <w:rPr>
                <w:sz w:val="20"/>
                <w:lang w:val="cs-CZ"/>
              </w:rPr>
              <w:t xml:space="preserve"> do 8 hodin od přije</w:t>
            </w:r>
            <w:r w:rsidR="00EC2F4E">
              <w:rPr>
                <w:sz w:val="20"/>
                <w:lang w:val="cs-CZ"/>
              </w:rPr>
              <w:t>tí hlášení, v pracovní době do 4</w:t>
            </w:r>
            <w:r w:rsidR="00525776" w:rsidRPr="001F036D">
              <w:rPr>
                <w:sz w:val="20"/>
                <w:lang w:val="cs-CZ"/>
              </w:rPr>
              <w:t xml:space="preserve"> hodin od přijetí hlášení</w:t>
            </w:r>
          </w:p>
          <w:p w14:paraId="774910C0" w14:textId="77777777" w:rsidR="005A1696" w:rsidRPr="001F036D" w:rsidRDefault="005A1696">
            <w:pPr>
              <w:jc w:val="both"/>
              <w:rPr>
                <w:sz w:val="20"/>
                <w:lang w:val="cs-CZ"/>
              </w:rPr>
            </w:pPr>
          </w:p>
        </w:tc>
      </w:tr>
    </w:tbl>
    <w:p w14:paraId="34C10F49" w14:textId="77777777" w:rsidR="005A1696" w:rsidRPr="00925F12" w:rsidRDefault="005A1696" w:rsidP="005A1696">
      <w:pPr>
        <w:spacing w:before="0"/>
        <w:jc w:val="both"/>
        <w:outlineLvl w:val="0"/>
        <w:rPr>
          <w:sz w:val="22"/>
          <w:lang w:val="cs-CZ"/>
        </w:rPr>
      </w:pPr>
    </w:p>
    <w:p w14:paraId="6D743F61" w14:textId="77777777" w:rsidR="005A1696" w:rsidRPr="00F9083D" w:rsidRDefault="00F9083D" w:rsidP="00ED2528">
      <w:pPr>
        <w:spacing w:before="0"/>
        <w:jc w:val="both"/>
        <w:outlineLvl w:val="0"/>
        <w:rPr>
          <w:b/>
          <w:szCs w:val="24"/>
          <w:u w:val="single"/>
          <w:lang w:val="cs-CZ"/>
        </w:rPr>
      </w:pPr>
      <w:r w:rsidRPr="00F9083D">
        <w:rPr>
          <w:b/>
          <w:szCs w:val="24"/>
          <w:u w:val="single"/>
          <w:lang w:val="cs-CZ"/>
        </w:rPr>
        <w:t>Smluvní pokuty</w:t>
      </w:r>
    </w:p>
    <w:p w14:paraId="1FB0609B" w14:textId="77777777" w:rsidR="00F9083D" w:rsidRPr="00F9083D" w:rsidRDefault="00F9083D" w:rsidP="00F9083D">
      <w:pPr>
        <w:spacing w:before="0"/>
        <w:jc w:val="both"/>
        <w:outlineLvl w:val="0"/>
        <w:rPr>
          <w:bCs/>
          <w:szCs w:val="24"/>
          <w:lang w:val="cs-CZ"/>
        </w:rPr>
      </w:pPr>
      <w:r w:rsidRPr="00F9083D">
        <w:rPr>
          <w:bCs/>
          <w:szCs w:val="24"/>
          <w:lang w:val="cs-CZ"/>
        </w:rPr>
        <w:t>První 2 výskyty kritické nefunkčnosti jsou bez sankce. Při překročení počtu výskytů je za každý další výskyt počítána sankce dle následující metodiky:</w:t>
      </w:r>
    </w:p>
    <w:p w14:paraId="4C76D13B" w14:textId="77777777" w:rsidR="00F9083D" w:rsidRPr="00F9083D" w:rsidRDefault="00F9083D" w:rsidP="00756819">
      <w:pPr>
        <w:numPr>
          <w:ilvl w:val="0"/>
          <w:numId w:val="41"/>
        </w:numPr>
        <w:spacing w:before="0"/>
        <w:jc w:val="both"/>
        <w:outlineLvl w:val="0"/>
        <w:rPr>
          <w:bCs/>
          <w:szCs w:val="24"/>
          <w:lang w:val="cs-CZ"/>
        </w:rPr>
      </w:pPr>
      <w:r w:rsidRPr="00F9083D">
        <w:rPr>
          <w:bCs/>
          <w:szCs w:val="24"/>
          <w:lang w:val="cs-CZ"/>
        </w:rPr>
        <w:t>První výskyt 1</w:t>
      </w:r>
      <w:r w:rsidR="00FF4CF0">
        <w:rPr>
          <w:bCs/>
          <w:szCs w:val="24"/>
          <w:lang w:val="cs-CZ"/>
        </w:rPr>
        <w:t>.</w:t>
      </w:r>
      <w:r w:rsidRPr="00F9083D">
        <w:rPr>
          <w:bCs/>
          <w:szCs w:val="24"/>
          <w:lang w:val="cs-CZ"/>
        </w:rPr>
        <w:t>000,-</w:t>
      </w:r>
      <w:r w:rsidR="00FF4CF0">
        <w:rPr>
          <w:bCs/>
          <w:szCs w:val="24"/>
          <w:lang w:val="cs-CZ"/>
        </w:rPr>
        <w:t xml:space="preserve"> </w:t>
      </w:r>
      <w:r w:rsidRPr="00F9083D">
        <w:rPr>
          <w:bCs/>
          <w:szCs w:val="24"/>
          <w:lang w:val="cs-CZ"/>
        </w:rPr>
        <w:t>Kč</w:t>
      </w:r>
    </w:p>
    <w:p w14:paraId="0545A3BF" w14:textId="77777777" w:rsidR="00F9083D" w:rsidRPr="00F9083D" w:rsidRDefault="00F9083D" w:rsidP="00756819">
      <w:pPr>
        <w:numPr>
          <w:ilvl w:val="0"/>
          <w:numId w:val="41"/>
        </w:numPr>
        <w:spacing w:before="0"/>
        <w:jc w:val="both"/>
        <w:outlineLvl w:val="0"/>
        <w:rPr>
          <w:bCs/>
          <w:szCs w:val="24"/>
          <w:lang w:val="cs-CZ"/>
        </w:rPr>
      </w:pPr>
      <w:r w:rsidRPr="00F9083D">
        <w:rPr>
          <w:bCs/>
          <w:szCs w:val="24"/>
          <w:lang w:val="cs-CZ"/>
        </w:rPr>
        <w:t>Druhý výskyt 2</w:t>
      </w:r>
      <w:r w:rsidR="00FF4CF0">
        <w:rPr>
          <w:bCs/>
          <w:szCs w:val="24"/>
          <w:lang w:val="cs-CZ"/>
        </w:rPr>
        <w:t>.</w:t>
      </w:r>
      <w:r w:rsidRPr="00F9083D">
        <w:rPr>
          <w:bCs/>
          <w:szCs w:val="24"/>
          <w:lang w:val="cs-CZ"/>
        </w:rPr>
        <w:t>000,- Kč</w:t>
      </w:r>
    </w:p>
    <w:p w14:paraId="5BA78BA9" w14:textId="77777777" w:rsidR="00F9083D" w:rsidRPr="00F9083D" w:rsidRDefault="00F9083D" w:rsidP="00756819">
      <w:pPr>
        <w:numPr>
          <w:ilvl w:val="0"/>
          <w:numId w:val="41"/>
        </w:numPr>
        <w:spacing w:before="0"/>
        <w:jc w:val="both"/>
        <w:outlineLvl w:val="0"/>
        <w:rPr>
          <w:bCs/>
          <w:szCs w:val="24"/>
          <w:lang w:val="cs-CZ"/>
        </w:rPr>
      </w:pPr>
      <w:r w:rsidRPr="00F9083D">
        <w:rPr>
          <w:bCs/>
          <w:szCs w:val="24"/>
          <w:lang w:val="cs-CZ"/>
        </w:rPr>
        <w:t>Třetí výskyt 4</w:t>
      </w:r>
      <w:r w:rsidR="00FF4CF0">
        <w:rPr>
          <w:bCs/>
          <w:szCs w:val="24"/>
          <w:lang w:val="cs-CZ"/>
        </w:rPr>
        <w:t>.</w:t>
      </w:r>
      <w:r w:rsidRPr="00F9083D">
        <w:rPr>
          <w:bCs/>
          <w:szCs w:val="24"/>
          <w:lang w:val="cs-CZ"/>
        </w:rPr>
        <w:t>000,-</w:t>
      </w:r>
      <w:r w:rsidR="00FF4CF0">
        <w:rPr>
          <w:bCs/>
          <w:szCs w:val="24"/>
          <w:lang w:val="cs-CZ"/>
        </w:rPr>
        <w:t xml:space="preserve"> </w:t>
      </w:r>
      <w:r w:rsidRPr="00F9083D">
        <w:rPr>
          <w:bCs/>
          <w:szCs w:val="24"/>
          <w:lang w:val="cs-CZ"/>
        </w:rPr>
        <w:t>Kč</w:t>
      </w:r>
    </w:p>
    <w:p w14:paraId="45A5B1DA" w14:textId="77777777" w:rsidR="00E34D9F" w:rsidRPr="00F9083D" w:rsidRDefault="00F9083D" w:rsidP="00756819">
      <w:pPr>
        <w:numPr>
          <w:ilvl w:val="0"/>
          <w:numId w:val="41"/>
        </w:numPr>
        <w:spacing w:before="0"/>
        <w:jc w:val="both"/>
        <w:outlineLvl w:val="0"/>
        <w:rPr>
          <w:bCs/>
          <w:szCs w:val="24"/>
          <w:lang w:val="cs-CZ"/>
        </w:rPr>
      </w:pPr>
      <w:r w:rsidRPr="00F9083D">
        <w:rPr>
          <w:bCs/>
          <w:szCs w:val="24"/>
          <w:lang w:val="cs-CZ"/>
        </w:rPr>
        <w:t>Každý další výskyt 8</w:t>
      </w:r>
      <w:r w:rsidR="00FF4CF0">
        <w:rPr>
          <w:bCs/>
          <w:szCs w:val="24"/>
          <w:lang w:val="cs-CZ"/>
        </w:rPr>
        <w:t>.</w:t>
      </w:r>
      <w:r w:rsidRPr="00F9083D">
        <w:rPr>
          <w:bCs/>
          <w:szCs w:val="24"/>
          <w:lang w:val="cs-CZ"/>
        </w:rPr>
        <w:t>000,- Kč</w:t>
      </w:r>
    </w:p>
    <w:p w14:paraId="00A4E1C6" w14:textId="77777777" w:rsidR="00FF4CF0" w:rsidRDefault="00FF4CF0" w:rsidP="008522CD">
      <w:pPr>
        <w:spacing w:before="0"/>
        <w:outlineLvl w:val="0"/>
        <w:rPr>
          <w:noProof/>
          <w:lang w:val="cs-CZ"/>
        </w:rPr>
      </w:pPr>
    </w:p>
    <w:p w14:paraId="507619C8" w14:textId="77777777" w:rsidR="00FF4CF0" w:rsidRPr="00FF4CF0" w:rsidRDefault="00FF4CF0" w:rsidP="00FF4CF0">
      <w:pPr>
        <w:spacing w:before="0"/>
        <w:jc w:val="both"/>
        <w:outlineLvl w:val="0"/>
        <w:rPr>
          <w:bCs/>
          <w:szCs w:val="24"/>
          <w:lang w:val="cs-CZ"/>
        </w:rPr>
      </w:pPr>
      <w:r w:rsidRPr="00FF4CF0">
        <w:rPr>
          <w:bCs/>
          <w:szCs w:val="24"/>
          <w:lang w:val="cs-CZ"/>
        </w:rPr>
        <w:t xml:space="preserve">Pokud bude doba pro odstranění kritické nefunkčnosti specifikované </w:t>
      </w:r>
      <w:r w:rsidR="009F744C">
        <w:rPr>
          <w:bCs/>
          <w:szCs w:val="24"/>
          <w:lang w:val="cs-CZ"/>
        </w:rPr>
        <w:t>v Příloze č. 2 Smlouvy</w:t>
      </w:r>
      <w:r w:rsidRPr="00FF4CF0">
        <w:rPr>
          <w:bCs/>
          <w:szCs w:val="24"/>
          <w:lang w:val="cs-CZ"/>
        </w:rPr>
        <w:t xml:space="preserve"> překročena, bude sankce vyčíslena dle následující metodiky:</w:t>
      </w:r>
    </w:p>
    <w:p w14:paraId="5DC7F7FB" w14:textId="77777777" w:rsidR="00FF4CF0" w:rsidRPr="00FF4CF0" w:rsidRDefault="00FF4CF0" w:rsidP="00FF4CF0">
      <w:pPr>
        <w:numPr>
          <w:ilvl w:val="0"/>
          <w:numId w:val="41"/>
        </w:numPr>
        <w:spacing w:before="0"/>
        <w:jc w:val="both"/>
        <w:outlineLvl w:val="0"/>
        <w:rPr>
          <w:bCs/>
          <w:szCs w:val="24"/>
          <w:lang w:val="cs-CZ"/>
        </w:rPr>
      </w:pPr>
      <w:r w:rsidRPr="00FF4CF0">
        <w:rPr>
          <w:bCs/>
          <w:szCs w:val="24"/>
          <w:lang w:val="cs-CZ"/>
        </w:rPr>
        <w:t xml:space="preserve">Překročení o </w:t>
      </w:r>
      <w:r w:rsidR="002812FE">
        <w:rPr>
          <w:bCs/>
          <w:szCs w:val="24"/>
          <w:lang w:val="cs-CZ"/>
        </w:rPr>
        <w:t xml:space="preserve">každé 4 hodiny </w:t>
      </w:r>
      <w:r w:rsidRPr="00FF4CF0">
        <w:rPr>
          <w:bCs/>
          <w:szCs w:val="24"/>
          <w:lang w:val="cs-CZ"/>
        </w:rPr>
        <w:t xml:space="preserve">– </w:t>
      </w:r>
      <w:r>
        <w:rPr>
          <w:bCs/>
          <w:szCs w:val="24"/>
          <w:lang w:val="cs-CZ"/>
        </w:rPr>
        <w:t>2.</w:t>
      </w:r>
      <w:r w:rsidRPr="00FF4CF0">
        <w:rPr>
          <w:bCs/>
          <w:szCs w:val="24"/>
          <w:lang w:val="cs-CZ"/>
        </w:rPr>
        <w:t>000,- Kč</w:t>
      </w:r>
    </w:p>
    <w:p w14:paraId="5B8133D2" w14:textId="77777777" w:rsidR="00FF4CF0" w:rsidRDefault="00FF4CF0" w:rsidP="008522CD">
      <w:pPr>
        <w:spacing w:before="0"/>
        <w:outlineLvl w:val="0"/>
        <w:rPr>
          <w:noProof/>
          <w:lang w:val="cs-CZ"/>
        </w:rPr>
      </w:pPr>
    </w:p>
    <w:p w14:paraId="06ADDEC0" w14:textId="77777777" w:rsidR="007940E1" w:rsidRPr="007940E1" w:rsidRDefault="007940E1" w:rsidP="007940E1">
      <w:pPr>
        <w:spacing w:before="0"/>
        <w:jc w:val="both"/>
        <w:outlineLvl w:val="0"/>
        <w:rPr>
          <w:bCs/>
          <w:szCs w:val="24"/>
          <w:lang w:val="cs-CZ"/>
        </w:rPr>
      </w:pPr>
      <w:r w:rsidRPr="007940E1">
        <w:rPr>
          <w:bCs/>
          <w:szCs w:val="24"/>
          <w:lang w:val="cs-CZ"/>
        </w:rPr>
        <w:lastRenderedPageBreak/>
        <w:t>Prvních 24 výskytů nekritické nefunkčnosti jsou bez sankce. Při překročení počtu výskytů je za každý další výskyt počítána sankce dle následující metodiky:</w:t>
      </w:r>
    </w:p>
    <w:p w14:paraId="57472EF6" w14:textId="77777777" w:rsidR="007940E1" w:rsidRPr="00E74302" w:rsidRDefault="007940E1" w:rsidP="00E74302">
      <w:pPr>
        <w:numPr>
          <w:ilvl w:val="0"/>
          <w:numId w:val="41"/>
        </w:numPr>
        <w:spacing w:before="0"/>
        <w:jc w:val="both"/>
        <w:outlineLvl w:val="0"/>
        <w:rPr>
          <w:bCs/>
          <w:szCs w:val="24"/>
          <w:lang w:val="cs-CZ"/>
        </w:rPr>
      </w:pPr>
      <w:r w:rsidRPr="00E74302">
        <w:rPr>
          <w:bCs/>
          <w:szCs w:val="24"/>
          <w:lang w:val="cs-CZ"/>
        </w:rPr>
        <w:t>První výskyt 200,-Kč</w:t>
      </w:r>
    </w:p>
    <w:p w14:paraId="60E16A95" w14:textId="77777777" w:rsidR="007940E1" w:rsidRPr="00E74302" w:rsidRDefault="007940E1" w:rsidP="00E74302">
      <w:pPr>
        <w:numPr>
          <w:ilvl w:val="0"/>
          <w:numId w:val="41"/>
        </w:numPr>
        <w:spacing w:before="0"/>
        <w:jc w:val="both"/>
        <w:outlineLvl w:val="0"/>
        <w:rPr>
          <w:bCs/>
          <w:szCs w:val="24"/>
          <w:lang w:val="cs-CZ"/>
        </w:rPr>
      </w:pPr>
      <w:r w:rsidRPr="00E74302">
        <w:rPr>
          <w:bCs/>
          <w:szCs w:val="24"/>
          <w:lang w:val="cs-CZ"/>
        </w:rPr>
        <w:t>Druhý výskyt 400,- Kč</w:t>
      </w:r>
    </w:p>
    <w:p w14:paraId="42C2C074" w14:textId="77777777" w:rsidR="007940E1" w:rsidRPr="00E74302" w:rsidRDefault="007940E1" w:rsidP="00E74302">
      <w:pPr>
        <w:numPr>
          <w:ilvl w:val="0"/>
          <w:numId w:val="41"/>
        </w:numPr>
        <w:spacing w:before="0"/>
        <w:jc w:val="both"/>
        <w:outlineLvl w:val="0"/>
        <w:rPr>
          <w:bCs/>
          <w:szCs w:val="24"/>
          <w:lang w:val="cs-CZ"/>
        </w:rPr>
      </w:pPr>
      <w:r w:rsidRPr="00E74302">
        <w:rPr>
          <w:bCs/>
          <w:szCs w:val="24"/>
          <w:lang w:val="cs-CZ"/>
        </w:rPr>
        <w:t>Třetí výskyt 600,-Kč</w:t>
      </w:r>
    </w:p>
    <w:p w14:paraId="445DF250" w14:textId="77777777" w:rsidR="007940E1" w:rsidRDefault="007940E1" w:rsidP="00E74302">
      <w:pPr>
        <w:numPr>
          <w:ilvl w:val="0"/>
          <w:numId w:val="41"/>
        </w:numPr>
        <w:spacing w:before="0"/>
        <w:jc w:val="both"/>
        <w:outlineLvl w:val="0"/>
        <w:rPr>
          <w:bCs/>
          <w:szCs w:val="24"/>
          <w:lang w:val="cs-CZ"/>
        </w:rPr>
      </w:pPr>
      <w:r w:rsidRPr="00E74302">
        <w:rPr>
          <w:bCs/>
          <w:szCs w:val="24"/>
          <w:lang w:val="cs-CZ"/>
        </w:rPr>
        <w:t>Každý další výskyt 1.200,- Kč</w:t>
      </w:r>
    </w:p>
    <w:p w14:paraId="6325CE89" w14:textId="77777777" w:rsidR="004205E3" w:rsidRDefault="004205E3" w:rsidP="004205E3">
      <w:pPr>
        <w:spacing w:before="0"/>
        <w:jc w:val="both"/>
        <w:outlineLvl w:val="0"/>
        <w:rPr>
          <w:bCs/>
          <w:szCs w:val="24"/>
          <w:lang w:val="cs-CZ"/>
        </w:rPr>
      </w:pPr>
    </w:p>
    <w:p w14:paraId="3C71580E" w14:textId="77777777" w:rsidR="004205E3" w:rsidRPr="004205E3" w:rsidRDefault="004205E3" w:rsidP="004205E3">
      <w:pPr>
        <w:spacing w:before="0"/>
        <w:outlineLvl w:val="0"/>
        <w:rPr>
          <w:b/>
          <w:noProof/>
          <w:szCs w:val="24"/>
          <w:lang w:val="cs-CZ"/>
        </w:rPr>
      </w:pPr>
      <w:r>
        <w:rPr>
          <w:bCs/>
          <w:szCs w:val="24"/>
          <w:lang w:val="cs-CZ"/>
        </w:rPr>
        <w:br w:type="page"/>
      </w:r>
      <w:r w:rsidRPr="004205E3">
        <w:rPr>
          <w:b/>
          <w:noProof/>
          <w:szCs w:val="24"/>
          <w:lang w:val="cs-CZ"/>
        </w:rPr>
        <w:lastRenderedPageBreak/>
        <w:t>Příloha č. 3 – Ceník práce</w:t>
      </w:r>
    </w:p>
    <w:tbl>
      <w:tblPr>
        <w:tblW w:w="9556" w:type="dxa"/>
        <w:tblInd w:w="70" w:type="dxa"/>
        <w:tblCellMar>
          <w:left w:w="70" w:type="dxa"/>
          <w:right w:w="70" w:type="dxa"/>
        </w:tblCellMar>
        <w:tblLook w:val="04A0" w:firstRow="1" w:lastRow="0" w:firstColumn="1" w:lastColumn="0" w:noHBand="0" w:noVBand="1"/>
      </w:tblPr>
      <w:tblGrid>
        <w:gridCol w:w="5245"/>
        <w:gridCol w:w="1781"/>
        <w:gridCol w:w="1265"/>
        <w:gridCol w:w="1265"/>
      </w:tblGrid>
      <w:tr w:rsidR="004205E3" w:rsidRPr="004205E3" w14:paraId="6D27E35C" w14:textId="77777777" w:rsidTr="004205E3">
        <w:trPr>
          <w:trHeight w:val="300"/>
        </w:trPr>
        <w:tc>
          <w:tcPr>
            <w:tcW w:w="5245" w:type="dxa"/>
            <w:vMerge w:val="restart"/>
            <w:noWrap/>
            <w:vAlign w:val="bottom"/>
            <w:hideMark/>
          </w:tcPr>
          <w:p w14:paraId="634BD558" w14:textId="77777777" w:rsidR="004205E3" w:rsidRPr="004205E3" w:rsidRDefault="004205E3" w:rsidP="004205E3">
            <w:pPr>
              <w:overflowPunct/>
              <w:autoSpaceDE/>
              <w:adjustRightInd/>
              <w:spacing w:before="0"/>
              <w:textAlignment w:val="auto"/>
              <w:rPr>
                <w:rFonts w:ascii="Calibri" w:hAnsi="Calibri" w:cs="Calibri"/>
                <w:b/>
                <w:bCs/>
                <w:color w:val="2B3346"/>
                <w:sz w:val="44"/>
                <w:szCs w:val="44"/>
                <w:lang w:val="cs-CZ"/>
              </w:rPr>
            </w:pPr>
            <w:r w:rsidRPr="004205E3">
              <w:rPr>
                <w:rFonts w:ascii="Calibri" w:hAnsi="Calibri" w:cs="Calibri"/>
                <w:b/>
                <w:bCs/>
                <w:color w:val="2B3346"/>
                <w:sz w:val="44"/>
                <w:szCs w:val="44"/>
                <w:lang w:val="cs-CZ"/>
              </w:rPr>
              <w:t>Základní ceník</w:t>
            </w:r>
          </w:p>
        </w:tc>
        <w:tc>
          <w:tcPr>
            <w:tcW w:w="1781" w:type="dxa"/>
            <w:noWrap/>
            <w:vAlign w:val="bottom"/>
          </w:tcPr>
          <w:p w14:paraId="6F447D03" w14:textId="77777777" w:rsidR="004205E3" w:rsidRPr="004205E3" w:rsidRDefault="004205E3" w:rsidP="004205E3">
            <w:pPr>
              <w:overflowPunct/>
              <w:autoSpaceDE/>
              <w:adjustRightInd/>
              <w:spacing w:before="0"/>
              <w:textAlignment w:val="auto"/>
              <w:rPr>
                <w:rFonts w:ascii="Calibri" w:hAnsi="Calibri" w:cs="Calibri"/>
                <w:color w:val="000000"/>
                <w:sz w:val="22"/>
                <w:szCs w:val="22"/>
                <w:lang w:val="cs-CZ"/>
              </w:rPr>
            </w:pPr>
          </w:p>
          <w:tbl>
            <w:tblPr>
              <w:tblW w:w="0" w:type="auto"/>
              <w:tblCellSpacing w:w="0" w:type="dxa"/>
              <w:tblCellMar>
                <w:left w:w="0" w:type="dxa"/>
                <w:right w:w="0" w:type="dxa"/>
              </w:tblCellMar>
              <w:tblLook w:val="04A0" w:firstRow="1" w:lastRow="0" w:firstColumn="1" w:lastColumn="0" w:noHBand="0" w:noVBand="1"/>
            </w:tblPr>
            <w:tblGrid>
              <w:gridCol w:w="1640"/>
            </w:tblGrid>
            <w:tr w:rsidR="004205E3" w:rsidRPr="004205E3" w14:paraId="1DAEBFE9" w14:textId="77777777">
              <w:trPr>
                <w:trHeight w:val="300"/>
                <w:tblCellSpacing w:w="0" w:type="dxa"/>
              </w:trPr>
              <w:tc>
                <w:tcPr>
                  <w:tcW w:w="1640" w:type="dxa"/>
                  <w:noWrap/>
                  <w:vAlign w:val="bottom"/>
                  <w:hideMark/>
                </w:tcPr>
                <w:p w14:paraId="317CD972" w14:textId="77777777" w:rsidR="004205E3" w:rsidRPr="004205E3" w:rsidRDefault="004205E3" w:rsidP="004205E3">
                  <w:pPr>
                    <w:textAlignment w:val="auto"/>
                    <w:rPr>
                      <w:rFonts w:ascii="Calibri" w:hAnsi="Calibri" w:cs="Calibri"/>
                      <w:color w:val="000000"/>
                      <w:sz w:val="22"/>
                      <w:szCs w:val="22"/>
                      <w:lang w:val="cs-CZ"/>
                    </w:rPr>
                  </w:pPr>
                </w:p>
              </w:tc>
            </w:tr>
          </w:tbl>
          <w:p w14:paraId="54050AC9" w14:textId="77777777" w:rsidR="004205E3" w:rsidRPr="004205E3" w:rsidRDefault="004205E3" w:rsidP="004205E3">
            <w:pPr>
              <w:overflowPunct/>
              <w:autoSpaceDE/>
              <w:autoSpaceDN/>
              <w:adjustRightInd/>
              <w:spacing w:before="0"/>
              <w:textAlignment w:val="auto"/>
              <w:rPr>
                <w:sz w:val="20"/>
                <w:lang w:val="cs-CZ"/>
              </w:rPr>
            </w:pPr>
          </w:p>
        </w:tc>
        <w:tc>
          <w:tcPr>
            <w:tcW w:w="1265" w:type="dxa"/>
            <w:noWrap/>
            <w:vAlign w:val="bottom"/>
            <w:hideMark/>
          </w:tcPr>
          <w:p w14:paraId="607BA340" w14:textId="77777777" w:rsidR="004205E3" w:rsidRPr="004205E3" w:rsidRDefault="004205E3" w:rsidP="004205E3">
            <w:pPr>
              <w:overflowPunct/>
              <w:autoSpaceDE/>
              <w:autoSpaceDN/>
              <w:adjustRightInd/>
              <w:spacing w:before="0"/>
              <w:textAlignment w:val="auto"/>
              <w:rPr>
                <w:sz w:val="20"/>
                <w:lang w:val="cs-CZ"/>
              </w:rPr>
            </w:pPr>
          </w:p>
        </w:tc>
        <w:tc>
          <w:tcPr>
            <w:tcW w:w="1265" w:type="dxa"/>
            <w:noWrap/>
            <w:vAlign w:val="bottom"/>
            <w:hideMark/>
          </w:tcPr>
          <w:p w14:paraId="0232AD1D" w14:textId="77777777" w:rsidR="004205E3" w:rsidRPr="004205E3" w:rsidRDefault="004205E3" w:rsidP="004205E3">
            <w:pPr>
              <w:overflowPunct/>
              <w:autoSpaceDE/>
              <w:autoSpaceDN/>
              <w:adjustRightInd/>
              <w:spacing w:before="0"/>
              <w:textAlignment w:val="auto"/>
              <w:rPr>
                <w:sz w:val="20"/>
                <w:lang w:val="cs-CZ"/>
              </w:rPr>
            </w:pPr>
          </w:p>
        </w:tc>
      </w:tr>
      <w:tr w:rsidR="004205E3" w:rsidRPr="004205E3" w14:paraId="618FAB08" w14:textId="77777777" w:rsidTr="004205E3">
        <w:trPr>
          <w:trHeight w:val="300"/>
        </w:trPr>
        <w:tc>
          <w:tcPr>
            <w:tcW w:w="0" w:type="auto"/>
            <w:vMerge/>
            <w:vAlign w:val="center"/>
            <w:hideMark/>
          </w:tcPr>
          <w:p w14:paraId="2E4A389C" w14:textId="77777777" w:rsidR="004205E3" w:rsidRPr="004205E3" w:rsidRDefault="004205E3" w:rsidP="004205E3">
            <w:pPr>
              <w:overflowPunct/>
              <w:autoSpaceDE/>
              <w:autoSpaceDN/>
              <w:adjustRightInd/>
              <w:spacing w:before="0"/>
              <w:textAlignment w:val="auto"/>
              <w:rPr>
                <w:rFonts w:ascii="Calibri" w:hAnsi="Calibri" w:cs="Calibri"/>
                <w:b/>
                <w:bCs/>
                <w:color w:val="2B3346"/>
                <w:sz w:val="44"/>
                <w:szCs w:val="44"/>
                <w:lang w:val="cs-CZ"/>
              </w:rPr>
            </w:pPr>
          </w:p>
        </w:tc>
        <w:tc>
          <w:tcPr>
            <w:tcW w:w="1781" w:type="dxa"/>
            <w:noWrap/>
            <w:vAlign w:val="bottom"/>
            <w:hideMark/>
          </w:tcPr>
          <w:p w14:paraId="706A90B6" w14:textId="77777777" w:rsidR="004205E3" w:rsidRPr="004205E3" w:rsidRDefault="004205E3" w:rsidP="004205E3">
            <w:pPr>
              <w:overflowPunct/>
              <w:autoSpaceDE/>
              <w:autoSpaceDN/>
              <w:adjustRightInd/>
              <w:spacing w:before="0"/>
              <w:textAlignment w:val="auto"/>
              <w:rPr>
                <w:sz w:val="20"/>
                <w:lang w:val="cs-CZ"/>
              </w:rPr>
            </w:pPr>
          </w:p>
        </w:tc>
        <w:tc>
          <w:tcPr>
            <w:tcW w:w="1265" w:type="dxa"/>
            <w:noWrap/>
            <w:vAlign w:val="bottom"/>
            <w:hideMark/>
          </w:tcPr>
          <w:p w14:paraId="433E805E" w14:textId="77777777" w:rsidR="004205E3" w:rsidRPr="004205E3" w:rsidRDefault="004205E3" w:rsidP="004205E3">
            <w:pPr>
              <w:overflowPunct/>
              <w:autoSpaceDE/>
              <w:autoSpaceDN/>
              <w:adjustRightInd/>
              <w:spacing w:before="0"/>
              <w:textAlignment w:val="auto"/>
              <w:rPr>
                <w:sz w:val="20"/>
                <w:lang w:val="cs-CZ"/>
              </w:rPr>
            </w:pPr>
          </w:p>
        </w:tc>
        <w:tc>
          <w:tcPr>
            <w:tcW w:w="1265" w:type="dxa"/>
            <w:noWrap/>
            <w:vAlign w:val="bottom"/>
            <w:hideMark/>
          </w:tcPr>
          <w:p w14:paraId="4FCF5F81" w14:textId="77777777" w:rsidR="004205E3" w:rsidRPr="004205E3" w:rsidRDefault="004205E3" w:rsidP="004205E3">
            <w:pPr>
              <w:overflowPunct/>
              <w:autoSpaceDE/>
              <w:autoSpaceDN/>
              <w:adjustRightInd/>
              <w:spacing w:before="0"/>
              <w:textAlignment w:val="auto"/>
              <w:rPr>
                <w:sz w:val="20"/>
                <w:lang w:val="cs-CZ"/>
              </w:rPr>
            </w:pPr>
          </w:p>
        </w:tc>
      </w:tr>
      <w:tr w:rsidR="004205E3" w:rsidRPr="004205E3" w14:paraId="06AE65FA" w14:textId="77777777" w:rsidTr="004205E3">
        <w:trPr>
          <w:trHeight w:val="660"/>
        </w:trPr>
        <w:tc>
          <w:tcPr>
            <w:tcW w:w="5245" w:type="dxa"/>
            <w:tcBorders>
              <w:top w:val="single" w:sz="8" w:space="0" w:color="2C3447"/>
              <w:left w:val="nil"/>
              <w:bottom w:val="nil"/>
              <w:right w:val="nil"/>
            </w:tcBorders>
            <w:shd w:val="clear" w:color="auto" w:fill="DDEBF7"/>
            <w:vAlign w:val="center"/>
            <w:hideMark/>
          </w:tcPr>
          <w:p w14:paraId="5FA14392" w14:textId="77777777" w:rsidR="004205E3" w:rsidRPr="004205E3" w:rsidRDefault="004205E3" w:rsidP="004205E3">
            <w:pPr>
              <w:overflowPunct/>
              <w:autoSpaceDE/>
              <w:adjustRightInd/>
              <w:spacing w:before="0"/>
              <w:ind w:firstLineChars="100" w:firstLine="181"/>
              <w:textAlignment w:val="auto"/>
              <w:rPr>
                <w:rFonts w:ascii="Arial" w:hAnsi="Arial" w:cs="Arial"/>
                <w:b/>
                <w:bCs/>
                <w:color w:val="2C3447"/>
                <w:sz w:val="18"/>
                <w:szCs w:val="18"/>
                <w:lang w:val="cs-CZ"/>
              </w:rPr>
            </w:pPr>
            <w:r w:rsidRPr="004205E3">
              <w:rPr>
                <w:rFonts w:ascii="Arial" w:hAnsi="Arial" w:cs="Arial"/>
                <w:b/>
                <w:bCs/>
                <w:color w:val="2C3447"/>
                <w:sz w:val="18"/>
                <w:szCs w:val="18"/>
                <w:lang w:val="cs-CZ"/>
              </w:rPr>
              <w:t>Specializace</w:t>
            </w:r>
          </w:p>
        </w:tc>
        <w:tc>
          <w:tcPr>
            <w:tcW w:w="1781" w:type="dxa"/>
            <w:tcBorders>
              <w:top w:val="single" w:sz="8" w:space="0" w:color="2C3447"/>
              <w:left w:val="nil"/>
              <w:bottom w:val="nil"/>
              <w:right w:val="nil"/>
            </w:tcBorders>
            <w:shd w:val="clear" w:color="auto" w:fill="DDEBF7"/>
            <w:vAlign w:val="center"/>
            <w:hideMark/>
          </w:tcPr>
          <w:p w14:paraId="48AA26EF"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Hodinová sazba</w:t>
            </w:r>
          </w:p>
        </w:tc>
        <w:tc>
          <w:tcPr>
            <w:tcW w:w="1265" w:type="dxa"/>
            <w:tcBorders>
              <w:top w:val="single" w:sz="8" w:space="0" w:color="2C3447"/>
              <w:left w:val="nil"/>
              <w:bottom w:val="nil"/>
              <w:right w:val="nil"/>
            </w:tcBorders>
            <w:shd w:val="clear" w:color="auto" w:fill="DDEBF7"/>
            <w:vAlign w:val="center"/>
            <w:hideMark/>
          </w:tcPr>
          <w:p w14:paraId="42A47212"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Denní sazba</w:t>
            </w:r>
          </w:p>
        </w:tc>
        <w:tc>
          <w:tcPr>
            <w:tcW w:w="1265" w:type="dxa"/>
            <w:tcBorders>
              <w:top w:val="single" w:sz="8" w:space="0" w:color="2C3447"/>
              <w:left w:val="nil"/>
              <w:bottom w:val="nil"/>
              <w:right w:val="nil"/>
            </w:tcBorders>
            <w:shd w:val="clear" w:color="auto" w:fill="DDEBF7"/>
            <w:vAlign w:val="center"/>
            <w:hideMark/>
          </w:tcPr>
          <w:p w14:paraId="39B8EED0"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Měsíční sazba</w:t>
            </w:r>
          </w:p>
        </w:tc>
      </w:tr>
      <w:tr w:rsidR="004205E3" w:rsidRPr="004205E3" w14:paraId="428D8202" w14:textId="77777777" w:rsidTr="004205E3">
        <w:trPr>
          <w:trHeight w:val="679"/>
        </w:trPr>
        <w:tc>
          <w:tcPr>
            <w:tcW w:w="5245" w:type="dxa"/>
            <w:vAlign w:val="center"/>
            <w:hideMark/>
          </w:tcPr>
          <w:p w14:paraId="6B8AD513"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Technik HW</w:t>
            </w:r>
          </w:p>
        </w:tc>
        <w:tc>
          <w:tcPr>
            <w:tcW w:w="1781" w:type="dxa"/>
            <w:vAlign w:val="center"/>
            <w:hideMark/>
          </w:tcPr>
          <w:p w14:paraId="481D2F04"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1 100 Kč</w:t>
            </w:r>
          </w:p>
        </w:tc>
        <w:tc>
          <w:tcPr>
            <w:tcW w:w="1265" w:type="dxa"/>
            <w:vAlign w:val="center"/>
            <w:hideMark/>
          </w:tcPr>
          <w:p w14:paraId="22A182B3"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7 700 Kč</w:t>
            </w:r>
          </w:p>
        </w:tc>
        <w:tc>
          <w:tcPr>
            <w:tcW w:w="1265" w:type="dxa"/>
            <w:vAlign w:val="center"/>
            <w:hideMark/>
          </w:tcPr>
          <w:p w14:paraId="291FC321"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x</w:t>
            </w:r>
          </w:p>
        </w:tc>
      </w:tr>
      <w:tr w:rsidR="004205E3" w:rsidRPr="004205E3" w14:paraId="1F30EA40" w14:textId="77777777" w:rsidTr="004205E3">
        <w:trPr>
          <w:trHeight w:val="679"/>
        </w:trPr>
        <w:tc>
          <w:tcPr>
            <w:tcW w:w="5245" w:type="dxa"/>
            <w:vAlign w:val="center"/>
            <w:hideMark/>
          </w:tcPr>
          <w:p w14:paraId="49C16955"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Webdesigner</w:t>
            </w:r>
          </w:p>
        </w:tc>
        <w:tc>
          <w:tcPr>
            <w:tcW w:w="1781" w:type="dxa"/>
            <w:vAlign w:val="center"/>
            <w:hideMark/>
          </w:tcPr>
          <w:p w14:paraId="1BF2BD38"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1 100 Kč</w:t>
            </w:r>
          </w:p>
        </w:tc>
        <w:tc>
          <w:tcPr>
            <w:tcW w:w="1265" w:type="dxa"/>
            <w:vAlign w:val="center"/>
            <w:hideMark/>
          </w:tcPr>
          <w:p w14:paraId="4A51D0EE"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7 700 Kč</w:t>
            </w:r>
          </w:p>
        </w:tc>
        <w:tc>
          <w:tcPr>
            <w:tcW w:w="1265" w:type="dxa"/>
            <w:vAlign w:val="center"/>
            <w:hideMark/>
          </w:tcPr>
          <w:p w14:paraId="3FC90E28"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x</w:t>
            </w:r>
          </w:p>
        </w:tc>
      </w:tr>
      <w:tr w:rsidR="004205E3" w:rsidRPr="004205E3" w14:paraId="4252E6F8" w14:textId="77777777" w:rsidTr="004205E3">
        <w:trPr>
          <w:trHeight w:val="679"/>
        </w:trPr>
        <w:tc>
          <w:tcPr>
            <w:tcW w:w="5245" w:type="dxa"/>
            <w:vAlign w:val="center"/>
            <w:hideMark/>
          </w:tcPr>
          <w:p w14:paraId="32976B4C"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Analytik, programátor, IT specialista</w:t>
            </w:r>
          </w:p>
        </w:tc>
        <w:tc>
          <w:tcPr>
            <w:tcW w:w="1781" w:type="dxa"/>
            <w:vAlign w:val="center"/>
            <w:hideMark/>
          </w:tcPr>
          <w:p w14:paraId="75FC1879"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1 900 Kč</w:t>
            </w:r>
          </w:p>
        </w:tc>
        <w:tc>
          <w:tcPr>
            <w:tcW w:w="1265" w:type="dxa"/>
            <w:vAlign w:val="center"/>
            <w:hideMark/>
          </w:tcPr>
          <w:p w14:paraId="6343E04D"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13 300 Kč</w:t>
            </w:r>
          </w:p>
        </w:tc>
        <w:tc>
          <w:tcPr>
            <w:tcW w:w="1265" w:type="dxa"/>
            <w:vAlign w:val="center"/>
            <w:hideMark/>
          </w:tcPr>
          <w:p w14:paraId="3E00DE09"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221 000 Kč</w:t>
            </w:r>
          </w:p>
        </w:tc>
      </w:tr>
      <w:tr w:rsidR="004205E3" w:rsidRPr="004205E3" w14:paraId="1C25A9E9" w14:textId="77777777" w:rsidTr="004205E3">
        <w:trPr>
          <w:trHeight w:val="679"/>
        </w:trPr>
        <w:tc>
          <w:tcPr>
            <w:tcW w:w="5245" w:type="dxa"/>
            <w:vAlign w:val="center"/>
            <w:hideMark/>
          </w:tcPr>
          <w:p w14:paraId="0173A0EC"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Systémový inženýr</w:t>
            </w:r>
          </w:p>
        </w:tc>
        <w:tc>
          <w:tcPr>
            <w:tcW w:w="1781" w:type="dxa"/>
            <w:vAlign w:val="center"/>
            <w:hideMark/>
          </w:tcPr>
          <w:p w14:paraId="4BF135A1"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2 000 Kč</w:t>
            </w:r>
          </w:p>
        </w:tc>
        <w:tc>
          <w:tcPr>
            <w:tcW w:w="1265" w:type="dxa"/>
            <w:vAlign w:val="center"/>
            <w:hideMark/>
          </w:tcPr>
          <w:p w14:paraId="7FA34EA8"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14 100 Kč</w:t>
            </w:r>
          </w:p>
        </w:tc>
        <w:tc>
          <w:tcPr>
            <w:tcW w:w="1265" w:type="dxa"/>
            <w:vAlign w:val="center"/>
            <w:hideMark/>
          </w:tcPr>
          <w:p w14:paraId="370D8149"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235 000 Kč</w:t>
            </w:r>
          </w:p>
        </w:tc>
      </w:tr>
      <w:tr w:rsidR="004205E3" w:rsidRPr="004205E3" w14:paraId="3B82C209" w14:textId="77777777" w:rsidTr="004205E3">
        <w:trPr>
          <w:trHeight w:val="300"/>
        </w:trPr>
        <w:tc>
          <w:tcPr>
            <w:tcW w:w="5245" w:type="dxa"/>
            <w:tcBorders>
              <w:top w:val="single" w:sz="8" w:space="0" w:color="2B3346"/>
              <w:left w:val="nil"/>
              <w:bottom w:val="nil"/>
              <w:right w:val="nil"/>
            </w:tcBorders>
            <w:vAlign w:val="center"/>
            <w:hideMark/>
          </w:tcPr>
          <w:p w14:paraId="6BF401B2" w14:textId="77777777" w:rsidR="004205E3" w:rsidRPr="004205E3" w:rsidRDefault="004205E3" w:rsidP="004205E3">
            <w:pPr>
              <w:overflowPunct/>
              <w:autoSpaceDE/>
              <w:adjustRightInd/>
              <w:spacing w:before="0"/>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 </w:t>
            </w:r>
          </w:p>
        </w:tc>
        <w:tc>
          <w:tcPr>
            <w:tcW w:w="1781" w:type="dxa"/>
            <w:tcBorders>
              <w:top w:val="single" w:sz="8" w:space="0" w:color="2B3346"/>
              <w:left w:val="nil"/>
              <w:bottom w:val="nil"/>
              <w:right w:val="nil"/>
            </w:tcBorders>
            <w:vAlign w:val="center"/>
            <w:hideMark/>
          </w:tcPr>
          <w:p w14:paraId="0AF1F065" w14:textId="77777777" w:rsidR="004205E3" w:rsidRPr="004205E3" w:rsidRDefault="004205E3" w:rsidP="004205E3">
            <w:pPr>
              <w:overflowPunct/>
              <w:autoSpaceDE/>
              <w:adjustRightInd/>
              <w:spacing w:before="0"/>
              <w:ind w:firstLineChars="200" w:firstLine="30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c>
          <w:tcPr>
            <w:tcW w:w="1265" w:type="dxa"/>
            <w:tcBorders>
              <w:top w:val="single" w:sz="8" w:space="0" w:color="2B3346"/>
              <w:left w:val="nil"/>
              <w:bottom w:val="nil"/>
              <w:right w:val="nil"/>
            </w:tcBorders>
            <w:vAlign w:val="center"/>
            <w:hideMark/>
          </w:tcPr>
          <w:p w14:paraId="7EA0075D" w14:textId="77777777" w:rsidR="004205E3" w:rsidRPr="004205E3" w:rsidRDefault="004205E3" w:rsidP="004205E3">
            <w:pPr>
              <w:overflowPunct/>
              <w:autoSpaceDE/>
              <w:adjustRightInd/>
              <w:spacing w:before="0"/>
              <w:ind w:firstLineChars="200" w:firstLine="30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c>
          <w:tcPr>
            <w:tcW w:w="1265" w:type="dxa"/>
            <w:tcBorders>
              <w:top w:val="single" w:sz="8" w:space="0" w:color="2B3346"/>
              <w:left w:val="nil"/>
              <w:bottom w:val="nil"/>
              <w:right w:val="nil"/>
            </w:tcBorders>
            <w:vAlign w:val="center"/>
            <w:hideMark/>
          </w:tcPr>
          <w:p w14:paraId="5C476F39" w14:textId="77777777" w:rsidR="004205E3" w:rsidRPr="004205E3" w:rsidRDefault="004205E3" w:rsidP="004205E3">
            <w:pPr>
              <w:overflowPunct/>
              <w:autoSpaceDE/>
              <w:adjustRightInd/>
              <w:spacing w:before="0"/>
              <w:ind w:firstLineChars="200" w:firstLine="30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r>
      <w:tr w:rsidR="004205E3" w:rsidRPr="00B95A61" w14:paraId="593F4884" w14:textId="77777777" w:rsidTr="004205E3">
        <w:trPr>
          <w:trHeight w:val="199"/>
        </w:trPr>
        <w:tc>
          <w:tcPr>
            <w:tcW w:w="5245" w:type="dxa"/>
            <w:noWrap/>
            <w:vAlign w:val="center"/>
            <w:hideMark/>
          </w:tcPr>
          <w:p w14:paraId="225AB56D" w14:textId="77777777" w:rsidR="004205E3" w:rsidRPr="004205E3" w:rsidRDefault="004205E3" w:rsidP="004205E3">
            <w:pPr>
              <w:overflowPunct/>
              <w:autoSpaceDE/>
              <w:adjustRightInd/>
              <w:spacing w:before="0"/>
              <w:ind w:firstLineChars="100" w:firstLine="120"/>
              <w:textAlignment w:val="auto"/>
              <w:rPr>
                <w:rFonts w:ascii="Arial" w:hAnsi="Arial" w:cs="Arial"/>
                <w:color w:val="000000"/>
                <w:sz w:val="12"/>
                <w:szCs w:val="12"/>
                <w:lang w:val="cs-CZ"/>
              </w:rPr>
            </w:pPr>
            <w:r w:rsidRPr="004205E3">
              <w:rPr>
                <w:rFonts w:ascii="Arial" w:hAnsi="Arial" w:cs="Arial"/>
                <w:color w:val="000000"/>
                <w:sz w:val="12"/>
                <w:szCs w:val="12"/>
                <w:lang w:val="cs-CZ"/>
              </w:rPr>
              <w:t>Ceny jsou uvedeny bez DPH.</w:t>
            </w:r>
          </w:p>
        </w:tc>
        <w:tc>
          <w:tcPr>
            <w:tcW w:w="1781" w:type="dxa"/>
            <w:shd w:val="clear" w:color="auto" w:fill="FFFFFF"/>
            <w:vAlign w:val="center"/>
            <w:hideMark/>
          </w:tcPr>
          <w:p w14:paraId="0CEEEE7E"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b/>
                <w:bCs/>
                <w:color w:val="2C3447"/>
                <w:sz w:val="12"/>
                <w:szCs w:val="12"/>
                <w:lang w:val="cs-CZ"/>
              </w:rPr>
              <w:t> </w:t>
            </w:r>
          </w:p>
        </w:tc>
        <w:tc>
          <w:tcPr>
            <w:tcW w:w="1265" w:type="dxa"/>
            <w:shd w:val="clear" w:color="auto" w:fill="FFFFFF"/>
            <w:vAlign w:val="center"/>
            <w:hideMark/>
          </w:tcPr>
          <w:p w14:paraId="45400DB9"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b/>
                <w:bCs/>
                <w:color w:val="2C3447"/>
                <w:sz w:val="12"/>
                <w:szCs w:val="12"/>
                <w:lang w:val="cs-CZ"/>
              </w:rPr>
              <w:t> </w:t>
            </w:r>
          </w:p>
        </w:tc>
        <w:tc>
          <w:tcPr>
            <w:tcW w:w="1265" w:type="dxa"/>
            <w:shd w:val="clear" w:color="auto" w:fill="FFFFFF"/>
            <w:vAlign w:val="center"/>
            <w:hideMark/>
          </w:tcPr>
          <w:p w14:paraId="455B43A7"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b/>
                <w:bCs/>
                <w:color w:val="2C3447"/>
                <w:sz w:val="12"/>
                <w:szCs w:val="12"/>
                <w:lang w:val="cs-CZ"/>
              </w:rPr>
              <w:t> </w:t>
            </w:r>
          </w:p>
        </w:tc>
      </w:tr>
      <w:tr w:rsidR="004205E3" w:rsidRPr="00B95A61" w14:paraId="52097700" w14:textId="77777777" w:rsidTr="004205E3">
        <w:trPr>
          <w:trHeight w:val="199"/>
        </w:trPr>
        <w:tc>
          <w:tcPr>
            <w:tcW w:w="5245" w:type="dxa"/>
            <w:noWrap/>
            <w:vAlign w:val="center"/>
            <w:hideMark/>
          </w:tcPr>
          <w:p w14:paraId="6BCDCA8A" w14:textId="77777777" w:rsidR="004205E3" w:rsidRDefault="004205E3" w:rsidP="004205E3">
            <w:pPr>
              <w:overflowPunct/>
              <w:autoSpaceDE/>
              <w:adjustRightInd/>
              <w:spacing w:before="0"/>
              <w:ind w:firstLineChars="100" w:firstLine="120"/>
              <w:textAlignment w:val="auto"/>
              <w:rPr>
                <w:rFonts w:ascii="Arial" w:hAnsi="Arial" w:cs="Arial"/>
                <w:color w:val="000000"/>
                <w:sz w:val="12"/>
                <w:szCs w:val="12"/>
                <w:lang w:val="cs-CZ"/>
              </w:rPr>
            </w:pPr>
            <w:r w:rsidRPr="004205E3">
              <w:rPr>
                <w:rFonts w:ascii="Arial" w:hAnsi="Arial" w:cs="Arial"/>
                <w:color w:val="000000"/>
                <w:sz w:val="12"/>
                <w:szCs w:val="12"/>
                <w:lang w:val="cs-CZ"/>
              </w:rPr>
              <w:t>Nejkratší časové období fakturované za práci u zákazníka činí 4 hodiny.</w:t>
            </w:r>
          </w:p>
          <w:p w14:paraId="50E00120" w14:textId="77777777" w:rsidR="004205E3" w:rsidRPr="004205E3" w:rsidRDefault="004205E3" w:rsidP="004205E3">
            <w:pPr>
              <w:overflowPunct/>
              <w:autoSpaceDE/>
              <w:adjustRightInd/>
              <w:spacing w:before="0"/>
              <w:ind w:firstLineChars="100" w:firstLine="120"/>
              <w:textAlignment w:val="auto"/>
              <w:rPr>
                <w:rFonts w:ascii="Arial" w:hAnsi="Arial" w:cs="Arial"/>
                <w:color w:val="000000"/>
                <w:sz w:val="12"/>
                <w:szCs w:val="12"/>
                <w:lang w:val="cs-CZ"/>
              </w:rPr>
            </w:pPr>
            <w:r w:rsidRPr="004205E3">
              <w:rPr>
                <w:rFonts w:ascii="Arial" w:hAnsi="Arial" w:cs="Arial"/>
                <w:color w:val="000000"/>
                <w:sz w:val="12"/>
                <w:szCs w:val="12"/>
                <w:lang w:val="cs-CZ"/>
              </w:rPr>
              <w:t>Počítá se každá započatá hodina, započatý den.</w:t>
            </w:r>
          </w:p>
        </w:tc>
        <w:tc>
          <w:tcPr>
            <w:tcW w:w="1781" w:type="dxa"/>
            <w:shd w:val="clear" w:color="auto" w:fill="FFFFFF"/>
            <w:vAlign w:val="center"/>
            <w:hideMark/>
          </w:tcPr>
          <w:p w14:paraId="3C97FF2B"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b/>
                <w:bCs/>
                <w:color w:val="2C3447"/>
                <w:sz w:val="12"/>
                <w:szCs w:val="12"/>
                <w:lang w:val="cs-CZ"/>
              </w:rPr>
              <w:t> </w:t>
            </w:r>
          </w:p>
        </w:tc>
        <w:tc>
          <w:tcPr>
            <w:tcW w:w="1265" w:type="dxa"/>
            <w:shd w:val="clear" w:color="auto" w:fill="FFFFFF"/>
            <w:vAlign w:val="center"/>
            <w:hideMark/>
          </w:tcPr>
          <w:p w14:paraId="2E24E698"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b/>
                <w:bCs/>
                <w:color w:val="2C3447"/>
                <w:sz w:val="12"/>
                <w:szCs w:val="12"/>
                <w:lang w:val="cs-CZ"/>
              </w:rPr>
              <w:t> </w:t>
            </w:r>
          </w:p>
        </w:tc>
        <w:tc>
          <w:tcPr>
            <w:tcW w:w="1265" w:type="dxa"/>
            <w:shd w:val="clear" w:color="auto" w:fill="FFFFFF"/>
            <w:vAlign w:val="center"/>
            <w:hideMark/>
          </w:tcPr>
          <w:p w14:paraId="58AF241E"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b/>
                <w:bCs/>
                <w:color w:val="2C3447"/>
                <w:sz w:val="12"/>
                <w:szCs w:val="12"/>
                <w:lang w:val="cs-CZ"/>
              </w:rPr>
              <w:t> </w:t>
            </w:r>
          </w:p>
        </w:tc>
      </w:tr>
      <w:tr w:rsidR="004205E3" w:rsidRPr="00B95A61" w14:paraId="60203A28" w14:textId="77777777" w:rsidTr="004205E3">
        <w:trPr>
          <w:trHeight w:val="199"/>
        </w:trPr>
        <w:tc>
          <w:tcPr>
            <w:tcW w:w="5245" w:type="dxa"/>
            <w:noWrap/>
            <w:vAlign w:val="center"/>
            <w:hideMark/>
          </w:tcPr>
          <w:p w14:paraId="50272E9D" w14:textId="77777777" w:rsidR="004205E3" w:rsidRPr="004205E3" w:rsidRDefault="004205E3" w:rsidP="004205E3">
            <w:pPr>
              <w:overflowPunct/>
              <w:autoSpaceDE/>
              <w:adjustRightInd/>
              <w:spacing w:before="0"/>
              <w:ind w:firstLineChars="100" w:firstLine="120"/>
              <w:textAlignment w:val="auto"/>
              <w:rPr>
                <w:rFonts w:ascii="Arial" w:hAnsi="Arial" w:cs="Arial"/>
                <w:color w:val="000000"/>
                <w:sz w:val="12"/>
                <w:szCs w:val="12"/>
                <w:lang w:val="cs-CZ"/>
              </w:rPr>
            </w:pPr>
            <w:r w:rsidRPr="004205E3">
              <w:rPr>
                <w:rFonts w:ascii="Arial" w:hAnsi="Arial" w:cs="Arial"/>
                <w:color w:val="000000"/>
                <w:sz w:val="12"/>
                <w:szCs w:val="12"/>
                <w:lang w:val="cs-CZ"/>
              </w:rPr>
              <w:t>Pracovní doba je 8:00 – 16:30 hod. v pracovní dny. 1 den = 8 hod.</w:t>
            </w:r>
          </w:p>
        </w:tc>
        <w:tc>
          <w:tcPr>
            <w:tcW w:w="1781" w:type="dxa"/>
            <w:shd w:val="clear" w:color="auto" w:fill="FFFFFF"/>
            <w:vAlign w:val="center"/>
            <w:hideMark/>
          </w:tcPr>
          <w:p w14:paraId="0A34214B"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b/>
                <w:bCs/>
                <w:color w:val="2C3447"/>
                <w:sz w:val="12"/>
                <w:szCs w:val="12"/>
                <w:lang w:val="cs-CZ"/>
              </w:rPr>
              <w:t> </w:t>
            </w:r>
          </w:p>
        </w:tc>
        <w:tc>
          <w:tcPr>
            <w:tcW w:w="1265" w:type="dxa"/>
            <w:shd w:val="clear" w:color="auto" w:fill="FFFFFF"/>
            <w:vAlign w:val="center"/>
            <w:hideMark/>
          </w:tcPr>
          <w:p w14:paraId="0CEDEF13"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b/>
                <w:bCs/>
                <w:color w:val="2C3447"/>
                <w:sz w:val="12"/>
                <w:szCs w:val="12"/>
                <w:lang w:val="cs-CZ"/>
              </w:rPr>
              <w:t> </w:t>
            </w:r>
          </w:p>
        </w:tc>
        <w:tc>
          <w:tcPr>
            <w:tcW w:w="1265" w:type="dxa"/>
            <w:shd w:val="clear" w:color="auto" w:fill="FFFFFF"/>
            <w:vAlign w:val="center"/>
            <w:hideMark/>
          </w:tcPr>
          <w:p w14:paraId="1EF9618E"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b/>
                <w:bCs/>
                <w:color w:val="2C3447"/>
                <w:sz w:val="12"/>
                <w:szCs w:val="12"/>
                <w:lang w:val="cs-CZ"/>
              </w:rPr>
              <w:t> </w:t>
            </w:r>
          </w:p>
        </w:tc>
      </w:tr>
      <w:tr w:rsidR="004205E3" w:rsidRPr="004205E3" w14:paraId="1A6AED33" w14:textId="77777777" w:rsidTr="004205E3">
        <w:trPr>
          <w:trHeight w:val="199"/>
        </w:trPr>
        <w:tc>
          <w:tcPr>
            <w:tcW w:w="5245" w:type="dxa"/>
            <w:noWrap/>
            <w:vAlign w:val="center"/>
            <w:hideMark/>
          </w:tcPr>
          <w:p w14:paraId="4F640BDD" w14:textId="77777777" w:rsidR="004205E3" w:rsidRPr="004205E3" w:rsidRDefault="004205E3" w:rsidP="004205E3">
            <w:pPr>
              <w:overflowPunct/>
              <w:autoSpaceDE/>
              <w:adjustRightInd/>
              <w:spacing w:before="0"/>
              <w:ind w:firstLineChars="100" w:firstLine="120"/>
              <w:textAlignment w:val="auto"/>
              <w:rPr>
                <w:rFonts w:ascii="Arial" w:hAnsi="Arial" w:cs="Arial"/>
                <w:color w:val="000000"/>
                <w:sz w:val="12"/>
                <w:szCs w:val="12"/>
                <w:lang w:val="cs-CZ"/>
              </w:rPr>
            </w:pPr>
            <w:r w:rsidRPr="004205E3">
              <w:rPr>
                <w:rFonts w:ascii="Arial" w:hAnsi="Arial" w:cs="Arial"/>
                <w:color w:val="000000"/>
                <w:sz w:val="12"/>
                <w:szCs w:val="12"/>
                <w:lang w:val="cs-CZ"/>
              </w:rPr>
              <w:t>.</w:t>
            </w:r>
          </w:p>
        </w:tc>
        <w:tc>
          <w:tcPr>
            <w:tcW w:w="1781" w:type="dxa"/>
            <w:shd w:val="clear" w:color="auto" w:fill="FFFFFF"/>
            <w:vAlign w:val="center"/>
            <w:hideMark/>
          </w:tcPr>
          <w:p w14:paraId="4C27F660"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b/>
                <w:bCs/>
                <w:color w:val="2C3447"/>
                <w:sz w:val="12"/>
                <w:szCs w:val="12"/>
                <w:lang w:val="cs-CZ"/>
              </w:rPr>
              <w:t> </w:t>
            </w:r>
          </w:p>
        </w:tc>
        <w:tc>
          <w:tcPr>
            <w:tcW w:w="1265" w:type="dxa"/>
            <w:shd w:val="clear" w:color="auto" w:fill="FFFFFF"/>
            <w:vAlign w:val="center"/>
            <w:hideMark/>
          </w:tcPr>
          <w:p w14:paraId="34239997"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b/>
                <w:bCs/>
                <w:color w:val="2C3447"/>
                <w:sz w:val="12"/>
                <w:szCs w:val="12"/>
                <w:lang w:val="cs-CZ"/>
              </w:rPr>
              <w:t> </w:t>
            </w:r>
          </w:p>
        </w:tc>
        <w:tc>
          <w:tcPr>
            <w:tcW w:w="1265" w:type="dxa"/>
            <w:shd w:val="clear" w:color="auto" w:fill="FFFFFF"/>
            <w:vAlign w:val="center"/>
            <w:hideMark/>
          </w:tcPr>
          <w:p w14:paraId="54C81217"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b/>
                <w:bCs/>
                <w:color w:val="2C3447"/>
                <w:sz w:val="12"/>
                <w:szCs w:val="12"/>
                <w:lang w:val="cs-CZ"/>
              </w:rPr>
              <w:t> </w:t>
            </w:r>
          </w:p>
        </w:tc>
      </w:tr>
      <w:tr w:rsidR="004205E3" w:rsidRPr="004205E3" w14:paraId="62321571" w14:textId="77777777" w:rsidTr="004205E3">
        <w:trPr>
          <w:trHeight w:val="199"/>
        </w:trPr>
        <w:tc>
          <w:tcPr>
            <w:tcW w:w="5245" w:type="dxa"/>
            <w:shd w:val="clear" w:color="auto" w:fill="DEEAF5"/>
            <w:noWrap/>
            <w:vAlign w:val="center"/>
            <w:hideMark/>
          </w:tcPr>
          <w:p w14:paraId="131A8623" w14:textId="77777777" w:rsidR="004205E3" w:rsidRPr="004205E3" w:rsidRDefault="004205E3" w:rsidP="004205E3">
            <w:pPr>
              <w:overflowPunct/>
              <w:autoSpaceDE/>
              <w:adjustRightInd/>
              <w:spacing w:before="0"/>
              <w:ind w:firstLineChars="100" w:firstLine="181"/>
              <w:textAlignment w:val="auto"/>
              <w:rPr>
                <w:rFonts w:ascii="Arial" w:hAnsi="Arial" w:cs="Arial"/>
                <w:color w:val="000000"/>
                <w:sz w:val="12"/>
                <w:szCs w:val="12"/>
                <w:lang w:val="cs-CZ"/>
              </w:rPr>
            </w:pPr>
            <w:r w:rsidRPr="004205E3">
              <w:rPr>
                <w:rFonts w:ascii="Arial" w:hAnsi="Arial" w:cs="Arial"/>
                <w:b/>
                <w:bCs/>
                <w:color w:val="2C3447"/>
                <w:sz w:val="18"/>
                <w:szCs w:val="18"/>
                <w:lang w:val="cs-CZ"/>
              </w:rPr>
              <w:t>Cena za dopravu</w:t>
            </w:r>
          </w:p>
        </w:tc>
        <w:tc>
          <w:tcPr>
            <w:tcW w:w="1781" w:type="dxa"/>
            <w:shd w:val="clear" w:color="auto" w:fill="DEEAF5"/>
            <w:vAlign w:val="center"/>
            <w:hideMark/>
          </w:tcPr>
          <w:p w14:paraId="7B98A090"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color w:val="2C3447"/>
                <w:sz w:val="15"/>
                <w:szCs w:val="15"/>
                <w:lang w:val="cs-CZ"/>
              </w:rPr>
              <w:t> </w:t>
            </w:r>
          </w:p>
        </w:tc>
        <w:tc>
          <w:tcPr>
            <w:tcW w:w="1265" w:type="dxa"/>
            <w:shd w:val="clear" w:color="auto" w:fill="DEEAF5"/>
            <w:vAlign w:val="center"/>
            <w:hideMark/>
          </w:tcPr>
          <w:p w14:paraId="2954A8D4"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color w:val="2C3447"/>
                <w:sz w:val="15"/>
                <w:szCs w:val="15"/>
                <w:lang w:val="cs-CZ"/>
              </w:rPr>
              <w:t> </w:t>
            </w:r>
          </w:p>
        </w:tc>
        <w:tc>
          <w:tcPr>
            <w:tcW w:w="1265" w:type="dxa"/>
            <w:shd w:val="clear" w:color="auto" w:fill="DEEAF5"/>
            <w:vAlign w:val="center"/>
            <w:hideMark/>
          </w:tcPr>
          <w:p w14:paraId="2FDD91E0" w14:textId="77777777" w:rsidR="004205E3" w:rsidRPr="004205E3" w:rsidRDefault="004205E3" w:rsidP="004205E3">
            <w:pPr>
              <w:overflowPunct/>
              <w:autoSpaceDE/>
              <w:adjustRightInd/>
              <w:spacing w:before="0"/>
              <w:jc w:val="right"/>
              <w:textAlignment w:val="auto"/>
              <w:rPr>
                <w:rFonts w:ascii="Arial" w:hAnsi="Arial" w:cs="Arial"/>
                <w:b/>
                <w:bCs/>
                <w:color w:val="2C3447"/>
                <w:sz w:val="12"/>
                <w:szCs w:val="12"/>
                <w:lang w:val="cs-CZ"/>
              </w:rPr>
            </w:pPr>
            <w:r w:rsidRPr="004205E3">
              <w:rPr>
                <w:rFonts w:ascii="Arial" w:hAnsi="Arial" w:cs="Arial"/>
                <w:color w:val="2C3447"/>
                <w:sz w:val="15"/>
                <w:szCs w:val="15"/>
                <w:lang w:val="cs-CZ"/>
              </w:rPr>
              <w:t>Cena</w:t>
            </w:r>
          </w:p>
        </w:tc>
      </w:tr>
      <w:tr w:rsidR="004205E3" w:rsidRPr="004205E3" w14:paraId="051F188A" w14:textId="77777777" w:rsidTr="004205E3">
        <w:trPr>
          <w:trHeight w:val="679"/>
        </w:trPr>
        <w:tc>
          <w:tcPr>
            <w:tcW w:w="5245" w:type="dxa"/>
            <w:shd w:val="clear" w:color="auto" w:fill="FFFFFF"/>
            <w:vAlign w:val="center"/>
            <w:hideMark/>
          </w:tcPr>
          <w:p w14:paraId="366D6C70"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8"/>
                <w:szCs w:val="18"/>
                <w:lang w:val="cs-CZ"/>
              </w:rPr>
            </w:pPr>
            <w:r w:rsidRPr="004205E3">
              <w:rPr>
                <w:rFonts w:ascii="Arial" w:hAnsi="Arial" w:cs="Arial"/>
                <w:b/>
                <w:bCs/>
                <w:color w:val="2C3447"/>
                <w:sz w:val="15"/>
                <w:szCs w:val="15"/>
                <w:lang w:val="cs-CZ"/>
              </w:rPr>
              <w:t>Doprava po Praze (jednorázová paušální platba)</w:t>
            </w:r>
          </w:p>
        </w:tc>
        <w:tc>
          <w:tcPr>
            <w:tcW w:w="1781" w:type="dxa"/>
            <w:vAlign w:val="center"/>
            <w:hideMark/>
          </w:tcPr>
          <w:p w14:paraId="1EE5DD1B" w14:textId="77777777" w:rsidR="004205E3" w:rsidRPr="004205E3" w:rsidRDefault="004205E3" w:rsidP="004205E3">
            <w:pPr>
              <w:overflowPunct/>
              <w:autoSpaceDE/>
              <w:adjustRightInd/>
              <w:spacing w:before="0"/>
              <w:textAlignment w:val="auto"/>
              <w:rPr>
                <w:rFonts w:ascii="Arial" w:hAnsi="Arial" w:cs="Arial"/>
                <w:color w:val="2C3447"/>
                <w:sz w:val="15"/>
                <w:szCs w:val="15"/>
                <w:lang w:val="cs-CZ"/>
              </w:rPr>
            </w:pPr>
          </w:p>
        </w:tc>
        <w:tc>
          <w:tcPr>
            <w:tcW w:w="1265" w:type="dxa"/>
            <w:hideMark/>
          </w:tcPr>
          <w:p w14:paraId="7360152B" w14:textId="77777777" w:rsidR="004205E3" w:rsidRPr="004205E3" w:rsidRDefault="004205E3" w:rsidP="004205E3">
            <w:pPr>
              <w:overflowPunct/>
              <w:autoSpaceDE/>
              <w:adjustRightInd/>
              <w:spacing w:before="0"/>
              <w:textAlignment w:val="auto"/>
              <w:rPr>
                <w:rFonts w:ascii="Arial" w:hAnsi="Arial" w:cs="Arial"/>
                <w:color w:val="2C3447"/>
                <w:sz w:val="15"/>
                <w:szCs w:val="15"/>
                <w:lang w:val="cs-CZ"/>
              </w:rPr>
            </w:pPr>
          </w:p>
        </w:tc>
        <w:tc>
          <w:tcPr>
            <w:tcW w:w="1265" w:type="dxa"/>
            <w:shd w:val="clear" w:color="auto" w:fill="FFFFFF"/>
            <w:vAlign w:val="center"/>
            <w:hideMark/>
          </w:tcPr>
          <w:p w14:paraId="481913F2"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850 Kč</w:t>
            </w:r>
          </w:p>
        </w:tc>
      </w:tr>
      <w:tr w:rsidR="004205E3" w:rsidRPr="004205E3" w14:paraId="0944D0E7" w14:textId="77777777" w:rsidTr="004205E3">
        <w:trPr>
          <w:trHeight w:val="679"/>
        </w:trPr>
        <w:tc>
          <w:tcPr>
            <w:tcW w:w="8291" w:type="dxa"/>
            <w:gridSpan w:val="3"/>
            <w:tcBorders>
              <w:top w:val="nil"/>
              <w:left w:val="nil"/>
              <w:bottom w:val="single" w:sz="8" w:space="0" w:color="auto"/>
              <w:right w:val="nil"/>
            </w:tcBorders>
            <w:shd w:val="clear" w:color="auto" w:fill="FFFFFF"/>
            <w:vAlign w:val="center"/>
            <w:hideMark/>
          </w:tcPr>
          <w:p w14:paraId="14FD0FA5"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Doprava mimo Prahu osobním automobilem (Kč/km)</w:t>
            </w:r>
          </w:p>
        </w:tc>
        <w:tc>
          <w:tcPr>
            <w:tcW w:w="1265" w:type="dxa"/>
            <w:tcBorders>
              <w:top w:val="nil"/>
              <w:left w:val="nil"/>
              <w:bottom w:val="single" w:sz="8" w:space="0" w:color="auto"/>
              <w:right w:val="nil"/>
            </w:tcBorders>
            <w:vAlign w:val="center"/>
            <w:hideMark/>
          </w:tcPr>
          <w:p w14:paraId="4B4DF88B"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17 Kč</w:t>
            </w:r>
          </w:p>
        </w:tc>
      </w:tr>
      <w:tr w:rsidR="004205E3" w:rsidRPr="004205E3" w14:paraId="4D0CEC62" w14:textId="77777777" w:rsidTr="004205E3">
        <w:trPr>
          <w:trHeight w:val="289"/>
        </w:trPr>
        <w:tc>
          <w:tcPr>
            <w:tcW w:w="7026" w:type="dxa"/>
            <w:gridSpan w:val="2"/>
            <w:vMerge w:val="restart"/>
            <w:noWrap/>
            <w:vAlign w:val="bottom"/>
          </w:tcPr>
          <w:p w14:paraId="300EF0AE" w14:textId="77777777" w:rsidR="004205E3" w:rsidRPr="004205E3" w:rsidRDefault="004205E3" w:rsidP="004205E3">
            <w:pPr>
              <w:overflowPunct/>
              <w:autoSpaceDE/>
              <w:adjustRightInd/>
              <w:spacing w:before="0"/>
              <w:textAlignment w:val="auto"/>
              <w:rPr>
                <w:rFonts w:ascii="Calibri" w:hAnsi="Calibri" w:cs="Calibri"/>
                <w:color w:val="000000"/>
                <w:sz w:val="22"/>
                <w:szCs w:val="22"/>
                <w:lang w:val="cs-CZ"/>
              </w:rPr>
            </w:pPr>
          </w:p>
          <w:tbl>
            <w:tblPr>
              <w:tblW w:w="0" w:type="auto"/>
              <w:tblCellSpacing w:w="0" w:type="dxa"/>
              <w:tblCellMar>
                <w:left w:w="0" w:type="dxa"/>
                <w:right w:w="0" w:type="dxa"/>
              </w:tblCellMar>
              <w:tblLook w:val="04A0" w:firstRow="1" w:lastRow="0" w:firstColumn="1" w:lastColumn="0" w:noHBand="0" w:noVBand="1"/>
            </w:tblPr>
            <w:tblGrid>
              <w:gridCol w:w="5040"/>
              <w:gridCol w:w="6"/>
            </w:tblGrid>
            <w:tr w:rsidR="004205E3" w:rsidRPr="004205E3" w14:paraId="116277E0" w14:textId="77777777">
              <w:trPr>
                <w:gridAfter w:val="1"/>
                <w:trHeight w:val="276"/>
                <w:tblCellSpacing w:w="0" w:type="dxa"/>
              </w:trPr>
              <w:tc>
                <w:tcPr>
                  <w:tcW w:w="5040" w:type="dxa"/>
                  <w:vMerge w:val="restart"/>
                  <w:noWrap/>
                  <w:vAlign w:val="bottom"/>
                  <w:hideMark/>
                </w:tcPr>
                <w:p w14:paraId="483416FB" w14:textId="77777777" w:rsidR="004205E3" w:rsidRPr="004205E3" w:rsidRDefault="004205E3" w:rsidP="004205E3">
                  <w:pPr>
                    <w:overflowPunct/>
                    <w:autoSpaceDE/>
                    <w:adjustRightInd/>
                    <w:spacing w:before="0"/>
                    <w:textAlignment w:val="auto"/>
                    <w:rPr>
                      <w:rFonts w:ascii="Calibri" w:hAnsi="Calibri" w:cs="Calibri"/>
                      <w:b/>
                      <w:bCs/>
                      <w:color w:val="2B3346"/>
                      <w:sz w:val="44"/>
                      <w:szCs w:val="44"/>
                      <w:lang w:val="cs-CZ"/>
                    </w:rPr>
                  </w:pPr>
                  <w:r w:rsidRPr="004205E3">
                    <w:rPr>
                      <w:rFonts w:ascii="Calibri" w:hAnsi="Calibri" w:cs="Calibri"/>
                      <w:b/>
                      <w:bCs/>
                      <w:color w:val="2B3346"/>
                      <w:sz w:val="44"/>
                      <w:szCs w:val="44"/>
                      <w:lang w:val="cs-CZ"/>
                    </w:rPr>
                    <w:t>Ceník technické podpory</w:t>
                  </w:r>
                </w:p>
              </w:tc>
            </w:tr>
            <w:tr w:rsidR="004205E3" w:rsidRPr="004205E3" w14:paraId="51CC1C6C" w14:textId="77777777">
              <w:trPr>
                <w:trHeight w:val="230"/>
                <w:tblCellSpacing w:w="0" w:type="dxa"/>
              </w:trPr>
              <w:tc>
                <w:tcPr>
                  <w:tcW w:w="0" w:type="auto"/>
                  <w:vMerge/>
                  <w:vAlign w:val="center"/>
                  <w:hideMark/>
                </w:tcPr>
                <w:p w14:paraId="099D73F1" w14:textId="77777777" w:rsidR="004205E3" w:rsidRPr="004205E3" w:rsidRDefault="004205E3" w:rsidP="004205E3">
                  <w:pPr>
                    <w:overflowPunct/>
                    <w:autoSpaceDE/>
                    <w:autoSpaceDN/>
                    <w:adjustRightInd/>
                    <w:spacing w:before="0"/>
                    <w:textAlignment w:val="auto"/>
                    <w:rPr>
                      <w:rFonts w:ascii="Calibri" w:hAnsi="Calibri" w:cs="Calibri"/>
                      <w:b/>
                      <w:bCs/>
                      <w:color w:val="2B3346"/>
                      <w:sz w:val="44"/>
                      <w:szCs w:val="44"/>
                      <w:lang w:val="cs-CZ"/>
                    </w:rPr>
                  </w:pPr>
                </w:p>
              </w:tc>
              <w:tc>
                <w:tcPr>
                  <w:tcW w:w="0" w:type="auto"/>
                  <w:vAlign w:val="center"/>
                  <w:hideMark/>
                </w:tcPr>
                <w:p w14:paraId="7875946D" w14:textId="77777777" w:rsidR="004205E3" w:rsidRPr="004205E3" w:rsidRDefault="004205E3" w:rsidP="004205E3">
                  <w:pPr>
                    <w:textAlignment w:val="auto"/>
                    <w:rPr>
                      <w:rFonts w:ascii="Calibri" w:hAnsi="Calibri" w:cs="Calibri"/>
                      <w:b/>
                      <w:bCs/>
                      <w:color w:val="2B3346"/>
                      <w:sz w:val="44"/>
                      <w:szCs w:val="44"/>
                      <w:lang w:val="cs-CZ"/>
                    </w:rPr>
                  </w:pPr>
                </w:p>
              </w:tc>
            </w:tr>
          </w:tbl>
          <w:p w14:paraId="1E6B3AC5" w14:textId="77777777" w:rsidR="004205E3" w:rsidRPr="004205E3" w:rsidRDefault="004205E3" w:rsidP="004205E3">
            <w:pPr>
              <w:overflowPunct/>
              <w:autoSpaceDE/>
              <w:autoSpaceDN/>
              <w:adjustRightInd/>
              <w:spacing w:before="0"/>
              <w:textAlignment w:val="auto"/>
              <w:rPr>
                <w:sz w:val="20"/>
                <w:lang w:val="cs-CZ"/>
              </w:rPr>
            </w:pPr>
          </w:p>
        </w:tc>
        <w:tc>
          <w:tcPr>
            <w:tcW w:w="1265" w:type="dxa"/>
            <w:noWrap/>
            <w:vAlign w:val="bottom"/>
            <w:hideMark/>
          </w:tcPr>
          <w:p w14:paraId="12BA61C0" w14:textId="77777777" w:rsidR="004205E3" w:rsidRPr="004205E3" w:rsidRDefault="004205E3" w:rsidP="004205E3">
            <w:pPr>
              <w:overflowPunct/>
              <w:autoSpaceDE/>
              <w:autoSpaceDN/>
              <w:adjustRightInd/>
              <w:spacing w:before="0"/>
              <w:textAlignment w:val="auto"/>
              <w:rPr>
                <w:sz w:val="20"/>
                <w:lang w:val="cs-CZ"/>
              </w:rPr>
            </w:pPr>
          </w:p>
        </w:tc>
        <w:tc>
          <w:tcPr>
            <w:tcW w:w="1265" w:type="dxa"/>
            <w:noWrap/>
            <w:vAlign w:val="bottom"/>
            <w:hideMark/>
          </w:tcPr>
          <w:p w14:paraId="1344AF7C" w14:textId="77777777" w:rsidR="004205E3" w:rsidRPr="004205E3" w:rsidRDefault="004205E3" w:rsidP="004205E3">
            <w:pPr>
              <w:overflowPunct/>
              <w:autoSpaceDE/>
              <w:autoSpaceDN/>
              <w:adjustRightInd/>
              <w:spacing w:before="0"/>
              <w:textAlignment w:val="auto"/>
              <w:rPr>
                <w:sz w:val="20"/>
                <w:lang w:val="cs-CZ"/>
              </w:rPr>
            </w:pPr>
          </w:p>
        </w:tc>
      </w:tr>
      <w:tr w:rsidR="004205E3" w:rsidRPr="004205E3" w14:paraId="4B43BB1F" w14:textId="77777777" w:rsidTr="004205E3">
        <w:trPr>
          <w:trHeight w:val="289"/>
        </w:trPr>
        <w:tc>
          <w:tcPr>
            <w:tcW w:w="0" w:type="auto"/>
            <w:gridSpan w:val="2"/>
            <w:vMerge/>
            <w:vAlign w:val="center"/>
            <w:hideMark/>
          </w:tcPr>
          <w:p w14:paraId="03D53842" w14:textId="77777777" w:rsidR="004205E3" w:rsidRPr="004205E3" w:rsidRDefault="004205E3" w:rsidP="004205E3">
            <w:pPr>
              <w:overflowPunct/>
              <w:autoSpaceDE/>
              <w:autoSpaceDN/>
              <w:adjustRightInd/>
              <w:spacing w:before="0"/>
              <w:textAlignment w:val="auto"/>
              <w:rPr>
                <w:sz w:val="20"/>
                <w:lang w:val="cs-CZ"/>
              </w:rPr>
            </w:pPr>
          </w:p>
        </w:tc>
        <w:tc>
          <w:tcPr>
            <w:tcW w:w="1265" w:type="dxa"/>
            <w:noWrap/>
            <w:vAlign w:val="bottom"/>
            <w:hideMark/>
          </w:tcPr>
          <w:p w14:paraId="25DBE87C" w14:textId="77777777" w:rsidR="004205E3" w:rsidRPr="004205E3" w:rsidRDefault="004205E3" w:rsidP="004205E3">
            <w:pPr>
              <w:overflowPunct/>
              <w:autoSpaceDE/>
              <w:autoSpaceDN/>
              <w:adjustRightInd/>
              <w:spacing w:before="0"/>
              <w:textAlignment w:val="auto"/>
              <w:rPr>
                <w:sz w:val="20"/>
                <w:lang w:val="cs-CZ"/>
              </w:rPr>
            </w:pPr>
          </w:p>
        </w:tc>
        <w:tc>
          <w:tcPr>
            <w:tcW w:w="1265" w:type="dxa"/>
            <w:noWrap/>
            <w:vAlign w:val="bottom"/>
            <w:hideMark/>
          </w:tcPr>
          <w:p w14:paraId="0072B2D8" w14:textId="77777777" w:rsidR="004205E3" w:rsidRPr="004205E3" w:rsidRDefault="004205E3" w:rsidP="004205E3">
            <w:pPr>
              <w:overflowPunct/>
              <w:autoSpaceDE/>
              <w:autoSpaceDN/>
              <w:adjustRightInd/>
              <w:spacing w:before="0"/>
              <w:textAlignment w:val="auto"/>
              <w:rPr>
                <w:sz w:val="20"/>
                <w:lang w:val="cs-CZ"/>
              </w:rPr>
            </w:pPr>
          </w:p>
        </w:tc>
      </w:tr>
      <w:tr w:rsidR="004205E3" w:rsidRPr="004205E3" w14:paraId="5782F748" w14:textId="77777777" w:rsidTr="004205E3">
        <w:trPr>
          <w:trHeight w:val="402"/>
        </w:trPr>
        <w:tc>
          <w:tcPr>
            <w:tcW w:w="5245" w:type="dxa"/>
            <w:tcBorders>
              <w:top w:val="single" w:sz="8" w:space="0" w:color="2B3346"/>
              <w:left w:val="nil"/>
              <w:bottom w:val="nil"/>
              <w:right w:val="nil"/>
            </w:tcBorders>
            <w:shd w:val="clear" w:color="auto" w:fill="DEEAF5"/>
            <w:vAlign w:val="center"/>
            <w:hideMark/>
          </w:tcPr>
          <w:p w14:paraId="006E6604" w14:textId="77777777" w:rsidR="004205E3" w:rsidRPr="004205E3" w:rsidRDefault="004205E3" w:rsidP="004205E3">
            <w:pPr>
              <w:overflowPunct/>
              <w:autoSpaceDE/>
              <w:adjustRightInd/>
              <w:spacing w:before="0"/>
              <w:ind w:firstLineChars="100" w:firstLine="181"/>
              <w:textAlignment w:val="auto"/>
              <w:rPr>
                <w:rFonts w:ascii="Arial" w:hAnsi="Arial" w:cs="Arial"/>
                <w:b/>
                <w:bCs/>
                <w:color w:val="2C3447"/>
                <w:sz w:val="18"/>
                <w:szCs w:val="18"/>
                <w:lang w:val="cs-CZ"/>
              </w:rPr>
            </w:pPr>
            <w:r w:rsidRPr="004205E3">
              <w:rPr>
                <w:rFonts w:ascii="Arial" w:hAnsi="Arial" w:cs="Arial"/>
                <w:b/>
                <w:bCs/>
                <w:color w:val="2C3447"/>
                <w:sz w:val="18"/>
                <w:szCs w:val="18"/>
                <w:lang w:val="cs-CZ"/>
              </w:rPr>
              <w:t>Specializace</w:t>
            </w:r>
          </w:p>
        </w:tc>
        <w:tc>
          <w:tcPr>
            <w:tcW w:w="1781" w:type="dxa"/>
            <w:tcBorders>
              <w:top w:val="single" w:sz="8" w:space="0" w:color="2B3346"/>
              <w:left w:val="nil"/>
              <w:bottom w:val="nil"/>
              <w:right w:val="nil"/>
            </w:tcBorders>
            <w:shd w:val="clear" w:color="auto" w:fill="DEEAF5"/>
            <w:vAlign w:val="center"/>
            <w:hideMark/>
          </w:tcPr>
          <w:p w14:paraId="264C468D" w14:textId="77777777" w:rsidR="004205E3" w:rsidRPr="004205E3" w:rsidRDefault="004205E3" w:rsidP="004205E3">
            <w:pPr>
              <w:overflowPunct/>
              <w:autoSpaceDE/>
              <w:adjustRightInd/>
              <w:spacing w:before="0"/>
              <w:ind w:firstLineChars="100" w:firstLine="150"/>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c>
          <w:tcPr>
            <w:tcW w:w="1265" w:type="dxa"/>
            <w:tcBorders>
              <w:top w:val="single" w:sz="8" w:space="0" w:color="2B3346"/>
              <w:left w:val="nil"/>
              <w:bottom w:val="nil"/>
              <w:right w:val="nil"/>
            </w:tcBorders>
            <w:shd w:val="clear" w:color="auto" w:fill="DEEAF5"/>
            <w:vAlign w:val="center"/>
            <w:hideMark/>
          </w:tcPr>
          <w:p w14:paraId="573B514F" w14:textId="77777777" w:rsidR="004205E3" w:rsidRPr="004205E3" w:rsidRDefault="004205E3" w:rsidP="004205E3">
            <w:pPr>
              <w:overflowPunct/>
              <w:autoSpaceDE/>
              <w:adjustRightInd/>
              <w:spacing w:before="0"/>
              <w:ind w:firstLineChars="100" w:firstLine="150"/>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c>
          <w:tcPr>
            <w:tcW w:w="1265" w:type="dxa"/>
            <w:tcBorders>
              <w:top w:val="single" w:sz="8" w:space="0" w:color="2B3346"/>
              <w:left w:val="nil"/>
              <w:bottom w:val="nil"/>
              <w:right w:val="nil"/>
            </w:tcBorders>
            <w:shd w:val="clear" w:color="auto" w:fill="DEEAF5"/>
            <w:vAlign w:val="center"/>
            <w:hideMark/>
          </w:tcPr>
          <w:p w14:paraId="19AB30FC"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Cena</w:t>
            </w:r>
          </w:p>
        </w:tc>
      </w:tr>
      <w:tr w:rsidR="004205E3" w:rsidRPr="004205E3" w14:paraId="4DDA6AB8" w14:textId="77777777" w:rsidTr="004205E3">
        <w:trPr>
          <w:trHeight w:val="402"/>
        </w:trPr>
        <w:tc>
          <w:tcPr>
            <w:tcW w:w="8291" w:type="dxa"/>
            <w:gridSpan w:val="3"/>
            <w:shd w:val="clear" w:color="auto" w:fill="FFFFFF"/>
            <w:vAlign w:val="center"/>
            <w:hideMark/>
          </w:tcPr>
          <w:p w14:paraId="565566C9"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Úprava definice vstupenky/sálu</w:t>
            </w:r>
          </w:p>
        </w:tc>
        <w:tc>
          <w:tcPr>
            <w:tcW w:w="1265" w:type="dxa"/>
            <w:vAlign w:val="center"/>
            <w:hideMark/>
          </w:tcPr>
          <w:p w14:paraId="255520DC"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2 900 Kč</w:t>
            </w:r>
          </w:p>
        </w:tc>
      </w:tr>
      <w:tr w:rsidR="004205E3" w:rsidRPr="004205E3" w14:paraId="3605595A" w14:textId="77777777" w:rsidTr="004205E3">
        <w:trPr>
          <w:trHeight w:val="402"/>
        </w:trPr>
        <w:tc>
          <w:tcPr>
            <w:tcW w:w="8291" w:type="dxa"/>
            <w:gridSpan w:val="3"/>
            <w:shd w:val="clear" w:color="auto" w:fill="FFFFFF"/>
            <w:vAlign w:val="center"/>
            <w:hideMark/>
          </w:tcPr>
          <w:p w14:paraId="4F3CE3AB"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Definice nového sálu</w:t>
            </w:r>
          </w:p>
        </w:tc>
        <w:tc>
          <w:tcPr>
            <w:tcW w:w="1265" w:type="dxa"/>
            <w:vAlign w:val="center"/>
            <w:hideMark/>
          </w:tcPr>
          <w:p w14:paraId="6DF6F441"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7 200 Kč</w:t>
            </w:r>
          </w:p>
        </w:tc>
      </w:tr>
      <w:tr w:rsidR="004205E3" w:rsidRPr="004205E3" w14:paraId="795925CD" w14:textId="77777777" w:rsidTr="004205E3">
        <w:trPr>
          <w:trHeight w:val="402"/>
        </w:trPr>
        <w:tc>
          <w:tcPr>
            <w:tcW w:w="5245" w:type="dxa"/>
            <w:shd w:val="clear" w:color="auto" w:fill="DEEAF5"/>
            <w:vAlign w:val="center"/>
            <w:hideMark/>
          </w:tcPr>
          <w:p w14:paraId="06418F5D" w14:textId="77777777" w:rsidR="004205E3" w:rsidRPr="004205E3" w:rsidRDefault="004205E3" w:rsidP="004205E3">
            <w:pPr>
              <w:overflowPunct/>
              <w:autoSpaceDE/>
              <w:adjustRightInd/>
              <w:spacing w:before="0"/>
              <w:ind w:firstLineChars="100" w:firstLine="181"/>
              <w:textAlignment w:val="auto"/>
              <w:rPr>
                <w:rFonts w:ascii="Arial" w:hAnsi="Arial" w:cs="Arial"/>
                <w:b/>
                <w:bCs/>
                <w:color w:val="2C3447"/>
                <w:sz w:val="18"/>
                <w:szCs w:val="18"/>
                <w:lang w:val="cs-CZ"/>
              </w:rPr>
            </w:pPr>
            <w:r w:rsidRPr="004205E3">
              <w:rPr>
                <w:rFonts w:ascii="Arial" w:hAnsi="Arial" w:cs="Arial"/>
                <w:b/>
                <w:bCs/>
                <w:color w:val="2C3447"/>
                <w:sz w:val="18"/>
                <w:szCs w:val="18"/>
                <w:lang w:val="cs-CZ"/>
              </w:rPr>
              <w:t>Úprava šablony WebSale</w:t>
            </w:r>
          </w:p>
        </w:tc>
        <w:tc>
          <w:tcPr>
            <w:tcW w:w="1781" w:type="dxa"/>
            <w:shd w:val="clear" w:color="auto" w:fill="DEEAF5"/>
            <w:vAlign w:val="center"/>
            <w:hideMark/>
          </w:tcPr>
          <w:p w14:paraId="1C25A912" w14:textId="77777777" w:rsidR="004205E3" w:rsidRPr="004205E3" w:rsidRDefault="004205E3" w:rsidP="004205E3">
            <w:pPr>
              <w:overflowPunct/>
              <w:autoSpaceDE/>
              <w:adjustRightInd/>
              <w:spacing w:before="0"/>
              <w:ind w:firstLineChars="100" w:firstLine="150"/>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c>
          <w:tcPr>
            <w:tcW w:w="1265" w:type="dxa"/>
            <w:shd w:val="clear" w:color="auto" w:fill="DEEAF5"/>
            <w:vAlign w:val="center"/>
            <w:hideMark/>
          </w:tcPr>
          <w:p w14:paraId="6BD3D98C" w14:textId="77777777" w:rsidR="004205E3" w:rsidRPr="004205E3" w:rsidRDefault="004205E3" w:rsidP="004205E3">
            <w:pPr>
              <w:overflowPunct/>
              <w:autoSpaceDE/>
              <w:adjustRightInd/>
              <w:spacing w:before="0"/>
              <w:ind w:firstLineChars="100" w:firstLine="150"/>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c>
          <w:tcPr>
            <w:tcW w:w="1265" w:type="dxa"/>
            <w:shd w:val="clear" w:color="auto" w:fill="DEEAF5"/>
            <w:vAlign w:val="center"/>
            <w:hideMark/>
          </w:tcPr>
          <w:p w14:paraId="394DD109"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Cena</w:t>
            </w:r>
          </w:p>
        </w:tc>
      </w:tr>
      <w:tr w:rsidR="004205E3" w:rsidRPr="004205E3" w14:paraId="17C24B60" w14:textId="77777777" w:rsidTr="004205E3">
        <w:trPr>
          <w:trHeight w:val="402"/>
        </w:trPr>
        <w:tc>
          <w:tcPr>
            <w:tcW w:w="8291" w:type="dxa"/>
            <w:gridSpan w:val="3"/>
            <w:shd w:val="clear" w:color="auto" w:fill="FFFFFF"/>
            <w:vAlign w:val="center"/>
            <w:hideMark/>
          </w:tcPr>
          <w:p w14:paraId="6C0C1A03"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Malá úprava</w:t>
            </w:r>
          </w:p>
        </w:tc>
        <w:tc>
          <w:tcPr>
            <w:tcW w:w="1265" w:type="dxa"/>
            <w:vAlign w:val="center"/>
            <w:hideMark/>
          </w:tcPr>
          <w:p w14:paraId="274EDEB3"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2 900 Kč</w:t>
            </w:r>
          </w:p>
        </w:tc>
      </w:tr>
      <w:tr w:rsidR="004205E3" w:rsidRPr="004205E3" w14:paraId="08E0F5AA" w14:textId="77777777" w:rsidTr="004205E3">
        <w:trPr>
          <w:trHeight w:val="402"/>
        </w:trPr>
        <w:tc>
          <w:tcPr>
            <w:tcW w:w="8291" w:type="dxa"/>
            <w:gridSpan w:val="3"/>
            <w:shd w:val="clear" w:color="auto" w:fill="FFFFFF"/>
            <w:vAlign w:val="center"/>
            <w:hideMark/>
          </w:tcPr>
          <w:p w14:paraId="13D26D42"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Velká úprava nebo nová šablona</w:t>
            </w:r>
          </w:p>
        </w:tc>
        <w:tc>
          <w:tcPr>
            <w:tcW w:w="1265" w:type="dxa"/>
            <w:vAlign w:val="center"/>
            <w:hideMark/>
          </w:tcPr>
          <w:p w14:paraId="0AB6261E"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7 200 Kč</w:t>
            </w:r>
          </w:p>
        </w:tc>
      </w:tr>
      <w:tr w:rsidR="004205E3" w:rsidRPr="004205E3" w14:paraId="02134E22" w14:textId="77777777" w:rsidTr="004205E3">
        <w:trPr>
          <w:trHeight w:val="402"/>
        </w:trPr>
        <w:tc>
          <w:tcPr>
            <w:tcW w:w="5245" w:type="dxa"/>
            <w:shd w:val="clear" w:color="auto" w:fill="DEEAF5"/>
            <w:vAlign w:val="center"/>
            <w:hideMark/>
          </w:tcPr>
          <w:p w14:paraId="393D270B" w14:textId="77777777" w:rsidR="004205E3" w:rsidRPr="004205E3" w:rsidRDefault="004205E3" w:rsidP="004205E3">
            <w:pPr>
              <w:overflowPunct/>
              <w:autoSpaceDE/>
              <w:adjustRightInd/>
              <w:spacing w:before="0"/>
              <w:ind w:firstLineChars="100" w:firstLine="181"/>
              <w:textAlignment w:val="auto"/>
              <w:rPr>
                <w:rFonts w:ascii="Arial" w:hAnsi="Arial" w:cs="Arial"/>
                <w:b/>
                <w:bCs/>
                <w:color w:val="2C3447"/>
                <w:sz w:val="18"/>
                <w:szCs w:val="18"/>
                <w:lang w:val="cs-CZ"/>
              </w:rPr>
            </w:pPr>
            <w:r w:rsidRPr="004205E3">
              <w:rPr>
                <w:rFonts w:ascii="Arial" w:hAnsi="Arial" w:cs="Arial"/>
                <w:b/>
                <w:bCs/>
                <w:color w:val="2C3447"/>
                <w:sz w:val="18"/>
                <w:szCs w:val="18"/>
                <w:lang w:val="cs-CZ"/>
              </w:rPr>
              <w:t>Nastavení vstupenkové tiskárny</w:t>
            </w:r>
          </w:p>
        </w:tc>
        <w:tc>
          <w:tcPr>
            <w:tcW w:w="1781" w:type="dxa"/>
            <w:shd w:val="clear" w:color="auto" w:fill="DEEAF5"/>
            <w:vAlign w:val="center"/>
            <w:hideMark/>
          </w:tcPr>
          <w:p w14:paraId="7A0F91E1" w14:textId="77777777" w:rsidR="004205E3" w:rsidRPr="004205E3" w:rsidRDefault="004205E3" w:rsidP="004205E3">
            <w:pPr>
              <w:overflowPunct/>
              <w:autoSpaceDE/>
              <w:adjustRightInd/>
              <w:spacing w:before="0"/>
              <w:ind w:firstLineChars="100" w:firstLine="150"/>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c>
          <w:tcPr>
            <w:tcW w:w="1265" w:type="dxa"/>
            <w:shd w:val="clear" w:color="auto" w:fill="DEEAF5"/>
            <w:vAlign w:val="center"/>
            <w:hideMark/>
          </w:tcPr>
          <w:p w14:paraId="425C707B" w14:textId="77777777" w:rsidR="004205E3" w:rsidRPr="004205E3" w:rsidRDefault="004205E3" w:rsidP="004205E3">
            <w:pPr>
              <w:overflowPunct/>
              <w:autoSpaceDE/>
              <w:adjustRightInd/>
              <w:spacing w:before="0"/>
              <w:ind w:firstLineChars="100" w:firstLine="150"/>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c>
          <w:tcPr>
            <w:tcW w:w="1265" w:type="dxa"/>
            <w:shd w:val="clear" w:color="auto" w:fill="DEEAF5"/>
            <w:vAlign w:val="center"/>
            <w:hideMark/>
          </w:tcPr>
          <w:p w14:paraId="6F53EF61"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Cena</w:t>
            </w:r>
          </w:p>
        </w:tc>
      </w:tr>
      <w:tr w:rsidR="004205E3" w:rsidRPr="004205E3" w14:paraId="07F99216" w14:textId="77777777" w:rsidTr="004205E3">
        <w:trPr>
          <w:trHeight w:val="402"/>
        </w:trPr>
        <w:tc>
          <w:tcPr>
            <w:tcW w:w="8291" w:type="dxa"/>
            <w:gridSpan w:val="3"/>
            <w:shd w:val="clear" w:color="auto" w:fill="FFFFFF"/>
            <w:vAlign w:val="center"/>
            <w:hideMark/>
          </w:tcPr>
          <w:p w14:paraId="39A9256D"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Nastavení po telefonu</w:t>
            </w:r>
          </w:p>
        </w:tc>
        <w:tc>
          <w:tcPr>
            <w:tcW w:w="1265" w:type="dxa"/>
            <w:vAlign w:val="center"/>
            <w:hideMark/>
          </w:tcPr>
          <w:p w14:paraId="290D8D7C"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720 Kč</w:t>
            </w:r>
          </w:p>
        </w:tc>
      </w:tr>
      <w:tr w:rsidR="004205E3" w:rsidRPr="004205E3" w14:paraId="42BDE3A5" w14:textId="77777777" w:rsidTr="004205E3">
        <w:trPr>
          <w:trHeight w:val="402"/>
        </w:trPr>
        <w:tc>
          <w:tcPr>
            <w:tcW w:w="5245" w:type="dxa"/>
            <w:shd w:val="clear" w:color="auto" w:fill="FFFFFF"/>
            <w:vAlign w:val="center"/>
            <w:hideMark/>
          </w:tcPr>
          <w:p w14:paraId="0C6606C6"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Nastavení při osobní návštěvě</w:t>
            </w:r>
          </w:p>
        </w:tc>
        <w:tc>
          <w:tcPr>
            <w:tcW w:w="1781" w:type="dxa"/>
            <w:shd w:val="clear" w:color="auto" w:fill="FFFFFF"/>
            <w:vAlign w:val="center"/>
            <w:hideMark/>
          </w:tcPr>
          <w:p w14:paraId="411E96EC" w14:textId="77777777" w:rsidR="004205E3" w:rsidRPr="004205E3" w:rsidRDefault="004205E3" w:rsidP="004205E3">
            <w:pPr>
              <w:overflowPunct/>
              <w:autoSpaceDE/>
              <w:adjustRightInd/>
              <w:spacing w:before="0"/>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 </w:t>
            </w:r>
          </w:p>
        </w:tc>
        <w:tc>
          <w:tcPr>
            <w:tcW w:w="2530" w:type="dxa"/>
            <w:gridSpan w:val="2"/>
            <w:vAlign w:val="center"/>
            <w:hideMark/>
          </w:tcPr>
          <w:p w14:paraId="4D90B007"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 xml:space="preserve">1 100 Kč/hodina + dopravné </w:t>
            </w:r>
          </w:p>
        </w:tc>
      </w:tr>
      <w:tr w:rsidR="004205E3" w:rsidRPr="004205E3" w14:paraId="37DE880B" w14:textId="77777777" w:rsidTr="004205E3">
        <w:trPr>
          <w:trHeight w:val="402"/>
        </w:trPr>
        <w:tc>
          <w:tcPr>
            <w:tcW w:w="5245" w:type="dxa"/>
            <w:shd w:val="clear" w:color="auto" w:fill="DEEAF5"/>
            <w:vAlign w:val="center"/>
            <w:hideMark/>
          </w:tcPr>
          <w:p w14:paraId="09D30863" w14:textId="77777777" w:rsidR="004205E3" w:rsidRPr="004205E3" w:rsidRDefault="004205E3" w:rsidP="004205E3">
            <w:pPr>
              <w:overflowPunct/>
              <w:autoSpaceDE/>
              <w:adjustRightInd/>
              <w:spacing w:before="0"/>
              <w:ind w:firstLineChars="100" w:firstLine="181"/>
              <w:textAlignment w:val="auto"/>
              <w:rPr>
                <w:rFonts w:ascii="Arial" w:hAnsi="Arial" w:cs="Arial"/>
                <w:b/>
                <w:bCs/>
                <w:color w:val="2C3447"/>
                <w:sz w:val="18"/>
                <w:szCs w:val="18"/>
                <w:lang w:val="cs-CZ"/>
              </w:rPr>
            </w:pPr>
            <w:r w:rsidRPr="004205E3">
              <w:rPr>
                <w:rFonts w:ascii="Arial" w:hAnsi="Arial" w:cs="Arial"/>
                <w:b/>
                <w:bCs/>
                <w:color w:val="2C3447"/>
                <w:sz w:val="18"/>
                <w:szCs w:val="18"/>
                <w:lang w:val="cs-CZ"/>
              </w:rPr>
              <w:t>Certifikát pro HTTPS</w:t>
            </w:r>
          </w:p>
        </w:tc>
        <w:tc>
          <w:tcPr>
            <w:tcW w:w="1781" w:type="dxa"/>
            <w:shd w:val="clear" w:color="auto" w:fill="DEEAF5"/>
            <w:vAlign w:val="center"/>
            <w:hideMark/>
          </w:tcPr>
          <w:p w14:paraId="7FF57077" w14:textId="77777777" w:rsidR="004205E3" w:rsidRPr="004205E3" w:rsidRDefault="004205E3" w:rsidP="004205E3">
            <w:pPr>
              <w:overflowPunct/>
              <w:autoSpaceDE/>
              <w:adjustRightInd/>
              <w:spacing w:before="0"/>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c>
          <w:tcPr>
            <w:tcW w:w="1265" w:type="dxa"/>
            <w:shd w:val="clear" w:color="auto" w:fill="DEEAF5"/>
            <w:vAlign w:val="center"/>
            <w:hideMark/>
          </w:tcPr>
          <w:p w14:paraId="05E86F68" w14:textId="77777777" w:rsidR="004205E3" w:rsidRPr="004205E3" w:rsidRDefault="004205E3" w:rsidP="004205E3">
            <w:pPr>
              <w:overflowPunct/>
              <w:autoSpaceDE/>
              <w:adjustRightInd/>
              <w:spacing w:before="0"/>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c>
          <w:tcPr>
            <w:tcW w:w="1265" w:type="dxa"/>
            <w:shd w:val="clear" w:color="auto" w:fill="DEEAF5"/>
            <w:vAlign w:val="center"/>
            <w:hideMark/>
          </w:tcPr>
          <w:p w14:paraId="4106AB18"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Cena</w:t>
            </w:r>
          </w:p>
        </w:tc>
      </w:tr>
      <w:tr w:rsidR="004205E3" w:rsidRPr="004205E3" w14:paraId="593F01CA" w14:textId="77777777" w:rsidTr="004205E3">
        <w:trPr>
          <w:trHeight w:val="402"/>
        </w:trPr>
        <w:tc>
          <w:tcPr>
            <w:tcW w:w="8291" w:type="dxa"/>
            <w:gridSpan w:val="3"/>
            <w:shd w:val="clear" w:color="auto" w:fill="FFFFFF"/>
            <w:vAlign w:val="center"/>
            <w:hideMark/>
          </w:tcPr>
          <w:p w14:paraId="6F15DD0B"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Pouze instalace certifikátu na doménu zákazníka, certifikát pořizuje sám zákazník</w:t>
            </w:r>
          </w:p>
        </w:tc>
        <w:tc>
          <w:tcPr>
            <w:tcW w:w="1265" w:type="dxa"/>
            <w:vAlign w:val="center"/>
            <w:hideMark/>
          </w:tcPr>
          <w:p w14:paraId="34CDE10A"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1 900 Kč</w:t>
            </w:r>
          </w:p>
        </w:tc>
      </w:tr>
      <w:tr w:rsidR="004205E3" w:rsidRPr="00B95A61" w14:paraId="016BBC01" w14:textId="77777777" w:rsidTr="004205E3">
        <w:trPr>
          <w:trHeight w:val="402"/>
        </w:trPr>
        <w:tc>
          <w:tcPr>
            <w:tcW w:w="5245" w:type="dxa"/>
            <w:shd w:val="clear" w:color="auto" w:fill="FFFFFF"/>
            <w:vAlign w:val="center"/>
            <w:hideMark/>
          </w:tcPr>
          <w:p w14:paraId="61349552"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Nákup a instalace certifikátu na doménu zákazníka</w:t>
            </w:r>
          </w:p>
        </w:tc>
        <w:tc>
          <w:tcPr>
            <w:tcW w:w="4311" w:type="dxa"/>
            <w:gridSpan w:val="3"/>
            <w:vAlign w:val="center"/>
            <w:hideMark/>
          </w:tcPr>
          <w:p w14:paraId="39515D0E"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1 900 Kč instalace + 2 200 Kč cena certifikátu na jeden rok</w:t>
            </w:r>
          </w:p>
        </w:tc>
      </w:tr>
      <w:tr w:rsidR="004205E3" w:rsidRPr="004205E3" w14:paraId="1BD12C7A" w14:textId="77777777" w:rsidTr="004205E3">
        <w:trPr>
          <w:trHeight w:val="402"/>
        </w:trPr>
        <w:tc>
          <w:tcPr>
            <w:tcW w:w="5245" w:type="dxa"/>
            <w:shd w:val="clear" w:color="auto" w:fill="DEEAF5"/>
            <w:vAlign w:val="center"/>
            <w:hideMark/>
          </w:tcPr>
          <w:p w14:paraId="1D1824A5" w14:textId="77777777" w:rsidR="004205E3" w:rsidRPr="004205E3" w:rsidRDefault="004205E3" w:rsidP="004205E3">
            <w:pPr>
              <w:overflowPunct/>
              <w:autoSpaceDE/>
              <w:adjustRightInd/>
              <w:spacing w:before="0"/>
              <w:ind w:firstLineChars="100" w:firstLine="181"/>
              <w:textAlignment w:val="auto"/>
              <w:rPr>
                <w:rFonts w:ascii="Arial" w:hAnsi="Arial" w:cs="Arial"/>
                <w:b/>
                <w:bCs/>
                <w:color w:val="2C3447"/>
                <w:sz w:val="18"/>
                <w:szCs w:val="18"/>
                <w:lang w:val="cs-CZ"/>
              </w:rPr>
            </w:pPr>
            <w:r w:rsidRPr="004205E3">
              <w:rPr>
                <w:rFonts w:ascii="Arial" w:hAnsi="Arial" w:cs="Arial"/>
                <w:b/>
                <w:bCs/>
                <w:color w:val="2C3447"/>
                <w:sz w:val="18"/>
                <w:szCs w:val="18"/>
                <w:lang w:val="cs-CZ"/>
              </w:rPr>
              <w:t>Nastavení GTM</w:t>
            </w:r>
          </w:p>
        </w:tc>
        <w:tc>
          <w:tcPr>
            <w:tcW w:w="1781" w:type="dxa"/>
            <w:shd w:val="clear" w:color="auto" w:fill="DEEAF5"/>
            <w:vAlign w:val="center"/>
            <w:hideMark/>
          </w:tcPr>
          <w:p w14:paraId="42427CD9" w14:textId="77777777" w:rsidR="004205E3" w:rsidRPr="004205E3" w:rsidRDefault="004205E3" w:rsidP="004205E3">
            <w:pPr>
              <w:overflowPunct/>
              <w:autoSpaceDE/>
              <w:adjustRightInd/>
              <w:spacing w:before="0"/>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c>
          <w:tcPr>
            <w:tcW w:w="1265" w:type="dxa"/>
            <w:shd w:val="clear" w:color="auto" w:fill="DEEAF5"/>
            <w:vAlign w:val="center"/>
            <w:hideMark/>
          </w:tcPr>
          <w:p w14:paraId="0BBC6AF0" w14:textId="77777777" w:rsidR="004205E3" w:rsidRPr="004205E3" w:rsidRDefault="004205E3" w:rsidP="004205E3">
            <w:pPr>
              <w:overflowPunct/>
              <w:autoSpaceDE/>
              <w:adjustRightInd/>
              <w:spacing w:before="0"/>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c>
          <w:tcPr>
            <w:tcW w:w="1265" w:type="dxa"/>
            <w:shd w:val="clear" w:color="auto" w:fill="DEEAF5"/>
            <w:vAlign w:val="center"/>
            <w:hideMark/>
          </w:tcPr>
          <w:p w14:paraId="565F29BD"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Cena</w:t>
            </w:r>
          </w:p>
        </w:tc>
      </w:tr>
      <w:tr w:rsidR="004205E3" w:rsidRPr="004205E3" w14:paraId="46BF5C19" w14:textId="77777777" w:rsidTr="004205E3">
        <w:trPr>
          <w:trHeight w:val="402"/>
        </w:trPr>
        <w:tc>
          <w:tcPr>
            <w:tcW w:w="8291" w:type="dxa"/>
            <w:gridSpan w:val="3"/>
            <w:shd w:val="clear" w:color="auto" w:fill="FFFFFF"/>
            <w:vAlign w:val="center"/>
            <w:hideMark/>
          </w:tcPr>
          <w:p w14:paraId="42A3FE9D"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lastRenderedPageBreak/>
              <w:t>Nasazení GTM kódu do šablony</w:t>
            </w:r>
          </w:p>
        </w:tc>
        <w:tc>
          <w:tcPr>
            <w:tcW w:w="1265" w:type="dxa"/>
            <w:vAlign w:val="center"/>
            <w:hideMark/>
          </w:tcPr>
          <w:p w14:paraId="286BB304"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2 900 Kč</w:t>
            </w:r>
          </w:p>
        </w:tc>
      </w:tr>
      <w:tr w:rsidR="004205E3" w:rsidRPr="004205E3" w14:paraId="6E23F559" w14:textId="77777777" w:rsidTr="004205E3">
        <w:trPr>
          <w:trHeight w:val="402"/>
        </w:trPr>
        <w:tc>
          <w:tcPr>
            <w:tcW w:w="7026" w:type="dxa"/>
            <w:gridSpan w:val="2"/>
            <w:shd w:val="clear" w:color="auto" w:fill="FFFFFF"/>
            <w:vAlign w:val="center"/>
            <w:hideMark/>
          </w:tcPr>
          <w:p w14:paraId="363CF50A"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Nasazení GTM kódu, nastavení měřících kódu, telefonické školení</w:t>
            </w:r>
          </w:p>
        </w:tc>
        <w:tc>
          <w:tcPr>
            <w:tcW w:w="2530" w:type="dxa"/>
            <w:gridSpan w:val="2"/>
            <w:vAlign w:val="center"/>
            <w:hideMark/>
          </w:tcPr>
          <w:p w14:paraId="5B913ED2"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7 200 Kč</w:t>
            </w:r>
          </w:p>
        </w:tc>
      </w:tr>
      <w:tr w:rsidR="004205E3" w:rsidRPr="004205E3" w14:paraId="28C19EF6" w14:textId="77777777" w:rsidTr="004205E3">
        <w:trPr>
          <w:trHeight w:val="402"/>
        </w:trPr>
        <w:tc>
          <w:tcPr>
            <w:tcW w:w="5245" w:type="dxa"/>
            <w:shd w:val="clear" w:color="auto" w:fill="DEEAF5"/>
            <w:vAlign w:val="center"/>
            <w:hideMark/>
          </w:tcPr>
          <w:p w14:paraId="74884938" w14:textId="77777777" w:rsidR="004205E3" w:rsidRPr="004205E3" w:rsidRDefault="004205E3" w:rsidP="004205E3">
            <w:pPr>
              <w:overflowPunct/>
              <w:autoSpaceDE/>
              <w:adjustRightInd/>
              <w:spacing w:before="0"/>
              <w:ind w:firstLineChars="100" w:firstLine="181"/>
              <w:textAlignment w:val="auto"/>
              <w:rPr>
                <w:rFonts w:ascii="Arial" w:hAnsi="Arial" w:cs="Arial"/>
                <w:b/>
                <w:bCs/>
                <w:color w:val="2C3447"/>
                <w:sz w:val="18"/>
                <w:szCs w:val="18"/>
                <w:lang w:val="cs-CZ"/>
              </w:rPr>
            </w:pPr>
            <w:r w:rsidRPr="004205E3">
              <w:rPr>
                <w:rFonts w:ascii="Arial" w:hAnsi="Arial" w:cs="Arial"/>
                <w:b/>
                <w:bCs/>
                <w:color w:val="2C3447"/>
                <w:sz w:val="18"/>
                <w:szCs w:val="18"/>
                <w:lang w:val="cs-CZ"/>
              </w:rPr>
              <w:t>SMTP server</w:t>
            </w:r>
          </w:p>
        </w:tc>
        <w:tc>
          <w:tcPr>
            <w:tcW w:w="1781" w:type="dxa"/>
            <w:shd w:val="clear" w:color="auto" w:fill="DEEAF5"/>
            <w:vAlign w:val="center"/>
            <w:hideMark/>
          </w:tcPr>
          <w:p w14:paraId="2B6DED25" w14:textId="77777777" w:rsidR="004205E3" w:rsidRPr="004205E3" w:rsidRDefault="004205E3" w:rsidP="004205E3">
            <w:pPr>
              <w:overflowPunct/>
              <w:autoSpaceDE/>
              <w:adjustRightInd/>
              <w:spacing w:before="0"/>
              <w:ind w:firstLineChars="100" w:firstLine="150"/>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c>
          <w:tcPr>
            <w:tcW w:w="1265" w:type="dxa"/>
            <w:shd w:val="clear" w:color="auto" w:fill="DEEAF5"/>
            <w:vAlign w:val="center"/>
            <w:hideMark/>
          </w:tcPr>
          <w:p w14:paraId="332F6B66" w14:textId="77777777" w:rsidR="004205E3" w:rsidRPr="004205E3" w:rsidRDefault="004205E3" w:rsidP="004205E3">
            <w:pPr>
              <w:overflowPunct/>
              <w:autoSpaceDE/>
              <w:adjustRightInd/>
              <w:spacing w:before="0"/>
              <w:ind w:firstLineChars="100" w:firstLine="150"/>
              <w:textAlignment w:val="auto"/>
              <w:rPr>
                <w:rFonts w:ascii="Arial" w:hAnsi="Arial" w:cs="Arial"/>
                <w:color w:val="2C3447"/>
                <w:sz w:val="15"/>
                <w:szCs w:val="15"/>
                <w:lang w:val="cs-CZ"/>
              </w:rPr>
            </w:pPr>
            <w:r w:rsidRPr="004205E3">
              <w:rPr>
                <w:rFonts w:ascii="Arial" w:hAnsi="Arial" w:cs="Arial"/>
                <w:color w:val="2C3447"/>
                <w:sz w:val="15"/>
                <w:szCs w:val="15"/>
                <w:lang w:val="cs-CZ"/>
              </w:rPr>
              <w:t> </w:t>
            </w:r>
          </w:p>
        </w:tc>
        <w:tc>
          <w:tcPr>
            <w:tcW w:w="1265" w:type="dxa"/>
            <w:shd w:val="clear" w:color="auto" w:fill="DEEAF5"/>
            <w:vAlign w:val="center"/>
            <w:hideMark/>
          </w:tcPr>
          <w:p w14:paraId="3D38026B"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Cena</w:t>
            </w:r>
          </w:p>
        </w:tc>
      </w:tr>
      <w:tr w:rsidR="004205E3" w:rsidRPr="004205E3" w14:paraId="7956E13C" w14:textId="77777777" w:rsidTr="004205E3">
        <w:trPr>
          <w:trHeight w:val="402"/>
        </w:trPr>
        <w:tc>
          <w:tcPr>
            <w:tcW w:w="8291" w:type="dxa"/>
            <w:gridSpan w:val="3"/>
            <w:shd w:val="clear" w:color="auto" w:fill="FFFFFF"/>
            <w:vAlign w:val="center"/>
            <w:hideMark/>
          </w:tcPr>
          <w:p w14:paraId="26FBFFE9"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Využití našeho serveru na notifikace i kampaně</w:t>
            </w:r>
          </w:p>
        </w:tc>
        <w:tc>
          <w:tcPr>
            <w:tcW w:w="1265" w:type="dxa"/>
            <w:vAlign w:val="center"/>
            <w:hideMark/>
          </w:tcPr>
          <w:p w14:paraId="2C955E7E"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290 Kč/měsíc</w:t>
            </w:r>
          </w:p>
        </w:tc>
      </w:tr>
      <w:tr w:rsidR="004205E3" w:rsidRPr="004205E3" w14:paraId="550E9A86" w14:textId="77777777" w:rsidTr="004205E3">
        <w:trPr>
          <w:trHeight w:val="402"/>
        </w:trPr>
        <w:tc>
          <w:tcPr>
            <w:tcW w:w="7026" w:type="dxa"/>
            <w:gridSpan w:val="2"/>
            <w:shd w:val="clear" w:color="auto" w:fill="FFFFFF"/>
            <w:vAlign w:val="center"/>
            <w:hideMark/>
          </w:tcPr>
          <w:p w14:paraId="150BB65B" w14:textId="77777777" w:rsidR="004205E3" w:rsidRPr="004205E3" w:rsidRDefault="004205E3" w:rsidP="004205E3">
            <w:pPr>
              <w:overflowPunct/>
              <w:autoSpaceDE/>
              <w:adjustRightInd/>
              <w:spacing w:before="0"/>
              <w:ind w:firstLineChars="100" w:firstLine="151"/>
              <w:textAlignment w:val="auto"/>
              <w:rPr>
                <w:rFonts w:ascii="Arial" w:hAnsi="Arial" w:cs="Arial"/>
                <w:b/>
                <w:bCs/>
                <w:color w:val="2C3447"/>
                <w:sz w:val="15"/>
                <w:szCs w:val="15"/>
                <w:lang w:val="cs-CZ"/>
              </w:rPr>
            </w:pPr>
            <w:r w:rsidRPr="004205E3">
              <w:rPr>
                <w:rFonts w:ascii="Arial" w:hAnsi="Arial" w:cs="Arial"/>
                <w:b/>
                <w:bCs/>
                <w:color w:val="2C3447"/>
                <w:sz w:val="15"/>
                <w:szCs w:val="15"/>
                <w:lang w:val="cs-CZ"/>
              </w:rPr>
              <w:t>SMTP server zákazníka – nastavení a pomoc s konfigurací</w:t>
            </w:r>
          </w:p>
        </w:tc>
        <w:tc>
          <w:tcPr>
            <w:tcW w:w="2530" w:type="dxa"/>
            <w:gridSpan w:val="2"/>
            <w:vAlign w:val="center"/>
            <w:hideMark/>
          </w:tcPr>
          <w:p w14:paraId="7D5F88C3" w14:textId="77777777" w:rsidR="004205E3" w:rsidRPr="004205E3" w:rsidRDefault="004205E3" w:rsidP="004205E3">
            <w:pPr>
              <w:overflowPunct/>
              <w:autoSpaceDE/>
              <w:adjustRightInd/>
              <w:spacing w:before="0"/>
              <w:ind w:firstLineChars="100" w:firstLine="150"/>
              <w:jc w:val="right"/>
              <w:textAlignment w:val="auto"/>
              <w:rPr>
                <w:rFonts w:ascii="Arial" w:hAnsi="Arial" w:cs="Arial"/>
                <w:color w:val="2C3447"/>
                <w:sz w:val="15"/>
                <w:szCs w:val="15"/>
                <w:lang w:val="cs-CZ"/>
              </w:rPr>
            </w:pPr>
            <w:r w:rsidRPr="004205E3">
              <w:rPr>
                <w:rFonts w:ascii="Arial" w:hAnsi="Arial" w:cs="Arial"/>
                <w:color w:val="2C3447"/>
                <w:sz w:val="15"/>
                <w:szCs w:val="15"/>
                <w:lang w:val="cs-CZ"/>
              </w:rPr>
              <w:t>1 900 Kč/jednorázově</w:t>
            </w:r>
          </w:p>
        </w:tc>
      </w:tr>
      <w:tr w:rsidR="004205E3" w:rsidRPr="004205E3" w14:paraId="7FE46353" w14:textId="77777777" w:rsidTr="004205E3">
        <w:trPr>
          <w:trHeight w:val="315"/>
        </w:trPr>
        <w:tc>
          <w:tcPr>
            <w:tcW w:w="5245" w:type="dxa"/>
            <w:tcBorders>
              <w:top w:val="nil"/>
              <w:left w:val="nil"/>
              <w:bottom w:val="single" w:sz="8" w:space="0" w:color="2B3346"/>
              <w:right w:val="nil"/>
            </w:tcBorders>
            <w:noWrap/>
            <w:vAlign w:val="bottom"/>
            <w:hideMark/>
          </w:tcPr>
          <w:p w14:paraId="2C4ADFEC" w14:textId="77777777" w:rsidR="004205E3" w:rsidRPr="004205E3" w:rsidRDefault="004205E3" w:rsidP="004205E3">
            <w:pPr>
              <w:overflowPunct/>
              <w:autoSpaceDE/>
              <w:adjustRightInd/>
              <w:spacing w:before="0"/>
              <w:textAlignment w:val="auto"/>
              <w:rPr>
                <w:rFonts w:ascii="Calibri" w:hAnsi="Calibri" w:cs="Calibri"/>
                <w:color w:val="000000"/>
                <w:sz w:val="22"/>
                <w:szCs w:val="22"/>
                <w:lang w:val="cs-CZ"/>
              </w:rPr>
            </w:pPr>
            <w:r w:rsidRPr="004205E3">
              <w:rPr>
                <w:rFonts w:ascii="Calibri" w:hAnsi="Calibri" w:cs="Calibri"/>
                <w:color w:val="000000"/>
                <w:sz w:val="22"/>
                <w:szCs w:val="22"/>
                <w:lang w:val="cs-CZ"/>
              </w:rPr>
              <w:t> </w:t>
            </w:r>
          </w:p>
        </w:tc>
        <w:tc>
          <w:tcPr>
            <w:tcW w:w="1781" w:type="dxa"/>
            <w:tcBorders>
              <w:top w:val="nil"/>
              <w:left w:val="nil"/>
              <w:bottom w:val="single" w:sz="8" w:space="0" w:color="2B3346"/>
              <w:right w:val="nil"/>
            </w:tcBorders>
            <w:noWrap/>
            <w:vAlign w:val="bottom"/>
            <w:hideMark/>
          </w:tcPr>
          <w:p w14:paraId="4F7D2106" w14:textId="77777777" w:rsidR="004205E3" w:rsidRPr="004205E3" w:rsidRDefault="004205E3" w:rsidP="004205E3">
            <w:pPr>
              <w:overflowPunct/>
              <w:autoSpaceDE/>
              <w:adjustRightInd/>
              <w:spacing w:before="0"/>
              <w:textAlignment w:val="auto"/>
              <w:rPr>
                <w:rFonts w:ascii="Calibri" w:hAnsi="Calibri" w:cs="Calibri"/>
                <w:color w:val="000000"/>
                <w:sz w:val="22"/>
                <w:szCs w:val="22"/>
                <w:lang w:val="cs-CZ"/>
              </w:rPr>
            </w:pPr>
            <w:r w:rsidRPr="004205E3">
              <w:rPr>
                <w:rFonts w:ascii="Calibri" w:hAnsi="Calibri" w:cs="Calibri"/>
                <w:color w:val="000000"/>
                <w:sz w:val="22"/>
                <w:szCs w:val="22"/>
                <w:lang w:val="cs-CZ"/>
              </w:rPr>
              <w:t> </w:t>
            </w:r>
          </w:p>
        </w:tc>
        <w:tc>
          <w:tcPr>
            <w:tcW w:w="1265" w:type="dxa"/>
            <w:tcBorders>
              <w:top w:val="nil"/>
              <w:left w:val="nil"/>
              <w:bottom w:val="single" w:sz="8" w:space="0" w:color="2B3346"/>
              <w:right w:val="nil"/>
            </w:tcBorders>
            <w:noWrap/>
            <w:vAlign w:val="bottom"/>
            <w:hideMark/>
          </w:tcPr>
          <w:p w14:paraId="0E68B72D" w14:textId="77777777" w:rsidR="004205E3" w:rsidRPr="004205E3" w:rsidRDefault="004205E3" w:rsidP="004205E3">
            <w:pPr>
              <w:overflowPunct/>
              <w:autoSpaceDE/>
              <w:adjustRightInd/>
              <w:spacing w:before="0"/>
              <w:textAlignment w:val="auto"/>
              <w:rPr>
                <w:rFonts w:ascii="Calibri" w:hAnsi="Calibri" w:cs="Calibri"/>
                <w:color w:val="000000"/>
                <w:sz w:val="22"/>
                <w:szCs w:val="22"/>
                <w:lang w:val="cs-CZ"/>
              </w:rPr>
            </w:pPr>
            <w:r w:rsidRPr="004205E3">
              <w:rPr>
                <w:rFonts w:ascii="Calibri" w:hAnsi="Calibri" w:cs="Calibri"/>
                <w:color w:val="000000"/>
                <w:sz w:val="22"/>
                <w:szCs w:val="22"/>
                <w:lang w:val="cs-CZ"/>
              </w:rPr>
              <w:t> </w:t>
            </w:r>
          </w:p>
        </w:tc>
        <w:tc>
          <w:tcPr>
            <w:tcW w:w="1265" w:type="dxa"/>
            <w:tcBorders>
              <w:top w:val="nil"/>
              <w:left w:val="nil"/>
              <w:bottom w:val="single" w:sz="8" w:space="0" w:color="2B3346"/>
              <w:right w:val="nil"/>
            </w:tcBorders>
            <w:noWrap/>
            <w:vAlign w:val="bottom"/>
            <w:hideMark/>
          </w:tcPr>
          <w:p w14:paraId="62480493" w14:textId="77777777" w:rsidR="004205E3" w:rsidRPr="004205E3" w:rsidRDefault="004205E3" w:rsidP="004205E3">
            <w:pPr>
              <w:overflowPunct/>
              <w:autoSpaceDE/>
              <w:adjustRightInd/>
              <w:spacing w:before="0"/>
              <w:textAlignment w:val="auto"/>
              <w:rPr>
                <w:rFonts w:ascii="Calibri" w:hAnsi="Calibri" w:cs="Calibri"/>
                <w:color w:val="000000"/>
                <w:sz w:val="22"/>
                <w:szCs w:val="22"/>
                <w:lang w:val="cs-CZ"/>
              </w:rPr>
            </w:pPr>
            <w:r w:rsidRPr="004205E3">
              <w:rPr>
                <w:rFonts w:ascii="Calibri" w:hAnsi="Calibri" w:cs="Calibri"/>
                <w:color w:val="000000"/>
                <w:sz w:val="22"/>
                <w:szCs w:val="22"/>
                <w:lang w:val="cs-CZ"/>
              </w:rPr>
              <w:t> </w:t>
            </w:r>
          </w:p>
        </w:tc>
      </w:tr>
      <w:tr w:rsidR="004205E3" w:rsidRPr="00B95A61" w14:paraId="3977B557" w14:textId="77777777" w:rsidTr="004205E3">
        <w:trPr>
          <w:trHeight w:val="300"/>
        </w:trPr>
        <w:tc>
          <w:tcPr>
            <w:tcW w:w="7026" w:type="dxa"/>
            <w:gridSpan w:val="2"/>
            <w:noWrap/>
            <w:vAlign w:val="center"/>
            <w:hideMark/>
          </w:tcPr>
          <w:p w14:paraId="77C364E1" w14:textId="77777777" w:rsidR="004205E3" w:rsidRPr="004205E3" w:rsidRDefault="004205E3" w:rsidP="004205E3">
            <w:pPr>
              <w:overflowPunct/>
              <w:autoSpaceDE/>
              <w:adjustRightInd/>
              <w:spacing w:before="0"/>
              <w:textAlignment w:val="auto"/>
              <w:rPr>
                <w:rFonts w:ascii="Arial" w:hAnsi="Arial" w:cs="Arial"/>
                <w:color w:val="000000"/>
                <w:sz w:val="15"/>
                <w:szCs w:val="15"/>
                <w:lang w:val="cs-CZ"/>
              </w:rPr>
            </w:pPr>
            <w:r w:rsidRPr="004205E3">
              <w:rPr>
                <w:rFonts w:ascii="Arial" w:hAnsi="Arial" w:cs="Arial"/>
                <w:color w:val="000000"/>
                <w:sz w:val="15"/>
                <w:szCs w:val="15"/>
                <w:lang w:val="cs-CZ"/>
              </w:rPr>
              <w:t xml:space="preserve">Ceník práce je platný od 1. 10. 2024 až do vydání ceníku nového. </w:t>
            </w:r>
          </w:p>
        </w:tc>
        <w:tc>
          <w:tcPr>
            <w:tcW w:w="1265" w:type="dxa"/>
            <w:noWrap/>
            <w:vAlign w:val="bottom"/>
            <w:hideMark/>
          </w:tcPr>
          <w:p w14:paraId="1E020427" w14:textId="77777777" w:rsidR="004205E3" w:rsidRPr="004205E3" w:rsidRDefault="004205E3" w:rsidP="004205E3">
            <w:pPr>
              <w:textAlignment w:val="auto"/>
              <w:rPr>
                <w:rFonts w:ascii="Arial" w:hAnsi="Arial" w:cs="Arial"/>
                <w:color w:val="000000"/>
                <w:sz w:val="15"/>
                <w:szCs w:val="15"/>
                <w:lang w:val="cs-CZ"/>
              </w:rPr>
            </w:pPr>
          </w:p>
        </w:tc>
        <w:tc>
          <w:tcPr>
            <w:tcW w:w="1265" w:type="dxa"/>
            <w:noWrap/>
            <w:vAlign w:val="bottom"/>
            <w:hideMark/>
          </w:tcPr>
          <w:p w14:paraId="4E65FBBF" w14:textId="77777777" w:rsidR="004205E3" w:rsidRPr="004205E3" w:rsidRDefault="004205E3" w:rsidP="004205E3">
            <w:pPr>
              <w:overflowPunct/>
              <w:autoSpaceDE/>
              <w:autoSpaceDN/>
              <w:adjustRightInd/>
              <w:spacing w:before="0"/>
              <w:textAlignment w:val="auto"/>
              <w:rPr>
                <w:sz w:val="20"/>
                <w:lang w:val="cs-CZ"/>
              </w:rPr>
            </w:pPr>
          </w:p>
        </w:tc>
      </w:tr>
      <w:tr w:rsidR="004205E3" w:rsidRPr="00B95A61" w14:paraId="00010755" w14:textId="77777777" w:rsidTr="004205E3">
        <w:trPr>
          <w:trHeight w:val="300"/>
        </w:trPr>
        <w:tc>
          <w:tcPr>
            <w:tcW w:w="5245" w:type="dxa"/>
            <w:noWrap/>
            <w:vAlign w:val="center"/>
            <w:hideMark/>
          </w:tcPr>
          <w:p w14:paraId="4074941C" w14:textId="77777777" w:rsidR="004205E3" w:rsidRPr="004205E3" w:rsidRDefault="004205E3" w:rsidP="004205E3">
            <w:pPr>
              <w:overflowPunct/>
              <w:autoSpaceDE/>
              <w:adjustRightInd/>
              <w:spacing w:before="0"/>
              <w:textAlignment w:val="auto"/>
              <w:rPr>
                <w:rFonts w:ascii="Arial" w:hAnsi="Arial" w:cs="Arial"/>
                <w:color w:val="000000"/>
                <w:sz w:val="15"/>
                <w:szCs w:val="15"/>
                <w:lang w:val="cs-CZ"/>
              </w:rPr>
            </w:pPr>
            <w:r w:rsidRPr="004205E3">
              <w:rPr>
                <w:rFonts w:ascii="Arial" w:hAnsi="Arial" w:cs="Arial"/>
                <w:color w:val="000000"/>
                <w:sz w:val="15"/>
                <w:szCs w:val="15"/>
                <w:lang w:val="cs-CZ"/>
              </w:rPr>
              <w:t>Ceny jsou uvedeny bez DPH.</w:t>
            </w:r>
          </w:p>
        </w:tc>
        <w:tc>
          <w:tcPr>
            <w:tcW w:w="1781" w:type="dxa"/>
            <w:noWrap/>
            <w:vAlign w:val="bottom"/>
            <w:hideMark/>
          </w:tcPr>
          <w:p w14:paraId="5362D747" w14:textId="77777777" w:rsidR="004205E3" w:rsidRPr="004205E3" w:rsidRDefault="004205E3" w:rsidP="004205E3">
            <w:pPr>
              <w:textAlignment w:val="auto"/>
              <w:rPr>
                <w:rFonts w:ascii="Arial" w:hAnsi="Arial" w:cs="Arial"/>
                <w:color w:val="000000"/>
                <w:sz w:val="15"/>
                <w:szCs w:val="15"/>
                <w:lang w:val="cs-CZ"/>
              </w:rPr>
            </w:pPr>
          </w:p>
        </w:tc>
        <w:tc>
          <w:tcPr>
            <w:tcW w:w="1265" w:type="dxa"/>
            <w:noWrap/>
            <w:vAlign w:val="bottom"/>
            <w:hideMark/>
          </w:tcPr>
          <w:p w14:paraId="11E9A838" w14:textId="77777777" w:rsidR="004205E3" w:rsidRPr="004205E3" w:rsidRDefault="004205E3" w:rsidP="004205E3">
            <w:pPr>
              <w:overflowPunct/>
              <w:autoSpaceDE/>
              <w:autoSpaceDN/>
              <w:adjustRightInd/>
              <w:spacing w:before="0"/>
              <w:textAlignment w:val="auto"/>
              <w:rPr>
                <w:sz w:val="20"/>
                <w:lang w:val="cs-CZ"/>
              </w:rPr>
            </w:pPr>
          </w:p>
        </w:tc>
        <w:tc>
          <w:tcPr>
            <w:tcW w:w="1265" w:type="dxa"/>
            <w:noWrap/>
            <w:vAlign w:val="bottom"/>
            <w:hideMark/>
          </w:tcPr>
          <w:p w14:paraId="4BE735A0" w14:textId="77777777" w:rsidR="004205E3" w:rsidRPr="004205E3" w:rsidRDefault="004205E3" w:rsidP="004205E3">
            <w:pPr>
              <w:overflowPunct/>
              <w:autoSpaceDE/>
              <w:autoSpaceDN/>
              <w:adjustRightInd/>
              <w:spacing w:before="0"/>
              <w:textAlignment w:val="auto"/>
              <w:rPr>
                <w:sz w:val="20"/>
                <w:lang w:val="cs-CZ"/>
              </w:rPr>
            </w:pPr>
          </w:p>
        </w:tc>
      </w:tr>
    </w:tbl>
    <w:p w14:paraId="4282F0F1" w14:textId="77777777" w:rsidR="004205E3" w:rsidRPr="00E74302" w:rsidRDefault="004205E3" w:rsidP="004205E3">
      <w:pPr>
        <w:spacing w:before="0"/>
        <w:jc w:val="both"/>
        <w:outlineLvl w:val="0"/>
        <w:rPr>
          <w:bCs/>
          <w:szCs w:val="24"/>
          <w:lang w:val="cs-CZ"/>
        </w:rPr>
      </w:pPr>
    </w:p>
    <w:sectPr w:rsidR="004205E3" w:rsidRPr="00E74302">
      <w:headerReference w:type="default" r:id="rId8"/>
      <w:footerReference w:type="default" r:id="rId9"/>
      <w:footerReference w:type="first" r:id="rId10"/>
      <w:pgSz w:w="11901" w:h="16834"/>
      <w:pgMar w:top="1418" w:right="1418" w:bottom="1418" w:left="1418" w:header="708" w:footer="708" w:gutter="0"/>
      <w:paperSrc w:first="1" w:other="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B6DF" w14:textId="77777777" w:rsidR="00C03FEB" w:rsidRDefault="00C03FEB">
      <w:r>
        <w:separator/>
      </w:r>
    </w:p>
  </w:endnote>
  <w:endnote w:type="continuationSeparator" w:id="0">
    <w:p w14:paraId="4403AC22" w14:textId="77777777" w:rsidR="00C03FEB" w:rsidRDefault="00C0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155B" w14:textId="77777777" w:rsidR="00A5649A" w:rsidRDefault="00A5649A">
    <w:pPr>
      <w:pStyle w:val="Zpat"/>
      <w:jc w:val="center"/>
      <w:rPr>
        <w:sz w:val="16"/>
      </w:rPr>
    </w:pPr>
    <w:r>
      <w:rPr>
        <w:sz w:val="16"/>
      </w:rPr>
      <w:t xml:space="preserve">Strana </w:t>
    </w:r>
    <w:r>
      <w:rPr>
        <w:rStyle w:val="slostrnky"/>
        <w:sz w:val="16"/>
      </w:rPr>
      <w:fldChar w:fldCharType="begin"/>
    </w:r>
    <w:r>
      <w:rPr>
        <w:rStyle w:val="slostrnky"/>
        <w:sz w:val="16"/>
      </w:rPr>
      <w:instrText xml:space="preserve"> PAGE </w:instrText>
    </w:r>
    <w:r>
      <w:rPr>
        <w:rStyle w:val="slostrnky"/>
        <w:sz w:val="16"/>
      </w:rPr>
      <w:fldChar w:fldCharType="separate"/>
    </w:r>
    <w:r w:rsidR="00773780">
      <w:rPr>
        <w:rStyle w:val="slostrnky"/>
        <w:noProof/>
        <w:sz w:val="16"/>
      </w:rPr>
      <w:t>5</w:t>
    </w:r>
    <w:r>
      <w:rPr>
        <w:rStyle w:val="slostrnky"/>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B102" w14:textId="77777777" w:rsidR="00A5649A" w:rsidRDefault="00A5649A">
    <w:pPr>
      <w:pStyle w:val="Zpat"/>
      <w:jc w:val="center"/>
      <w:rPr>
        <w:sz w:val="16"/>
      </w:rPr>
    </w:pPr>
    <w:r>
      <w:rPr>
        <w:sz w:val="16"/>
      </w:rPr>
      <w:t xml:space="preserve">Strana </w:t>
    </w:r>
    <w:r>
      <w:rPr>
        <w:rStyle w:val="slostrnky"/>
        <w:sz w:val="16"/>
      </w:rPr>
      <w:fldChar w:fldCharType="begin"/>
    </w:r>
    <w:r>
      <w:rPr>
        <w:rStyle w:val="slostrnky"/>
        <w:sz w:val="16"/>
      </w:rPr>
      <w:instrText xml:space="preserve"> PAGE </w:instrText>
    </w:r>
    <w:r>
      <w:rPr>
        <w:rStyle w:val="slostrnky"/>
        <w:sz w:val="16"/>
      </w:rPr>
      <w:fldChar w:fldCharType="separate"/>
    </w:r>
    <w:r w:rsidR="00773780">
      <w:rPr>
        <w:rStyle w:val="slostrnky"/>
        <w:noProof/>
        <w:sz w:val="16"/>
      </w:rPr>
      <w:t>1</w:t>
    </w:r>
    <w:r>
      <w:rPr>
        <w:rStyle w:val="slostrnky"/>
        <w:sz w:val="16"/>
      </w:rPr>
      <w:fldChar w:fldCharType="end"/>
    </w:r>
    <w:r>
      <w:rPr>
        <w:rStyle w:val="slostrnky"/>
        <w:sz w:val="16"/>
      </w:rPr>
      <w:t xml:space="preserve"> z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98EB" w14:textId="77777777" w:rsidR="00C03FEB" w:rsidRDefault="00C03FEB">
      <w:r>
        <w:separator/>
      </w:r>
    </w:p>
  </w:footnote>
  <w:footnote w:type="continuationSeparator" w:id="0">
    <w:p w14:paraId="6FDE7172" w14:textId="77777777" w:rsidR="00C03FEB" w:rsidRDefault="00C03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08CD" w14:textId="77777777" w:rsidR="00A5649A" w:rsidRPr="00626186" w:rsidRDefault="00A5649A">
    <w:pPr>
      <w:pStyle w:val="Zhlav"/>
      <w:rPr>
        <w:sz w:val="16"/>
        <w:lang w:val="cs-CZ"/>
      </w:rPr>
    </w:pPr>
    <w:r>
      <w:rPr>
        <w:sz w:val="16"/>
      </w:rPr>
      <w:tab/>
    </w:r>
    <w:r w:rsidRPr="00626186">
      <w:rPr>
        <w:sz w:val="16"/>
        <w:lang w:val="cs-CZ"/>
      </w:rPr>
      <w:t xml:space="preserve">Smlouva o poskytování služeb č. </w:t>
    </w:r>
    <w:r w:rsidR="00CB093E">
      <w:rPr>
        <w:sz w:val="16"/>
        <w:lang w:val="cs-CZ"/>
      </w:rPr>
      <w:t>SoPS0</w:t>
    </w:r>
    <w:r w:rsidR="00C86CDC">
      <w:rPr>
        <w:sz w:val="16"/>
        <w:lang w:val="cs-CZ"/>
      </w:rPr>
      <w:t>8</w:t>
    </w:r>
    <w:r w:rsidR="002E33CD">
      <w:rPr>
        <w:sz w:val="16"/>
        <w:lang w:val="cs-CZ"/>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76A"/>
    <w:multiLevelType w:val="multilevel"/>
    <w:tmpl w:val="9F146E6C"/>
    <w:lvl w:ilvl="0">
      <w:start w:val="1"/>
      <w:numFmt w:val="lowerLetter"/>
      <w:lvlText w:val="%1)"/>
      <w:lvlJc w:val="left"/>
      <w:pPr>
        <w:tabs>
          <w:tab w:val="num" w:pos="1120"/>
        </w:tabs>
        <w:ind w:left="1120" w:hanging="360"/>
      </w:pPr>
      <w:rPr>
        <w:rFonts w:hint="default"/>
        <w:b/>
        <w:i w:val="0"/>
        <w:sz w:val="22"/>
      </w:rPr>
    </w:lvl>
    <w:lvl w:ilvl="1">
      <w:start w:val="4"/>
      <w:numFmt w:val="decimal"/>
      <w:lvlText w:val="1.%2."/>
      <w:lvlJc w:val="left"/>
      <w:pPr>
        <w:tabs>
          <w:tab w:val="num" w:pos="1840"/>
        </w:tabs>
        <w:ind w:left="1840" w:hanging="360"/>
      </w:pPr>
      <w:rPr>
        <w:rFonts w:ascii="Times New Roman" w:hAnsi="Times New Roman" w:hint="default"/>
        <w:b/>
        <w:i w:val="0"/>
        <w:sz w:val="22"/>
      </w:rPr>
    </w:lvl>
    <w:lvl w:ilvl="2">
      <w:start w:val="1"/>
      <w:numFmt w:val="lowerRoman"/>
      <w:lvlText w:val="%3."/>
      <w:lvlJc w:val="right"/>
      <w:pPr>
        <w:tabs>
          <w:tab w:val="num" w:pos="2560"/>
        </w:tabs>
        <w:ind w:left="2560" w:hanging="180"/>
      </w:pPr>
      <w:rPr>
        <w:rFonts w:hint="default"/>
      </w:rPr>
    </w:lvl>
    <w:lvl w:ilvl="3">
      <w:start w:val="1"/>
      <w:numFmt w:val="decimal"/>
      <w:lvlText w:val="%4."/>
      <w:lvlJc w:val="left"/>
      <w:pPr>
        <w:tabs>
          <w:tab w:val="num" w:pos="3280"/>
        </w:tabs>
        <w:ind w:left="3280" w:hanging="360"/>
      </w:pPr>
      <w:rPr>
        <w:rFonts w:hint="default"/>
      </w:rPr>
    </w:lvl>
    <w:lvl w:ilvl="4">
      <w:start w:val="1"/>
      <w:numFmt w:val="lowerLetter"/>
      <w:lvlText w:val="%5."/>
      <w:lvlJc w:val="left"/>
      <w:pPr>
        <w:tabs>
          <w:tab w:val="num" w:pos="4000"/>
        </w:tabs>
        <w:ind w:left="4000" w:hanging="360"/>
      </w:pPr>
      <w:rPr>
        <w:rFonts w:hint="default"/>
      </w:rPr>
    </w:lvl>
    <w:lvl w:ilvl="5">
      <w:start w:val="1"/>
      <w:numFmt w:val="lowerRoman"/>
      <w:lvlText w:val="%6."/>
      <w:lvlJc w:val="right"/>
      <w:pPr>
        <w:tabs>
          <w:tab w:val="num" w:pos="4720"/>
        </w:tabs>
        <w:ind w:left="4720" w:hanging="180"/>
      </w:pPr>
      <w:rPr>
        <w:rFonts w:hint="default"/>
      </w:rPr>
    </w:lvl>
    <w:lvl w:ilvl="6">
      <w:start w:val="1"/>
      <w:numFmt w:val="decimal"/>
      <w:lvlText w:val="%7."/>
      <w:lvlJc w:val="left"/>
      <w:pPr>
        <w:tabs>
          <w:tab w:val="num" w:pos="5440"/>
        </w:tabs>
        <w:ind w:left="5440" w:hanging="360"/>
      </w:pPr>
      <w:rPr>
        <w:rFonts w:hint="default"/>
      </w:rPr>
    </w:lvl>
    <w:lvl w:ilvl="7">
      <w:start w:val="1"/>
      <w:numFmt w:val="lowerLetter"/>
      <w:lvlText w:val="%8."/>
      <w:lvlJc w:val="left"/>
      <w:pPr>
        <w:tabs>
          <w:tab w:val="num" w:pos="6160"/>
        </w:tabs>
        <w:ind w:left="6160" w:hanging="360"/>
      </w:pPr>
      <w:rPr>
        <w:rFonts w:hint="default"/>
      </w:rPr>
    </w:lvl>
    <w:lvl w:ilvl="8">
      <w:start w:val="1"/>
      <w:numFmt w:val="lowerRoman"/>
      <w:lvlText w:val="%9."/>
      <w:lvlJc w:val="right"/>
      <w:pPr>
        <w:tabs>
          <w:tab w:val="num" w:pos="6880"/>
        </w:tabs>
        <w:ind w:left="6880" w:hanging="180"/>
      </w:pPr>
      <w:rPr>
        <w:rFonts w:hint="default"/>
      </w:rPr>
    </w:lvl>
  </w:abstractNum>
  <w:abstractNum w:abstractNumId="1" w15:restartNumberingAfterBreak="0">
    <w:nsid w:val="099A0B6A"/>
    <w:multiLevelType w:val="hybridMultilevel"/>
    <w:tmpl w:val="F558EB18"/>
    <w:lvl w:ilvl="0" w:tplc="027E1F2E">
      <w:start w:val="1"/>
      <w:numFmt w:val="lowerLetter"/>
      <w:lvlText w:val="%1) "/>
      <w:lvlJc w:val="left"/>
      <w:pPr>
        <w:tabs>
          <w:tab w:val="num" w:pos="570"/>
        </w:tabs>
        <w:ind w:left="1987" w:hanging="283"/>
      </w:pPr>
      <w:rPr>
        <w:rFonts w:ascii="Times New Roman" w:hAnsi="Times New Roman" w:cs="Times New Roman" w:hint="default"/>
        <w:b w:val="0"/>
        <w:i w:val="0"/>
        <w:sz w:val="20"/>
        <w:szCs w:val="20"/>
        <w:u w:val="none"/>
      </w:rPr>
    </w:lvl>
    <w:lvl w:ilvl="1" w:tplc="AC024624">
      <w:start w:val="1"/>
      <w:numFmt w:val="decimal"/>
      <w:lvlText w:val="%2."/>
      <w:lvlJc w:val="left"/>
      <w:pPr>
        <w:tabs>
          <w:tab w:val="num" w:pos="3144"/>
        </w:tabs>
        <w:ind w:left="3144" w:hanging="360"/>
      </w:pPr>
      <w:rPr>
        <w:rFonts w:hint="default"/>
      </w:rPr>
    </w:lvl>
    <w:lvl w:ilvl="2" w:tplc="0405001B" w:tentative="1">
      <w:start w:val="1"/>
      <w:numFmt w:val="lowerRoman"/>
      <w:lvlText w:val="%3."/>
      <w:lvlJc w:val="right"/>
      <w:pPr>
        <w:tabs>
          <w:tab w:val="num" w:pos="3864"/>
        </w:tabs>
        <w:ind w:left="3864" w:hanging="180"/>
      </w:pPr>
    </w:lvl>
    <w:lvl w:ilvl="3" w:tplc="0405000F" w:tentative="1">
      <w:start w:val="1"/>
      <w:numFmt w:val="decimal"/>
      <w:lvlText w:val="%4."/>
      <w:lvlJc w:val="left"/>
      <w:pPr>
        <w:tabs>
          <w:tab w:val="num" w:pos="4584"/>
        </w:tabs>
        <w:ind w:left="4584" w:hanging="360"/>
      </w:pPr>
    </w:lvl>
    <w:lvl w:ilvl="4" w:tplc="04050019" w:tentative="1">
      <w:start w:val="1"/>
      <w:numFmt w:val="lowerLetter"/>
      <w:lvlText w:val="%5."/>
      <w:lvlJc w:val="left"/>
      <w:pPr>
        <w:tabs>
          <w:tab w:val="num" w:pos="5304"/>
        </w:tabs>
        <w:ind w:left="5304" w:hanging="360"/>
      </w:pPr>
    </w:lvl>
    <w:lvl w:ilvl="5" w:tplc="0405001B" w:tentative="1">
      <w:start w:val="1"/>
      <w:numFmt w:val="lowerRoman"/>
      <w:lvlText w:val="%6."/>
      <w:lvlJc w:val="right"/>
      <w:pPr>
        <w:tabs>
          <w:tab w:val="num" w:pos="6024"/>
        </w:tabs>
        <w:ind w:left="6024" w:hanging="180"/>
      </w:pPr>
    </w:lvl>
    <w:lvl w:ilvl="6" w:tplc="0405000F" w:tentative="1">
      <w:start w:val="1"/>
      <w:numFmt w:val="decimal"/>
      <w:lvlText w:val="%7."/>
      <w:lvlJc w:val="left"/>
      <w:pPr>
        <w:tabs>
          <w:tab w:val="num" w:pos="6744"/>
        </w:tabs>
        <w:ind w:left="6744" w:hanging="360"/>
      </w:pPr>
    </w:lvl>
    <w:lvl w:ilvl="7" w:tplc="04050019" w:tentative="1">
      <w:start w:val="1"/>
      <w:numFmt w:val="lowerLetter"/>
      <w:lvlText w:val="%8."/>
      <w:lvlJc w:val="left"/>
      <w:pPr>
        <w:tabs>
          <w:tab w:val="num" w:pos="7464"/>
        </w:tabs>
        <w:ind w:left="7464" w:hanging="360"/>
      </w:pPr>
    </w:lvl>
    <w:lvl w:ilvl="8" w:tplc="0405001B" w:tentative="1">
      <w:start w:val="1"/>
      <w:numFmt w:val="lowerRoman"/>
      <w:lvlText w:val="%9."/>
      <w:lvlJc w:val="right"/>
      <w:pPr>
        <w:tabs>
          <w:tab w:val="num" w:pos="8184"/>
        </w:tabs>
        <w:ind w:left="8184" w:hanging="180"/>
      </w:pPr>
    </w:lvl>
  </w:abstractNum>
  <w:abstractNum w:abstractNumId="2" w15:restartNumberingAfterBreak="0">
    <w:nsid w:val="0CC06338"/>
    <w:multiLevelType w:val="hybridMultilevel"/>
    <w:tmpl w:val="547814F0"/>
    <w:lvl w:ilvl="0" w:tplc="04050003">
      <w:start w:val="1"/>
      <w:numFmt w:val="bullet"/>
      <w:lvlText w:val="o"/>
      <w:lvlJc w:val="left"/>
      <w:pPr>
        <w:tabs>
          <w:tab w:val="num" w:pos="1560"/>
        </w:tabs>
        <w:ind w:left="1560" w:hanging="360"/>
      </w:pPr>
      <w:rPr>
        <w:rFonts w:ascii="Courier New" w:hAnsi="Courier New" w:cs="Courier New" w:hint="default"/>
      </w:rPr>
    </w:lvl>
    <w:lvl w:ilvl="1" w:tplc="04050003">
      <w:start w:val="1"/>
      <w:numFmt w:val="bullet"/>
      <w:lvlText w:val="o"/>
      <w:lvlJc w:val="left"/>
      <w:pPr>
        <w:tabs>
          <w:tab w:val="num" w:pos="2280"/>
        </w:tabs>
        <w:ind w:left="2280" w:hanging="360"/>
      </w:pPr>
      <w:rPr>
        <w:rFonts w:ascii="Courier New" w:hAnsi="Courier New" w:cs="Courier New" w:hint="default"/>
      </w:rPr>
    </w:lvl>
    <w:lvl w:ilvl="2" w:tplc="04050005">
      <w:start w:val="1"/>
      <w:numFmt w:val="bullet"/>
      <w:lvlText w:val=""/>
      <w:lvlJc w:val="left"/>
      <w:pPr>
        <w:tabs>
          <w:tab w:val="num" w:pos="3000"/>
        </w:tabs>
        <w:ind w:left="3000" w:hanging="360"/>
      </w:pPr>
      <w:rPr>
        <w:rFonts w:ascii="Wingdings" w:hAnsi="Wingdings" w:cs="Wingdings" w:hint="default"/>
      </w:rPr>
    </w:lvl>
    <w:lvl w:ilvl="3" w:tplc="04050001">
      <w:start w:val="1"/>
      <w:numFmt w:val="bullet"/>
      <w:lvlText w:val=""/>
      <w:lvlJc w:val="left"/>
      <w:pPr>
        <w:tabs>
          <w:tab w:val="num" w:pos="3720"/>
        </w:tabs>
        <w:ind w:left="3720" w:hanging="360"/>
      </w:pPr>
      <w:rPr>
        <w:rFonts w:ascii="Symbol" w:hAnsi="Symbol" w:cs="Symbol" w:hint="default"/>
      </w:rPr>
    </w:lvl>
    <w:lvl w:ilvl="4" w:tplc="04050003">
      <w:start w:val="1"/>
      <w:numFmt w:val="bullet"/>
      <w:lvlText w:val="o"/>
      <w:lvlJc w:val="left"/>
      <w:pPr>
        <w:tabs>
          <w:tab w:val="num" w:pos="4440"/>
        </w:tabs>
        <w:ind w:left="4440" w:hanging="360"/>
      </w:pPr>
      <w:rPr>
        <w:rFonts w:ascii="Courier New" w:hAnsi="Courier New" w:cs="Courier New" w:hint="default"/>
      </w:rPr>
    </w:lvl>
    <w:lvl w:ilvl="5" w:tplc="04050005">
      <w:start w:val="1"/>
      <w:numFmt w:val="bullet"/>
      <w:lvlText w:val=""/>
      <w:lvlJc w:val="left"/>
      <w:pPr>
        <w:tabs>
          <w:tab w:val="num" w:pos="5160"/>
        </w:tabs>
        <w:ind w:left="5160" w:hanging="360"/>
      </w:pPr>
      <w:rPr>
        <w:rFonts w:ascii="Wingdings" w:hAnsi="Wingdings" w:cs="Wingdings" w:hint="default"/>
      </w:rPr>
    </w:lvl>
    <w:lvl w:ilvl="6" w:tplc="04050001">
      <w:start w:val="1"/>
      <w:numFmt w:val="bullet"/>
      <w:lvlText w:val=""/>
      <w:lvlJc w:val="left"/>
      <w:pPr>
        <w:tabs>
          <w:tab w:val="num" w:pos="5880"/>
        </w:tabs>
        <w:ind w:left="5880" w:hanging="360"/>
      </w:pPr>
      <w:rPr>
        <w:rFonts w:ascii="Symbol" w:hAnsi="Symbol" w:cs="Symbol" w:hint="default"/>
      </w:rPr>
    </w:lvl>
    <w:lvl w:ilvl="7" w:tplc="04050003">
      <w:start w:val="1"/>
      <w:numFmt w:val="bullet"/>
      <w:lvlText w:val="o"/>
      <w:lvlJc w:val="left"/>
      <w:pPr>
        <w:tabs>
          <w:tab w:val="num" w:pos="6600"/>
        </w:tabs>
        <w:ind w:left="6600" w:hanging="360"/>
      </w:pPr>
      <w:rPr>
        <w:rFonts w:ascii="Courier New" w:hAnsi="Courier New" w:cs="Courier New" w:hint="default"/>
      </w:rPr>
    </w:lvl>
    <w:lvl w:ilvl="8" w:tplc="04050005">
      <w:start w:val="1"/>
      <w:numFmt w:val="bullet"/>
      <w:lvlText w:val=""/>
      <w:lvlJc w:val="left"/>
      <w:pPr>
        <w:tabs>
          <w:tab w:val="num" w:pos="7320"/>
        </w:tabs>
        <w:ind w:left="7320" w:hanging="360"/>
      </w:pPr>
      <w:rPr>
        <w:rFonts w:ascii="Wingdings" w:hAnsi="Wingdings" w:cs="Wingdings" w:hint="default"/>
      </w:rPr>
    </w:lvl>
  </w:abstractNum>
  <w:abstractNum w:abstractNumId="3" w15:restartNumberingAfterBreak="0">
    <w:nsid w:val="0DB21B94"/>
    <w:multiLevelType w:val="hybridMultilevel"/>
    <w:tmpl w:val="4552BC6C"/>
    <w:lvl w:ilvl="0" w:tplc="0405000F">
      <w:start w:val="1"/>
      <w:numFmt w:val="decimal"/>
      <w:lvlText w:val="%1."/>
      <w:lvlJc w:val="left"/>
      <w:pPr>
        <w:tabs>
          <w:tab w:val="num" w:pos="720"/>
        </w:tabs>
        <w:ind w:left="720" w:hanging="360"/>
      </w:pPr>
      <w:rPr>
        <w:rFonts w:hint="default"/>
      </w:rPr>
    </w:lvl>
    <w:lvl w:ilvl="1" w:tplc="027E1F2E">
      <w:start w:val="1"/>
      <w:numFmt w:val="lowerLetter"/>
      <w:lvlText w:val="%2) "/>
      <w:lvlJc w:val="left"/>
      <w:pPr>
        <w:tabs>
          <w:tab w:val="num" w:pos="-54"/>
        </w:tabs>
        <w:ind w:left="1363" w:hanging="283"/>
      </w:pPr>
      <w:rPr>
        <w:rFonts w:ascii="Times New Roman" w:hAnsi="Times New Roman" w:cs="Times New Roman" w:hint="default"/>
        <w:b w:val="0"/>
        <w:i w:val="0"/>
        <w:sz w:val="20"/>
        <w:szCs w:val="2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E35ED7"/>
    <w:multiLevelType w:val="hybridMultilevel"/>
    <w:tmpl w:val="45647BA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0DF80FA3"/>
    <w:multiLevelType w:val="hybridMultilevel"/>
    <w:tmpl w:val="3B34C162"/>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A6450"/>
    <w:multiLevelType w:val="hybridMultilevel"/>
    <w:tmpl w:val="B9AC8AEA"/>
    <w:lvl w:ilvl="0" w:tplc="D3341122">
      <w:start w:val="1"/>
      <w:numFmt w:val="decimal"/>
      <w:lvlText w:val="%1."/>
      <w:lvlJc w:val="left"/>
      <w:pPr>
        <w:tabs>
          <w:tab w:val="num" w:pos="720"/>
        </w:tabs>
        <w:ind w:left="1004" w:hanging="284"/>
      </w:pPr>
      <w:rPr>
        <w:rFonts w:hint="default"/>
      </w:rPr>
    </w:lvl>
    <w:lvl w:ilvl="1" w:tplc="08D41E80">
      <w:start w:val="1"/>
      <w:numFmt w:val="lowerLetter"/>
      <w:lvlText w:val="%2) "/>
      <w:lvlJc w:val="left"/>
      <w:pPr>
        <w:tabs>
          <w:tab w:val="num" w:pos="666"/>
        </w:tabs>
        <w:ind w:left="2083" w:hanging="283"/>
      </w:pPr>
      <w:rPr>
        <w:rFonts w:ascii="Times New Roman" w:hAnsi="Times New Roman" w:cs="Times New Roman" w:hint="default"/>
        <w:b w:val="0"/>
        <w:i w:val="0"/>
        <w:sz w:val="20"/>
        <w:szCs w:val="20"/>
        <w:u w:val="none"/>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 w15:restartNumberingAfterBreak="0">
    <w:nsid w:val="0FC11A8F"/>
    <w:multiLevelType w:val="hybridMultilevel"/>
    <w:tmpl w:val="372AB36C"/>
    <w:lvl w:ilvl="0" w:tplc="04050001">
      <w:start w:val="1"/>
      <w:numFmt w:val="bullet"/>
      <w:lvlText w:val=""/>
      <w:lvlJc w:val="left"/>
      <w:pPr>
        <w:tabs>
          <w:tab w:val="num" w:pos="1560"/>
        </w:tabs>
        <w:ind w:left="1560" w:hanging="360"/>
      </w:pPr>
      <w:rPr>
        <w:rFonts w:ascii="Symbol" w:hAnsi="Symbol" w:cs="Symbol" w:hint="default"/>
      </w:rPr>
    </w:lvl>
    <w:lvl w:ilvl="1" w:tplc="04050003">
      <w:start w:val="1"/>
      <w:numFmt w:val="bullet"/>
      <w:lvlText w:val="o"/>
      <w:lvlJc w:val="left"/>
      <w:pPr>
        <w:tabs>
          <w:tab w:val="num" w:pos="2280"/>
        </w:tabs>
        <w:ind w:left="2280" w:hanging="360"/>
      </w:pPr>
      <w:rPr>
        <w:rFonts w:ascii="Courier New" w:hAnsi="Courier New" w:cs="Courier New" w:hint="default"/>
      </w:rPr>
    </w:lvl>
    <w:lvl w:ilvl="2" w:tplc="04050005">
      <w:start w:val="1"/>
      <w:numFmt w:val="bullet"/>
      <w:lvlText w:val=""/>
      <w:lvlJc w:val="left"/>
      <w:pPr>
        <w:tabs>
          <w:tab w:val="num" w:pos="3000"/>
        </w:tabs>
        <w:ind w:left="3000" w:hanging="360"/>
      </w:pPr>
      <w:rPr>
        <w:rFonts w:ascii="Wingdings" w:hAnsi="Wingdings" w:cs="Wingdings" w:hint="default"/>
      </w:rPr>
    </w:lvl>
    <w:lvl w:ilvl="3" w:tplc="04050001">
      <w:start w:val="1"/>
      <w:numFmt w:val="bullet"/>
      <w:lvlText w:val=""/>
      <w:lvlJc w:val="left"/>
      <w:pPr>
        <w:tabs>
          <w:tab w:val="num" w:pos="3720"/>
        </w:tabs>
        <w:ind w:left="3720" w:hanging="360"/>
      </w:pPr>
      <w:rPr>
        <w:rFonts w:ascii="Symbol" w:hAnsi="Symbol" w:cs="Symbol" w:hint="default"/>
      </w:rPr>
    </w:lvl>
    <w:lvl w:ilvl="4" w:tplc="04050003">
      <w:start w:val="1"/>
      <w:numFmt w:val="bullet"/>
      <w:lvlText w:val="o"/>
      <w:lvlJc w:val="left"/>
      <w:pPr>
        <w:tabs>
          <w:tab w:val="num" w:pos="4440"/>
        </w:tabs>
        <w:ind w:left="4440" w:hanging="360"/>
      </w:pPr>
      <w:rPr>
        <w:rFonts w:ascii="Courier New" w:hAnsi="Courier New" w:cs="Courier New" w:hint="default"/>
      </w:rPr>
    </w:lvl>
    <w:lvl w:ilvl="5" w:tplc="04050005">
      <w:start w:val="1"/>
      <w:numFmt w:val="bullet"/>
      <w:lvlText w:val=""/>
      <w:lvlJc w:val="left"/>
      <w:pPr>
        <w:tabs>
          <w:tab w:val="num" w:pos="5160"/>
        </w:tabs>
        <w:ind w:left="5160" w:hanging="360"/>
      </w:pPr>
      <w:rPr>
        <w:rFonts w:ascii="Wingdings" w:hAnsi="Wingdings" w:cs="Wingdings" w:hint="default"/>
      </w:rPr>
    </w:lvl>
    <w:lvl w:ilvl="6" w:tplc="04050001">
      <w:start w:val="1"/>
      <w:numFmt w:val="bullet"/>
      <w:lvlText w:val=""/>
      <w:lvlJc w:val="left"/>
      <w:pPr>
        <w:tabs>
          <w:tab w:val="num" w:pos="5880"/>
        </w:tabs>
        <w:ind w:left="5880" w:hanging="360"/>
      </w:pPr>
      <w:rPr>
        <w:rFonts w:ascii="Symbol" w:hAnsi="Symbol" w:cs="Symbol" w:hint="default"/>
      </w:rPr>
    </w:lvl>
    <w:lvl w:ilvl="7" w:tplc="04050003">
      <w:start w:val="1"/>
      <w:numFmt w:val="bullet"/>
      <w:lvlText w:val="o"/>
      <w:lvlJc w:val="left"/>
      <w:pPr>
        <w:tabs>
          <w:tab w:val="num" w:pos="6600"/>
        </w:tabs>
        <w:ind w:left="6600" w:hanging="360"/>
      </w:pPr>
      <w:rPr>
        <w:rFonts w:ascii="Courier New" w:hAnsi="Courier New" w:cs="Courier New" w:hint="default"/>
      </w:rPr>
    </w:lvl>
    <w:lvl w:ilvl="8" w:tplc="04050005">
      <w:start w:val="1"/>
      <w:numFmt w:val="bullet"/>
      <w:lvlText w:val=""/>
      <w:lvlJc w:val="left"/>
      <w:pPr>
        <w:tabs>
          <w:tab w:val="num" w:pos="7320"/>
        </w:tabs>
        <w:ind w:left="7320" w:hanging="360"/>
      </w:pPr>
      <w:rPr>
        <w:rFonts w:ascii="Wingdings" w:hAnsi="Wingdings" w:cs="Wingdings" w:hint="default"/>
      </w:rPr>
    </w:lvl>
  </w:abstractNum>
  <w:abstractNum w:abstractNumId="8" w15:restartNumberingAfterBreak="0">
    <w:nsid w:val="113016A1"/>
    <w:multiLevelType w:val="singleLevel"/>
    <w:tmpl w:val="C4BE61CA"/>
    <w:lvl w:ilvl="0">
      <w:start w:val="2"/>
      <w:numFmt w:val="decimal"/>
      <w:lvlText w:val="%1. "/>
      <w:legacy w:legacy="1" w:legacySpace="0" w:legacyIndent="283"/>
      <w:lvlJc w:val="left"/>
      <w:pPr>
        <w:ind w:left="283" w:hanging="283"/>
      </w:pPr>
      <w:rPr>
        <w:b w:val="0"/>
        <w:i w:val="0"/>
        <w:sz w:val="24"/>
        <w:szCs w:val="24"/>
      </w:rPr>
    </w:lvl>
  </w:abstractNum>
  <w:abstractNum w:abstractNumId="9" w15:restartNumberingAfterBreak="0">
    <w:nsid w:val="114C4E5F"/>
    <w:multiLevelType w:val="hybridMultilevel"/>
    <w:tmpl w:val="C83652E2"/>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10" w15:restartNumberingAfterBreak="0">
    <w:nsid w:val="132D4A0F"/>
    <w:multiLevelType w:val="hybridMultilevel"/>
    <w:tmpl w:val="C9B856EC"/>
    <w:lvl w:ilvl="0" w:tplc="D3341122">
      <w:start w:val="1"/>
      <w:numFmt w:val="decimal"/>
      <w:lvlText w:val="%1."/>
      <w:lvlJc w:val="left"/>
      <w:pPr>
        <w:tabs>
          <w:tab w:val="num" w:pos="0"/>
        </w:tabs>
        <w:ind w:left="284" w:hanging="284"/>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1" w15:restartNumberingAfterBreak="0">
    <w:nsid w:val="14E835E3"/>
    <w:multiLevelType w:val="hybridMultilevel"/>
    <w:tmpl w:val="BEE01768"/>
    <w:lvl w:ilvl="0" w:tplc="0405000F">
      <w:start w:val="2"/>
      <w:numFmt w:val="decimal"/>
      <w:lvlText w:val="%1."/>
      <w:lvlJc w:val="left"/>
      <w:pPr>
        <w:tabs>
          <w:tab w:val="num" w:pos="720"/>
        </w:tabs>
        <w:ind w:left="720" w:hanging="360"/>
      </w:pPr>
      <w:rPr>
        <w:rFonts w:hint="default"/>
      </w:rPr>
    </w:lvl>
    <w:lvl w:ilvl="1" w:tplc="08D41E80">
      <w:start w:val="1"/>
      <w:numFmt w:val="lowerLetter"/>
      <w:lvlText w:val="%2) "/>
      <w:lvlJc w:val="left"/>
      <w:pPr>
        <w:tabs>
          <w:tab w:val="num" w:pos="-54"/>
        </w:tabs>
        <w:ind w:left="1363" w:hanging="283"/>
      </w:pPr>
      <w:rPr>
        <w:rFonts w:ascii="Times New Roman" w:hAnsi="Times New Roman" w:cs="Times New Roman" w:hint="default"/>
        <w:b w:val="0"/>
        <w:i w:val="0"/>
        <w:sz w:val="20"/>
        <w:szCs w:val="20"/>
        <w:u w:val="no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99F2BB7"/>
    <w:multiLevelType w:val="hybridMultilevel"/>
    <w:tmpl w:val="BD6A19A8"/>
    <w:lvl w:ilvl="0" w:tplc="B17C95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FB79B1"/>
    <w:multiLevelType w:val="hybridMultilevel"/>
    <w:tmpl w:val="27683EDE"/>
    <w:lvl w:ilvl="0" w:tplc="FFFFFFFF">
      <w:start w:val="1"/>
      <w:numFmt w:val="decimal"/>
      <w:lvlText w:val="1.%1."/>
      <w:lvlJc w:val="left"/>
      <w:pPr>
        <w:tabs>
          <w:tab w:val="num" w:pos="1120"/>
        </w:tabs>
        <w:ind w:left="1120" w:hanging="360"/>
      </w:pPr>
      <w:rPr>
        <w:rFonts w:ascii="Times New Roman" w:hAnsi="Times New Roman" w:hint="default"/>
        <w:b/>
        <w:i w:val="0"/>
        <w:sz w:val="22"/>
      </w:rPr>
    </w:lvl>
    <w:lvl w:ilvl="1" w:tplc="FFFFFFFF">
      <w:start w:val="4"/>
      <w:numFmt w:val="decimal"/>
      <w:lvlText w:val="1.%2."/>
      <w:lvlJc w:val="left"/>
      <w:pPr>
        <w:tabs>
          <w:tab w:val="num" w:pos="1840"/>
        </w:tabs>
        <w:ind w:left="1840" w:hanging="360"/>
      </w:pPr>
      <w:rPr>
        <w:rFonts w:ascii="Times New Roman" w:hAnsi="Times New Roman" w:hint="default"/>
        <w:b/>
        <w:i w:val="0"/>
        <w:sz w:val="22"/>
      </w:rPr>
    </w:lvl>
    <w:lvl w:ilvl="2" w:tplc="FFFFFFFF" w:tentative="1">
      <w:start w:val="1"/>
      <w:numFmt w:val="lowerRoman"/>
      <w:lvlText w:val="%3."/>
      <w:lvlJc w:val="right"/>
      <w:pPr>
        <w:tabs>
          <w:tab w:val="num" w:pos="2560"/>
        </w:tabs>
        <w:ind w:left="2560" w:hanging="180"/>
      </w:pPr>
    </w:lvl>
    <w:lvl w:ilvl="3" w:tplc="FFFFFFFF" w:tentative="1">
      <w:start w:val="1"/>
      <w:numFmt w:val="decimal"/>
      <w:lvlText w:val="%4."/>
      <w:lvlJc w:val="left"/>
      <w:pPr>
        <w:tabs>
          <w:tab w:val="num" w:pos="3280"/>
        </w:tabs>
        <w:ind w:left="3280" w:hanging="360"/>
      </w:pPr>
    </w:lvl>
    <w:lvl w:ilvl="4" w:tplc="FFFFFFFF" w:tentative="1">
      <w:start w:val="1"/>
      <w:numFmt w:val="lowerLetter"/>
      <w:lvlText w:val="%5."/>
      <w:lvlJc w:val="left"/>
      <w:pPr>
        <w:tabs>
          <w:tab w:val="num" w:pos="4000"/>
        </w:tabs>
        <w:ind w:left="4000" w:hanging="360"/>
      </w:pPr>
    </w:lvl>
    <w:lvl w:ilvl="5" w:tplc="FFFFFFFF" w:tentative="1">
      <w:start w:val="1"/>
      <w:numFmt w:val="lowerRoman"/>
      <w:lvlText w:val="%6."/>
      <w:lvlJc w:val="right"/>
      <w:pPr>
        <w:tabs>
          <w:tab w:val="num" w:pos="4720"/>
        </w:tabs>
        <w:ind w:left="4720" w:hanging="180"/>
      </w:pPr>
    </w:lvl>
    <w:lvl w:ilvl="6" w:tplc="FFFFFFFF" w:tentative="1">
      <w:start w:val="1"/>
      <w:numFmt w:val="decimal"/>
      <w:lvlText w:val="%7."/>
      <w:lvlJc w:val="left"/>
      <w:pPr>
        <w:tabs>
          <w:tab w:val="num" w:pos="5440"/>
        </w:tabs>
        <w:ind w:left="5440" w:hanging="360"/>
      </w:pPr>
    </w:lvl>
    <w:lvl w:ilvl="7" w:tplc="FFFFFFFF" w:tentative="1">
      <w:start w:val="1"/>
      <w:numFmt w:val="lowerLetter"/>
      <w:lvlText w:val="%8."/>
      <w:lvlJc w:val="left"/>
      <w:pPr>
        <w:tabs>
          <w:tab w:val="num" w:pos="6160"/>
        </w:tabs>
        <w:ind w:left="6160" w:hanging="360"/>
      </w:pPr>
    </w:lvl>
    <w:lvl w:ilvl="8" w:tplc="FFFFFFFF" w:tentative="1">
      <w:start w:val="1"/>
      <w:numFmt w:val="lowerRoman"/>
      <w:lvlText w:val="%9."/>
      <w:lvlJc w:val="right"/>
      <w:pPr>
        <w:tabs>
          <w:tab w:val="num" w:pos="6880"/>
        </w:tabs>
        <w:ind w:left="6880" w:hanging="180"/>
      </w:pPr>
    </w:lvl>
  </w:abstractNum>
  <w:abstractNum w:abstractNumId="14" w15:restartNumberingAfterBreak="0">
    <w:nsid w:val="1D81231B"/>
    <w:multiLevelType w:val="hybridMultilevel"/>
    <w:tmpl w:val="322E8826"/>
    <w:lvl w:ilvl="0" w:tplc="6688F848">
      <w:start w:val="1"/>
      <w:numFmt w:val="decimal"/>
      <w:lvlText w:val="%1. "/>
      <w:lvlJc w:val="left"/>
      <w:pPr>
        <w:tabs>
          <w:tab w:val="num" w:pos="0"/>
        </w:tabs>
        <w:ind w:left="283" w:hanging="283"/>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494762E"/>
    <w:multiLevelType w:val="hybridMultilevel"/>
    <w:tmpl w:val="1A6CEABC"/>
    <w:lvl w:ilvl="0" w:tplc="027E1F2E">
      <w:start w:val="1"/>
      <w:numFmt w:val="lowerLetter"/>
      <w:lvlText w:val="%1) "/>
      <w:lvlJc w:val="left"/>
      <w:pPr>
        <w:tabs>
          <w:tab w:val="num" w:pos="570"/>
        </w:tabs>
        <w:ind w:left="1987" w:hanging="283"/>
      </w:pPr>
      <w:rPr>
        <w:rFonts w:ascii="Times New Roman" w:hAnsi="Times New Roman" w:cs="Times New Roman" w:hint="default"/>
        <w:b w:val="0"/>
        <w:i w:val="0"/>
        <w:sz w:val="20"/>
        <w:szCs w:val="20"/>
        <w:u w:val="none"/>
      </w:rPr>
    </w:lvl>
    <w:lvl w:ilvl="1" w:tplc="E5EC159A">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06734B"/>
    <w:multiLevelType w:val="hybridMultilevel"/>
    <w:tmpl w:val="F558EB18"/>
    <w:lvl w:ilvl="0" w:tplc="027E1F2E">
      <w:start w:val="1"/>
      <w:numFmt w:val="lowerLetter"/>
      <w:lvlText w:val="%1) "/>
      <w:lvlJc w:val="left"/>
      <w:pPr>
        <w:tabs>
          <w:tab w:val="num" w:pos="570"/>
        </w:tabs>
        <w:ind w:left="1987" w:hanging="283"/>
      </w:pPr>
      <w:rPr>
        <w:rFonts w:ascii="Times New Roman" w:hAnsi="Times New Roman" w:cs="Times New Roman" w:hint="default"/>
        <w:b w:val="0"/>
        <w:i w:val="0"/>
        <w:sz w:val="20"/>
        <w:szCs w:val="20"/>
        <w:u w:val="none"/>
      </w:rPr>
    </w:lvl>
    <w:lvl w:ilvl="1" w:tplc="AC024624">
      <w:start w:val="1"/>
      <w:numFmt w:val="decimal"/>
      <w:lvlText w:val="%2."/>
      <w:lvlJc w:val="left"/>
      <w:pPr>
        <w:tabs>
          <w:tab w:val="num" w:pos="3144"/>
        </w:tabs>
        <w:ind w:left="3144" w:hanging="360"/>
      </w:pPr>
      <w:rPr>
        <w:rFonts w:hint="default"/>
      </w:rPr>
    </w:lvl>
    <w:lvl w:ilvl="2" w:tplc="0405001B" w:tentative="1">
      <w:start w:val="1"/>
      <w:numFmt w:val="lowerRoman"/>
      <w:lvlText w:val="%3."/>
      <w:lvlJc w:val="right"/>
      <w:pPr>
        <w:tabs>
          <w:tab w:val="num" w:pos="3864"/>
        </w:tabs>
        <w:ind w:left="3864" w:hanging="180"/>
      </w:pPr>
    </w:lvl>
    <w:lvl w:ilvl="3" w:tplc="0405000F" w:tentative="1">
      <w:start w:val="1"/>
      <w:numFmt w:val="decimal"/>
      <w:lvlText w:val="%4."/>
      <w:lvlJc w:val="left"/>
      <w:pPr>
        <w:tabs>
          <w:tab w:val="num" w:pos="4584"/>
        </w:tabs>
        <w:ind w:left="4584" w:hanging="360"/>
      </w:pPr>
    </w:lvl>
    <w:lvl w:ilvl="4" w:tplc="04050019" w:tentative="1">
      <w:start w:val="1"/>
      <w:numFmt w:val="lowerLetter"/>
      <w:lvlText w:val="%5."/>
      <w:lvlJc w:val="left"/>
      <w:pPr>
        <w:tabs>
          <w:tab w:val="num" w:pos="5304"/>
        </w:tabs>
        <w:ind w:left="5304" w:hanging="360"/>
      </w:pPr>
    </w:lvl>
    <w:lvl w:ilvl="5" w:tplc="0405001B" w:tentative="1">
      <w:start w:val="1"/>
      <w:numFmt w:val="lowerRoman"/>
      <w:lvlText w:val="%6."/>
      <w:lvlJc w:val="right"/>
      <w:pPr>
        <w:tabs>
          <w:tab w:val="num" w:pos="6024"/>
        </w:tabs>
        <w:ind w:left="6024" w:hanging="180"/>
      </w:pPr>
    </w:lvl>
    <w:lvl w:ilvl="6" w:tplc="0405000F" w:tentative="1">
      <w:start w:val="1"/>
      <w:numFmt w:val="decimal"/>
      <w:lvlText w:val="%7."/>
      <w:lvlJc w:val="left"/>
      <w:pPr>
        <w:tabs>
          <w:tab w:val="num" w:pos="6744"/>
        </w:tabs>
        <w:ind w:left="6744" w:hanging="360"/>
      </w:pPr>
    </w:lvl>
    <w:lvl w:ilvl="7" w:tplc="04050019" w:tentative="1">
      <w:start w:val="1"/>
      <w:numFmt w:val="lowerLetter"/>
      <w:lvlText w:val="%8."/>
      <w:lvlJc w:val="left"/>
      <w:pPr>
        <w:tabs>
          <w:tab w:val="num" w:pos="7464"/>
        </w:tabs>
        <w:ind w:left="7464" w:hanging="360"/>
      </w:pPr>
    </w:lvl>
    <w:lvl w:ilvl="8" w:tplc="0405001B" w:tentative="1">
      <w:start w:val="1"/>
      <w:numFmt w:val="lowerRoman"/>
      <w:lvlText w:val="%9."/>
      <w:lvlJc w:val="right"/>
      <w:pPr>
        <w:tabs>
          <w:tab w:val="num" w:pos="8184"/>
        </w:tabs>
        <w:ind w:left="8184" w:hanging="180"/>
      </w:pPr>
    </w:lvl>
  </w:abstractNum>
  <w:abstractNum w:abstractNumId="17" w15:restartNumberingAfterBreak="0">
    <w:nsid w:val="2B6B5917"/>
    <w:multiLevelType w:val="hybridMultilevel"/>
    <w:tmpl w:val="2EC0FB34"/>
    <w:lvl w:ilvl="0" w:tplc="08D41E80">
      <w:start w:val="1"/>
      <w:numFmt w:val="lowerLetter"/>
      <w:lvlText w:val="%1) "/>
      <w:lvlJc w:val="left"/>
      <w:pPr>
        <w:tabs>
          <w:tab w:val="num" w:pos="666"/>
        </w:tabs>
        <w:ind w:left="2083" w:hanging="283"/>
      </w:pPr>
      <w:rPr>
        <w:rFonts w:ascii="Times New Roman" w:hAnsi="Times New Roman" w:cs="Times New Roman" w:hint="default"/>
        <w:b w:val="0"/>
        <w:i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BA1641"/>
    <w:multiLevelType w:val="multilevel"/>
    <w:tmpl w:val="EF96D0A8"/>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286C75"/>
    <w:multiLevelType w:val="hybridMultilevel"/>
    <w:tmpl w:val="B9C689C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DDF637C"/>
    <w:multiLevelType w:val="hybridMultilevel"/>
    <w:tmpl w:val="CD4467C0"/>
    <w:lvl w:ilvl="0" w:tplc="08D41E80">
      <w:start w:val="1"/>
      <w:numFmt w:val="lowerLetter"/>
      <w:lvlText w:val="%1) "/>
      <w:lvlJc w:val="left"/>
      <w:pPr>
        <w:tabs>
          <w:tab w:val="num" w:pos="666"/>
        </w:tabs>
        <w:ind w:left="2083" w:hanging="283"/>
      </w:pPr>
      <w:rPr>
        <w:rFonts w:ascii="Times New Roman" w:hAnsi="Times New Roman" w:cs="Times New Roman" w:hint="default"/>
        <w:b w:val="0"/>
        <w:i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EC01A7"/>
    <w:multiLevelType w:val="multilevel"/>
    <w:tmpl w:val="FF04F8B0"/>
    <w:lvl w:ilvl="0">
      <w:start w:val="2"/>
      <w:numFmt w:val="decimal"/>
      <w:lvlText w:val="%1. "/>
      <w:legacy w:legacy="1" w:legacySpace="0" w:legacyIndent="283"/>
      <w:lvlJc w:val="left"/>
      <w:pPr>
        <w:ind w:left="283" w:hanging="283"/>
      </w:pPr>
      <w:rPr>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4B92E92"/>
    <w:multiLevelType w:val="hybridMultilevel"/>
    <w:tmpl w:val="2C62077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3" w15:restartNumberingAfterBreak="0">
    <w:nsid w:val="46E92AFF"/>
    <w:multiLevelType w:val="hybridMultilevel"/>
    <w:tmpl w:val="6BEE13C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3">
      <w:start w:val="1"/>
      <w:numFmt w:val="upperRoman"/>
      <w:lvlText w:val="%3."/>
      <w:lvlJc w:val="right"/>
      <w:pPr>
        <w:tabs>
          <w:tab w:val="num" w:pos="2160"/>
        </w:tabs>
        <w:ind w:left="2160" w:hanging="180"/>
      </w:pPr>
      <w:rPr>
        <w:rFonts w:hint="default"/>
      </w:rPr>
    </w:lvl>
    <w:lvl w:ilvl="3" w:tplc="08D41E80">
      <w:start w:val="1"/>
      <w:numFmt w:val="lowerLetter"/>
      <w:lvlText w:val="%4) "/>
      <w:lvlJc w:val="left"/>
      <w:pPr>
        <w:tabs>
          <w:tab w:val="num" w:pos="1386"/>
        </w:tabs>
        <w:ind w:left="2803" w:hanging="283"/>
      </w:pPr>
      <w:rPr>
        <w:rFonts w:ascii="Times New Roman" w:hAnsi="Times New Roman" w:cs="Times New Roman" w:hint="default"/>
        <w:b w:val="0"/>
        <w:i w:val="0"/>
        <w:sz w:val="20"/>
        <w:szCs w:val="20"/>
        <w:u w:val="none"/>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7B7375"/>
    <w:multiLevelType w:val="hybridMultilevel"/>
    <w:tmpl w:val="5828590E"/>
    <w:lvl w:ilvl="0" w:tplc="E5EC159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25" w15:restartNumberingAfterBreak="0">
    <w:nsid w:val="4D602B91"/>
    <w:multiLevelType w:val="hybridMultilevel"/>
    <w:tmpl w:val="0D46B30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6" w15:restartNumberingAfterBreak="0">
    <w:nsid w:val="51526A70"/>
    <w:multiLevelType w:val="hybridMultilevel"/>
    <w:tmpl w:val="2AA69BDE"/>
    <w:lvl w:ilvl="0" w:tplc="FFFFFFFF">
      <w:start w:val="1"/>
      <w:numFmt w:val="decimal"/>
      <w:lvlText w:val="4.%1."/>
      <w:lvlJc w:val="left"/>
      <w:pPr>
        <w:tabs>
          <w:tab w:val="num" w:pos="1080"/>
        </w:tabs>
        <w:ind w:left="1080" w:hanging="360"/>
      </w:pPr>
      <w:rPr>
        <w:rFonts w:ascii="Times New Roman" w:hAnsi="Times New Roman" w:cs="Times New Roman" w:hint="default"/>
        <w:b/>
        <w:bCs/>
        <w:i w:val="0"/>
        <w:iCs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530C2FF2"/>
    <w:multiLevelType w:val="hybridMultilevel"/>
    <w:tmpl w:val="3FA03B12"/>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8131329"/>
    <w:multiLevelType w:val="hybridMultilevel"/>
    <w:tmpl w:val="4552BC6C"/>
    <w:lvl w:ilvl="0" w:tplc="0405000F">
      <w:start w:val="1"/>
      <w:numFmt w:val="decimal"/>
      <w:lvlText w:val="%1."/>
      <w:lvlJc w:val="left"/>
      <w:pPr>
        <w:tabs>
          <w:tab w:val="num" w:pos="720"/>
        </w:tabs>
        <w:ind w:left="720" w:hanging="360"/>
      </w:pPr>
      <w:rPr>
        <w:rFonts w:hint="default"/>
      </w:rPr>
    </w:lvl>
    <w:lvl w:ilvl="1" w:tplc="027E1F2E">
      <w:start w:val="1"/>
      <w:numFmt w:val="lowerLetter"/>
      <w:lvlText w:val="%2) "/>
      <w:lvlJc w:val="left"/>
      <w:pPr>
        <w:tabs>
          <w:tab w:val="num" w:pos="-54"/>
        </w:tabs>
        <w:ind w:left="1363" w:hanging="283"/>
      </w:pPr>
      <w:rPr>
        <w:rFonts w:ascii="Times New Roman" w:hAnsi="Times New Roman" w:cs="Times New Roman" w:hint="default"/>
        <w:b w:val="0"/>
        <w:i w:val="0"/>
        <w:sz w:val="20"/>
        <w:szCs w:val="2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8EA4A86"/>
    <w:multiLevelType w:val="multilevel"/>
    <w:tmpl w:val="38821E7E"/>
    <w:lvl w:ilvl="0">
      <w:start w:val="1"/>
      <w:numFmt w:val="lowerLetter"/>
      <w:lvlText w:val="%1)"/>
      <w:lvlJc w:val="left"/>
      <w:pPr>
        <w:tabs>
          <w:tab w:val="num" w:pos="1120"/>
        </w:tabs>
        <w:ind w:left="1120" w:hanging="360"/>
      </w:pPr>
      <w:rPr>
        <w:rFonts w:hint="default"/>
        <w:b w:val="0"/>
        <w:bCs/>
        <w:i w:val="0"/>
        <w:sz w:val="22"/>
      </w:rPr>
    </w:lvl>
    <w:lvl w:ilvl="1">
      <w:start w:val="4"/>
      <w:numFmt w:val="decimal"/>
      <w:lvlText w:val="1.%2."/>
      <w:lvlJc w:val="left"/>
      <w:pPr>
        <w:tabs>
          <w:tab w:val="num" w:pos="1840"/>
        </w:tabs>
        <w:ind w:left="1840" w:hanging="360"/>
      </w:pPr>
      <w:rPr>
        <w:rFonts w:ascii="Times New Roman" w:hAnsi="Times New Roman" w:hint="default"/>
        <w:b/>
        <w:i w:val="0"/>
        <w:sz w:val="22"/>
      </w:rPr>
    </w:lvl>
    <w:lvl w:ilvl="2">
      <w:start w:val="1"/>
      <w:numFmt w:val="lowerRoman"/>
      <w:lvlText w:val="%3."/>
      <w:lvlJc w:val="right"/>
      <w:pPr>
        <w:tabs>
          <w:tab w:val="num" w:pos="2560"/>
        </w:tabs>
        <w:ind w:left="2560" w:hanging="180"/>
      </w:pPr>
      <w:rPr>
        <w:rFonts w:hint="default"/>
      </w:rPr>
    </w:lvl>
    <w:lvl w:ilvl="3">
      <w:start w:val="1"/>
      <w:numFmt w:val="decimal"/>
      <w:lvlText w:val="%4."/>
      <w:lvlJc w:val="left"/>
      <w:pPr>
        <w:tabs>
          <w:tab w:val="num" w:pos="3280"/>
        </w:tabs>
        <w:ind w:left="3280" w:hanging="360"/>
      </w:pPr>
      <w:rPr>
        <w:rFonts w:hint="default"/>
      </w:rPr>
    </w:lvl>
    <w:lvl w:ilvl="4">
      <w:start w:val="1"/>
      <w:numFmt w:val="lowerLetter"/>
      <w:lvlText w:val="%5."/>
      <w:lvlJc w:val="left"/>
      <w:pPr>
        <w:tabs>
          <w:tab w:val="num" w:pos="4000"/>
        </w:tabs>
        <w:ind w:left="4000" w:hanging="360"/>
      </w:pPr>
      <w:rPr>
        <w:rFonts w:hint="default"/>
      </w:rPr>
    </w:lvl>
    <w:lvl w:ilvl="5">
      <w:start w:val="1"/>
      <w:numFmt w:val="lowerRoman"/>
      <w:lvlText w:val="%6."/>
      <w:lvlJc w:val="right"/>
      <w:pPr>
        <w:tabs>
          <w:tab w:val="num" w:pos="4720"/>
        </w:tabs>
        <w:ind w:left="4720" w:hanging="180"/>
      </w:pPr>
      <w:rPr>
        <w:rFonts w:hint="default"/>
      </w:rPr>
    </w:lvl>
    <w:lvl w:ilvl="6">
      <w:start w:val="1"/>
      <w:numFmt w:val="decimal"/>
      <w:lvlText w:val="%7."/>
      <w:lvlJc w:val="left"/>
      <w:pPr>
        <w:tabs>
          <w:tab w:val="num" w:pos="5440"/>
        </w:tabs>
        <w:ind w:left="5440" w:hanging="360"/>
      </w:pPr>
      <w:rPr>
        <w:rFonts w:hint="default"/>
      </w:rPr>
    </w:lvl>
    <w:lvl w:ilvl="7">
      <w:start w:val="1"/>
      <w:numFmt w:val="lowerLetter"/>
      <w:lvlText w:val="%8."/>
      <w:lvlJc w:val="left"/>
      <w:pPr>
        <w:tabs>
          <w:tab w:val="num" w:pos="6160"/>
        </w:tabs>
        <w:ind w:left="6160" w:hanging="360"/>
      </w:pPr>
      <w:rPr>
        <w:rFonts w:hint="default"/>
      </w:rPr>
    </w:lvl>
    <w:lvl w:ilvl="8">
      <w:start w:val="1"/>
      <w:numFmt w:val="lowerRoman"/>
      <w:lvlText w:val="%9."/>
      <w:lvlJc w:val="right"/>
      <w:pPr>
        <w:tabs>
          <w:tab w:val="num" w:pos="6880"/>
        </w:tabs>
        <w:ind w:left="6880" w:hanging="180"/>
      </w:pPr>
      <w:rPr>
        <w:rFonts w:hint="default"/>
      </w:rPr>
    </w:lvl>
  </w:abstractNum>
  <w:abstractNum w:abstractNumId="30" w15:restartNumberingAfterBreak="0">
    <w:nsid w:val="59862E64"/>
    <w:multiLevelType w:val="hybridMultilevel"/>
    <w:tmpl w:val="B89827EA"/>
    <w:lvl w:ilvl="0" w:tplc="08D41E80">
      <w:start w:val="1"/>
      <w:numFmt w:val="lowerLetter"/>
      <w:lvlText w:val="%1) "/>
      <w:lvlJc w:val="left"/>
      <w:pPr>
        <w:tabs>
          <w:tab w:val="num" w:pos="-54"/>
        </w:tabs>
        <w:ind w:left="1363" w:hanging="283"/>
      </w:pPr>
      <w:rPr>
        <w:rFonts w:ascii="Times New Roman" w:hAnsi="Times New Roman" w:cs="Times New Roman" w:hint="default"/>
        <w:b w:val="0"/>
        <w:i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41C7D"/>
    <w:multiLevelType w:val="hybridMultilevel"/>
    <w:tmpl w:val="5DEA3B10"/>
    <w:lvl w:ilvl="0" w:tplc="D3341122">
      <w:start w:val="1"/>
      <w:numFmt w:val="decimal"/>
      <w:lvlText w:val="%1."/>
      <w:lvlJc w:val="left"/>
      <w:pPr>
        <w:tabs>
          <w:tab w:val="num" w:pos="720"/>
        </w:tabs>
        <w:ind w:left="100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27E5145"/>
    <w:multiLevelType w:val="multilevel"/>
    <w:tmpl w:val="01FEACB4"/>
    <w:lvl w:ilvl="0">
      <w:start w:val="8"/>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5DA2D4C"/>
    <w:multiLevelType w:val="hybridMultilevel"/>
    <w:tmpl w:val="FBA69C0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166BCF"/>
    <w:multiLevelType w:val="hybridMultilevel"/>
    <w:tmpl w:val="8B22197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39747BB"/>
    <w:multiLevelType w:val="hybridMultilevel"/>
    <w:tmpl w:val="4DC04D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F55C64"/>
    <w:multiLevelType w:val="hybridMultilevel"/>
    <w:tmpl w:val="818A0340"/>
    <w:lvl w:ilvl="0" w:tplc="D3341122">
      <w:start w:val="1"/>
      <w:numFmt w:val="decimal"/>
      <w:lvlText w:val="%1."/>
      <w:lvlJc w:val="left"/>
      <w:pPr>
        <w:tabs>
          <w:tab w:val="num" w:pos="720"/>
        </w:tabs>
        <w:ind w:left="1004" w:hanging="284"/>
      </w:pPr>
      <w:rPr>
        <w:rFonts w:hint="default"/>
      </w:rPr>
    </w:lvl>
    <w:lvl w:ilvl="1" w:tplc="20804F58">
      <w:start w:val="1"/>
      <w:numFmt w:val="lowerLetter"/>
      <w:lvlText w:val="%2) "/>
      <w:lvlJc w:val="left"/>
      <w:pPr>
        <w:tabs>
          <w:tab w:val="num" w:pos="666"/>
        </w:tabs>
        <w:ind w:left="2083" w:hanging="283"/>
      </w:pPr>
      <w:rPr>
        <w:rFonts w:ascii="Times New Roman" w:hAnsi="Times New Roman" w:cs="Times New Roman" w:hint="default"/>
        <w:b w:val="0"/>
        <w:i w:val="0"/>
        <w:sz w:val="24"/>
        <w:szCs w:val="24"/>
        <w:u w:val="none"/>
      </w:r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7" w15:restartNumberingAfterBreak="0">
    <w:nsid w:val="74E4252A"/>
    <w:multiLevelType w:val="hybridMultilevel"/>
    <w:tmpl w:val="A350CF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7B1776D3"/>
    <w:multiLevelType w:val="hybridMultilevel"/>
    <w:tmpl w:val="9DF68EE2"/>
    <w:lvl w:ilvl="0" w:tplc="E5EC159A">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163E8B"/>
    <w:multiLevelType w:val="hybridMultilevel"/>
    <w:tmpl w:val="EC9E2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35422D"/>
    <w:multiLevelType w:val="hybridMultilevel"/>
    <w:tmpl w:val="139CA1F2"/>
    <w:lvl w:ilvl="0" w:tplc="C4BE61CA">
      <w:start w:val="2"/>
      <w:numFmt w:val="decimal"/>
      <w:lvlText w:val="%1. "/>
      <w:legacy w:legacy="1" w:legacySpace="0" w:legacyIndent="283"/>
      <w:lvlJc w:val="left"/>
      <w:pPr>
        <w:ind w:left="283" w:hanging="283"/>
      </w:pPr>
      <w:rPr>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29489251">
    <w:abstractNumId w:val="8"/>
  </w:num>
  <w:num w:numId="2" w16cid:durableId="1121345004">
    <w:abstractNumId w:val="23"/>
  </w:num>
  <w:num w:numId="3" w16cid:durableId="2011836015">
    <w:abstractNumId w:val="19"/>
  </w:num>
  <w:num w:numId="4" w16cid:durableId="796870304">
    <w:abstractNumId w:val="36"/>
  </w:num>
  <w:num w:numId="5" w16cid:durableId="1497307559">
    <w:abstractNumId w:val="11"/>
  </w:num>
  <w:num w:numId="6" w16cid:durableId="615674479">
    <w:abstractNumId w:val="16"/>
  </w:num>
  <w:num w:numId="7" w16cid:durableId="388379510">
    <w:abstractNumId w:val="3"/>
  </w:num>
  <w:num w:numId="8" w16cid:durableId="989090290">
    <w:abstractNumId w:val="15"/>
  </w:num>
  <w:num w:numId="9" w16cid:durableId="754015295">
    <w:abstractNumId w:val="38"/>
  </w:num>
  <w:num w:numId="10" w16cid:durableId="1323823">
    <w:abstractNumId w:val="12"/>
  </w:num>
  <w:num w:numId="11" w16cid:durableId="388387756">
    <w:abstractNumId w:val="34"/>
  </w:num>
  <w:num w:numId="12" w16cid:durableId="1231773530">
    <w:abstractNumId w:val="37"/>
  </w:num>
  <w:num w:numId="13" w16cid:durableId="1297833809">
    <w:abstractNumId w:val="10"/>
  </w:num>
  <w:num w:numId="14" w16cid:durableId="1201671056">
    <w:abstractNumId w:val="18"/>
  </w:num>
  <w:num w:numId="15" w16cid:durableId="563610771">
    <w:abstractNumId w:val="13"/>
  </w:num>
  <w:num w:numId="16" w16cid:durableId="555118548">
    <w:abstractNumId w:val="31"/>
  </w:num>
  <w:num w:numId="17" w16cid:durableId="510338395">
    <w:abstractNumId w:val="40"/>
  </w:num>
  <w:num w:numId="18" w16cid:durableId="721754477">
    <w:abstractNumId w:val="14"/>
  </w:num>
  <w:num w:numId="19" w16cid:durableId="1056977827">
    <w:abstractNumId w:val="21"/>
  </w:num>
  <w:num w:numId="20" w16cid:durableId="907299048">
    <w:abstractNumId w:val="35"/>
  </w:num>
  <w:num w:numId="21" w16cid:durableId="1133062473">
    <w:abstractNumId w:val="5"/>
  </w:num>
  <w:num w:numId="22" w16cid:durableId="1120958118">
    <w:abstractNumId w:val="26"/>
  </w:num>
  <w:num w:numId="23" w16cid:durableId="1526552067">
    <w:abstractNumId w:val="7"/>
  </w:num>
  <w:num w:numId="24" w16cid:durableId="626664189">
    <w:abstractNumId w:val="2"/>
  </w:num>
  <w:num w:numId="25" w16cid:durableId="149172527">
    <w:abstractNumId w:val="24"/>
  </w:num>
  <w:num w:numId="26" w16cid:durableId="1603763666">
    <w:abstractNumId w:val="1"/>
  </w:num>
  <w:num w:numId="27" w16cid:durableId="775709125">
    <w:abstractNumId w:val="17"/>
  </w:num>
  <w:num w:numId="28" w16cid:durableId="241069447">
    <w:abstractNumId w:val="20"/>
  </w:num>
  <w:num w:numId="29" w16cid:durableId="1966234889">
    <w:abstractNumId w:val="6"/>
  </w:num>
  <w:num w:numId="30" w16cid:durableId="257756998">
    <w:abstractNumId w:val="28"/>
  </w:num>
  <w:num w:numId="31" w16cid:durableId="1688215749">
    <w:abstractNumId w:val="30"/>
  </w:num>
  <w:num w:numId="32" w16cid:durableId="9529390">
    <w:abstractNumId w:val="22"/>
  </w:num>
  <w:num w:numId="33" w16cid:durableId="2054186476">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1557456">
    <w:abstractNumId w:val="27"/>
  </w:num>
  <w:num w:numId="35" w16cid:durableId="36244305">
    <w:abstractNumId w:val="33"/>
  </w:num>
  <w:num w:numId="36" w16cid:durableId="17609049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4700114">
    <w:abstractNumId w:val="0"/>
  </w:num>
  <w:num w:numId="38" w16cid:durableId="1468469333">
    <w:abstractNumId w:val="29"/>
  </w:num>
  <w:num w:numId="39" w16cid:durableId="410003088">
    <w:abstractNumId w:val="3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9768564">
    <w:abstractNumId w:val="25"/>
  </w:num>
  <w:num w:numId="41" w16cid:durableId="153229099">
    <w:abstractNumId w:val="39"/>
  </w:num>
  <w:num w:numId="42" w16cid:durableId="633484971">
    <w:abstractNumId w:val="4"/>
  </w:num>
  <w:num w:numId="43" w16cid:durableId="1425807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11"/>
    <w:rsid w:val="0001259C"/>
    <w:rsid w:val="00014500"/>
    <w:rsid w:val="00014B48"/>
    <w:rsid w:val="000163FE"/>
    <w:rsid w:val="00020042"/>
    <w:rsid w:val="000202FB"/>
    <w:rsid w:val="00021D98"/>
    <w:rsid w:val="000268A6"/>
    <w:rsid w:val="00031AD3"/>
    <w:rsid w:val="00032326"/>
    <w:rsid w:val="00035A71"/>
    <w:rsid w:val="00036351"/>
    <w:rsid w:val="00044F45"/>
    <w:rsid w:val="00047267"/>
    <w:rsid w:val="00051F65"/>
    <w:rsid w:val="000521DD"/>
    <w:rsid w:val="00054AC0"/>
    <w:rsid w:val="00062192"/>
    <w:rsid w:val="000632EE"/>
    <w:rsid w:val="00064B02"/>
    <w:rsid w:val="00065A47"/>
    <w:rsid w:val="00072772"/>
    <w:rsid w:val="00072C21"/>
    <w:rsid w:val="00076810"/>
    <w:rsid w:val="00080FFC"/>
    <w:rsid w:val="000819B8"/>
    <w:rsid w:val="00081B0A"/>
    <w:rsid w:val="000861EA"/>
    <w:rsid w:val="000923E7"/>
    <w:rsid w:val="000932CC"/>
    <w:rsid w:val="000A1BFC"/>
    <w:rsid w:val="000B1721"/>
    <w:rsid w:val="000B266E"/>
    <w:rsid w:val="000C30E5"/>
    <w:rsid w:val="000C4326"/>
    <w:rsid w:val="000C710B"/>
    <w:rsid w:val="000E63C8"/>
    <w:rsid w:val="000F275E"/>
    <w:rsid w:val="000F40FF"/>
    <w:rsid w:val="000F778E"/>
    <w:rsid w:val="00100F62"/>
    <w:rsid w:val="001019BF"/>
    <w:rsid w:val="00103BBC"/>
    <w:rsid w:val="00105187"/>
    <w:rsid w:val="0010588C"/>
    <w:rsid w:val="00105C8E"/>
    <w:rsid w:val="00114072"/>
    <w:rsid w:val="001141ED"/>
    <w:rsid w:val="00121115"/>
    <w:rsid w:val="001216E3"/>
    <w:rsid w:val="00124B76"/>
    <w:rsid w:val="00133A28"/>
    <w:rsid w:val="00141320"/>
    <w:rsid w:val="001426B1"/>
    <w:rsid w:val="00145309"/>
    <w:rsid w:val="001469B2"/>
    <w:rsid w:val="0015271B"/>
    <w:rsid w:val="0015359E"/>
    <w:rsid w:val="00160327"/>
    <w:rsid w:val="001616F2"/>
    <w:rsid w:val="00161919"/>
    <w:rsid w:val="001637A2"/>
    <w:rsid w:val="00164037"/>
    <w:rsid w:val="0016456A"/>
    <w:rsid w:val="00165655"/>
    <w:rsid w:val="0017391C"/>
    <w:rsid w:val="00174D15"/>
    <w:rsid w:val="00181A4F"/>
    <w:rsid w:val="00182D19"/>
    <w:rsid w:val="00183031"/>
    <w:rsid w:val="00192B57"/>
    <w:rsid w:val="001A1426"/>
    <w:rsid w:val="001A5C3D"/>
    <w:rsid w:val="001C09BE"/>
    <w:rsid w:val="001D100F"/>
    <w:rsid w:val="001D2F12"/>
    <w:rsid w:val="001D4B8D"/>
    <w:rsid w:val="001E3A33"/>
    <w:rsid w:val="001E648D"/>
    <w:rsid w:val="001E69D6"/>
    <w:rsid w:val="001F036D"/>
    <w:rsid w:val="001F17F0"/>
    <w:rsid w:val="001F1D88"/>
    <w:rsid w:val="001F3928"/>
    <w:rsid w:val="001F56D6"/>
    <w:rsid w:val="001F5EA3"/>
    <w:rsid w:val="001F5ECA"/>
    <w:rsid w:val="00200E11"/>
    <w:rsid w:val="002035AB"/>
    <w:rsid w:val="00205421"/>
    <w:rsid w:val="00206313"/>
    <w:rsid w:val="00211A89"/>
    <w:rsid w:val="00212D45"/>
    <w:rsid w:val="00232407"/>
    <w:rsid w:val="002400AD"/>
    <w:rsid w:val="00242301"/>
    <w:rsid w:val="00245786"/>
    <w:rsid w:val="00246F40"/>
    <w:rsid w:val="00251BA8"/>
    <w:rsid w:val="00255A59"/>
    <w:rsid w:val="00262A1A"/>
    <w:rsid w:val="00262B0E"/>
    <w:rsid w:val="00264F45"/>
    <w:rsid w:val="002723BF"/>
    <w:rsid w:val="00275771"/>
    <w:rsid w:val="00276803"/>
    <w:rsid w:val="00281054"/>
    <w:rsid w:val="002812FE"/>
    <w:rsid w:val="00293794"/>
    <w:rsid w:val="002A16DE"/>
    <w:rsid w:val="002A5258"/>
    <w:rsid w:val="002A7FAC"/>
    <w:rsid w:val="002B0C34"/>
    <w:rsid w:val="002B243F"/>
    <w:rsid w:val="002B53F1"/>
    <w:rsid w:val="002C2C27"/>
    <w:rsid w:val="002C5ADC"/>
    <w:rsid w:val="002E14BC"/>
    <w:rsid w:val="002E19A4"/>
    <w:rsid w:val="002E2A7C"/>
    <w:rsid w:val="002E33CD"/>
    <w:rsid w:val="002F1619"/>
    <w:rsid w:val="002F69CD"/>
    <w:rsid w:val="002F6DC9"/>
    <w:rsid w:val="00302212"/>
    <w:rsid w:val="003100C3"/>
    <w:rsid w:val="00310DBF"/>
    <w:rsid w:val="003148B3"/>
    <w:rsid w:val="0031589A"/>
    <w:rsid w:val="0032234F"/>
    <w:rsid w:val="00332902"/>
    <w:rsid w:val="00333561"/>
    <w:rsid w:val="003406D7"/>
    <w:rsid w:val="00347F10"/>
    <w:rsid w:val="0035545C"/>
    <w:rsid w:val="00356A99"/>
    <w:rsid w:val="00357E17"/>
    <w:rsid w:val="00365240"/>
    <w:rsid w:val="00374906"/>
    <w:rsid w:val="0037573A"/>
    <w:rsid w:val="0037660B"/>
    <w:rsid w:val="00377406"/>
    <w:rsid w:val="003912D1"/>
    <w:rsid w:val="00394779"/>
    <w:rsid w:val="003A032A"/>
    <w:rsid w:val="003A236B"/>
    <w:rsid w:val="003A4C30"/>
    <w:rsid w:val="003A6155"/>
    <w:rsid w:val="003A7020"/>
    <w:rsid w:val="003A7282"/>
    <w:rsid w:val="003B0350"/>
    <w:rsid w:val="003B3736"/>
    <w:rsid w:val="003B4084"/>
    <w:rsid w:val="003B6B0F"/>
    <w:rsid w:val="003C0A31"/>
    <w:rsid w:val="003C0CA8"/>
    <w:rsid w:val="003C0FA3"/>
    <w:rsid w:val="003C154F"/>
    <w:rsid w:val="003C2523"/>
    <w:rsid w:val="003C2C9A"/>
    <w:rsid w:val="003C6C31"/>
    <w:rsid w:val="003D23E2"/>
    <w:rsid w:val="003D593F"/>
    <w:rsid w:val="003D59EE"/>
    <w:rsid w:val="003E25D1"/>
    <w:rsid w:val="003E37B1"/>
    <w:rsid w:val="003E4B43"/>
    <w:rsid w:val="003E56FD"/>
    <w:rsid w:val="003E6AD4"/>
    <w:rsid w:val="003E7E99"/>
    <w:rsid w:val="003F0BDB"/>
    <w:rsid w:val="003F0CD8"/>
    <w:rsid w:val="003F5256"/>
    <w:rsid w:val="004035B0"/>
    <w:rsid w:val="0041533C"/>
    <w:rsid w:val="004205E3"/>
    <w:rsid w:val="00420A21"/>
    <w:rsid w:val="004238C8"/>
    <w:rsid w:val="00425452"/>
    <w:rsid w:val="00433FC4"/>
    <w:rsid w:val="00440B80"/>
    <w:rsid w:val="0045087F"/>
    <w:rsid w:val="00452496"/>
    <w:rsid w:val="00455948"/>
    <w:rsid w:val="00455A4F"/>
    <w:rsid w:val="0046193C"/>
    <w:rsid w:val="0046392B"/>
    <w:rsid w:val="00463A72"/>
    <w:rsid w:val="00464BAC"/>
    <w:rsid w:val="00470510"/>
    <w:rsid w:val="00472E86"/>
    <w:rsid w:val="004746FD"/>
    <w:rsid w:val="004754BB"/>
    <w:rsid w:val="004860A9"/>
    <w:rsid w:val="004A1EDF"/>
    <w:rsid w:val="004A5450"/>
    <w:rsid w:val="004B1241"/>
    <w:rsid w:val="004B1C88"/>
    <w:rsid w:val="004B2A28"/>
    <w:rsid w:val="004C6E68"/>
    <w:rsid w:val="004D611D"/>
    <w:rsid w:val="004E53E2"/>
    <w:rsid w:val="004F0C71"/>
    <w:rsid w:val="004F28E6"/>
    <w:rsid w:val="004F4371"/>
    <w:rsid w:val="004F668D"/>
    <w:rsid w:val="00503B25"/>
    <w:rsid w:val="0050431A"/>
    <w:rsid w:val="00505201"/>
    <w:rsid w:val="00506E3E"/>
    <w:rsid w:val="00514473"/>
    <w:rsid w:val="00514F27"/>
    <w:rsid w:val="00525776"/>
    <w:rsid w:val="00527770"/>
    <w:rsid w:val="005375A2"/>
    <w:rsid w:val="00537879"/>
    <w:rsid w:val="00542C01"/>
    <w:rsid w:val="00543BF4"/>
    <w:rsid w:val="00546687"/>
    <w:rsid w:val="0054744B"/>
    <w:rsid w:val="005540F4"/>
    <w:rsid w:val="005627DE"/>
    <w:rsid w:val="00563EAB"/>
    <w:rsid w:val="00566698"/>
    <w:rsid w:val="00567526"/>
    <w:rsid w:val="00573FA2"/>
    <w:rsid w:val="00584ED3"/>
    <w:rsid w:val="005972DB"/>
    <w:rsid w:val="005A1629"/>
    <w:rsid w:val="005A1696"/>
    <w:rsid w:val="005A315A"/>
    <w:rsid w:val="005A4BDC"/>
    <w:rsid w:val="005A694D"/>
    <w:rsid w:val="005B0288"/>
    <w:rsid w:val="005B123C"/>
    <w:rsid w:val="005B54B4"/>
    <w:rsid w:val="005B58D0"/>
    <w:rsid w:val="005B5DE7"/>
    <w:rsid w:val="005B6E7B"/>
    <w:rsid w:val="005C1687"/>
    <w:rsid w:val="005C3637"/>
    <w:rsid w:val="005C7086"/>
    <w:rsid w:val="005D013B"/>
    <w:rsid w:val="005D12FF"/>
    <w:rsid w:val="005D69EB"/>
    <w:rsid w:val="005D7B54"/>
    <w:rsid w:val="005E215B"/>
    <w:rsid w:val="005E7B08"/>
    <w:rsid w:val="005F4677"/>
    <w:rsid w:val="005F613F"/>
    <w:rsid w:val="005F7B6C"/>
    <w:rsid w:val="006027D4"/>
    <w:rsid w:val="0060476A"/>
    <w:rsid w:val="0060638F"/>
    <w:rsid w:val="006070EE"/>
    <w:rsid w:val="00617B8B"/>
    <w:rsid w:val="00621C65"/>
    <w:rsid w:val="00623C6B"/>
    <w:rsid w:val="00624824"/>
    <w:rsid w:val="006311A4"/>
    <w:rsid w:val="00632E76"/>
    <w:rsid w:val="0063770B"/>
    <w:rsid w:val="00646341"/>
    <w:rsid w:val="006549FF"/>
    <w:rsid w:val="00655ABA"/>
    <w:rsid w:val="00656141"/>
    <w:rsid w:val="00660791"/>
    <w:rsid w:val="00663731"/>
    <w:rsid w:val="0066408A"/>
    <w:rsid w:val="0066623D"/>
    <w:rsid w:val="00666859"/>
    <w:rsid w:val="00667925"/>
    <w:rsid w:val="00670D2B"/>
    <w:rsid w:val="006746C7"/>
    <w:rsid w:val="00676718"/>
    <w:rsid w:val="00676DDC"/>
    <w:rsid w:val="00677959"/>
    <w:rsid w:val="0068356F"/>
    <w:rsid w:val="00685A0F"/>
    <w:rsid w:val="0068746D"/>
    <w:rsid w:val="00692E7D"/>
    <w:rsid w:val="006A1829"/>
    <w:rsid w:val="006A1A82"/>
    <w:rsid w:val="006A684F"/>
    <w:rsid w:val="006A6F40"/>
    <w:rsid w:val="006B06A3"/>
    <w:rsid w:val="006B267F"/>
    <w:rsid w:val="006B5A78"/>
    <w:rsid w:val="006C15ED"/>
    <w:rsid w:val="006C1A8F"/>
    <w:rsid w:val="006C4FD3"/>
    <w:rsid w:val="006C7357"/>
    <w:rsid w:val="006D12F9"/>
    <w:rsid w:val="006E3636"/>
    <w:rsid w:val="006F3326"/>
    <w:rsid w:val="006F4BDE"/>
    <w:rsid w:val="006F6107"/>
    <w:rsid w:val="00707A8C"/>
    <w:rsid w:val="007126D2"/>
    <w:rsid w:val="007139C7"/>
    <w:rsid w:val="007142DC"/>
    <w:rsid w:val="007176AA"/>
    <w:rsid w:val="00720964"/>
    <w:rsid w:val="007229F1"/>
    <w:rsid w:val="00726EA6"/>
    <w:rsid w:val="00730239"/>
    <w:rsid w:val="00730787"/>
    <w:rsid w:val="00731DA7"/>
    <w:rsid w:val="00753E61"/>
    <w:rsid w:val="007548D3"/>
    <w:rsid w:val="00756819"/>
    <w:rsid w:val="007665FE"/>
    <w:rsid w:val="00767269"/>
    <w:rsid w:val="0077038E"/>
    <w:rsid w:val="00771A2A"/>
    <w:rsid w:val="00773780"/>
    <w:rsid w:val="007809D1"/>
    <w:rsid w:val="00780AF0"/>
    <w:rsid w:val="0078380F"/>
    <w:rsid w:val="00784EE6"/>
    <w:rsid w:val="0078542C"/>
    <w:rsid w:val="0078779C"/>
    <w:rsid w:val="00791513"/>
    <w:rsid w:val="007940E1"/>
    <w:rsid w:val="00797A5B"/>
    <w:rsid w:val="007A0351"/>
    <w:rsid w:val="007A0FD4"/>
    <w:rsid w:val="007A7B90"/>
    <w:rsid w:val="007B3F8C"/>
    <w:rsid w:val="007B492F"/>
    <w:rsid w:val="007B5B07"/>
    <w:rsid w:val="007B6695"/>
    <w:rsid w:val="007C57D3"/>
    <w:rsid w:val="007C6EE7"/>
    <w:rsid w:val="007C78CC"/>
    <w:rsid w:val="007C7D7B"/>
    <w:rsid w:val="007D1FE9"/>
    <w:rsid w:val="007D462D"/>
    <w:rsid w:val="007D79C8"/>
    <w:rsid w:val="007E3799"/>
    <w:rsid w:val="007F0A7E"/>
    <w:rsid w:val="007F14DF"/>
    <w:rsid w:val="0080191F"/>
    <w:rsid w:val="00802588"/>
    <w:rsid w:val="00802A38"/>
    <w:rsid w:val="00816C65"/>
    <w:rsid w:val="00817E92"/>
    <w:rsid w:val="00824733"/>
    <w:rsid w:val="00825099"/>
    <w:rsid w:val="0083035D"/>
    <w:rsid w:val="00831A0B"/>
    <w:rsid w:val="00834CEF"/>
    <w:rsid w:val="00836A32"/>
    <w:rsid w:val="0084543D"/>
    <w:rsid w:val="00845728"/>
    <w:rsid w:val="00845D54"/>
    <w:rsid w:val="008474F4"/>
    <w:rsid w:val="0085175B"/>
    <w:rsid w:val="0085206E"/>
    <w:rsid w:val="008522CD"/>
    <w:rsid w:val="00854B23"/>
    <w:rsid w:val="00854F69"/>
    <w:rsid w:val="00855EDB"/>
    <w:rsid w:val="00862ED3"/>
    <w:rsid w:val="00863FF5"/>
    <w:rsid w:val="0087036C"/>
    <w:rsid w:val="008718DD"/>
    <w:rsid w:val="00880C07"/>
    <w:rsid w:val="008821CB"/>
    <w:rsid w:val="00883503"/>
    <w:rsid w:val="00884F50"/>
    <w:rsid w:val="0089117A"/>
    <w:rsid w:val="00891785"/>
    <w:rsid w:val="00893814"/>
    <w:rsid w:val="00894FB7"/>
    <w:rsid w:val="008A1C32"/>
    <w:rsid w:val="008A2263"/>
    <w:rsid w:val="008A4BA7"/>
    <w:rsid w:val="008B024C"/>
    <w:rsid w:val="008B2653"/>
    <w:rsid w:val="008B319A"/>
    <w:rsid w:val="008B4FAD"/>
    <w:rsid w:val="008D0235"/>
    <w:rsid w:val="008D2601"/>
    <w:rsid w:val="008D36D6"/>
    <w:rsid w:val="008E1876"/>
    <w:rsid w:val="008E37E6"/>
    <w:rsid w:val="008E5F47"/>
    <w:rsid w:val="008F1BD2"/>
    <w:rsid w:val="008F1CA2"/>
    <w:rsid w:val="008F346A"/>
    <w:rsid w:val="009039C9"/>
    <w:rsid w:val="009067A8"/>
    <w:rsid w:val="009112F7"/>
    <w:rsid w:val="009125E4"/>
    <w:rsid w:val="00912D19"/>
    <w:rsid w:val="00920535"/>
    <w:rsid w:val="0092224A"/>
    <w:rsid w:val="00922EE5"/>
    <w:rsid w:val="009252BC"/>
    <w:rsid w:val="00925F12"/>
    <w:rsid w:val="00926FAA"/>
    <w:rsid w:val="00930AE7"/>
    <w:rsid w:val="00931884"/>
    <w:rsid w:val="00935B97"/>
    <w:rsid w:val="00941586"/>
    <w:rsid w:val="0094266B"/>
    <w:rsid w:val="009439C7"/>
    <w:rsid w:val="00953983"/>
    <w:rsid w:val="0096026E"/>
    <w:rsid w:val="00963146"/>
    <w:rsid w:val="0096567D"/>
    <w:rsid w:val="0096661E"/>
    <w:rsid w:val="0097292C"/>
    <w:rsid w:val="00974A4B"/>
    <w:rsid w:val="00983D35"/>
    <w:rsid w:val="00992301"/>
    <w:rsid w:val="009976AC"/>
    <w:rsid w:val="009A1FA9"/>
    <w:rsid w:val="009B6CEC"/>
    <w:rsid w:val="009C32E5"/>
    <w:rsid w:val="009C3A4A"/>
    <w:rsid w:val="009C3FA8"/>
    <w:rsid w:val="009E0801"/>
    <w:rsid w:val="009E33B4"/>
    <w:rsid w:val="009E3AFA"/>
    <w:rsid w:val="009E5EF3"/>
    <w:rsid w:val="009E75E8"/>
    <w:rsid w:val="009F673B"/>
    <w:rsid w:val="009F6ED0"/>
    <w:rsid w:val="009F744C"/>
    <w:rsid w:val="00A045F8"/>
    <w:rsid w:val="00A049A7"/>
    <w:rsid w:val="00A05EE6"/>
    <w:rsid w:val="00A07605"/>
    <w:rsid w:val="00A103CF"/>
    <w:rsid w:val="00A10528"/>
    <w:rsid w:val="00A130B3"/>
    <w:rsid w:val="00A1507E"/>
    <w:rsid w:val="00A17921"/>
    <w:rsid w:val="00A32E8C"/>
    <w:rsid w:val="00A3775E"/>
    <w:rsid w:val="00A429C9"/>
    <w:rsid w:val="00A42DF8"/>
    <w:rsid w:val="00A462A0"/>
    <w:rsid w:val="00A46AA3"/>
    <w:rsid w:val="00A46D37"/>
    <w:rsid w:val="00A53392"/>
    <w:rsid w:val="00A5649A"/>
    <w:rsid w:val="00A63F2A"/>
    <w:rsid w:val="00A651DD"/>
    <w:rsid w:val="00A75CB1"/>
    <w:rsid w:val="00A7610F"/>
    <w:rsid w:val="00A82563"/>
    <w:rsid w:val="00A85D9E"/>
    <w:rsid w:val="00A925FC"/>
    <w:rsid w:val="00A97299"/>
    <w:rsid w:val="00AA4E1D"/>
    <w:rsid w:val="00AA5D5A"/>
    <w:rsid w:val="00AA6BB5"/>
    <w:rsid w:val="00AB0BC2"/>
    <w:rsid w:val="00AC0802"/>
    <w:rsid w:val="00AC1BFD"/>
    <w:rsid w:val="00AC309C"/>
    <w:rsid w:val="00AC69EC"/>
    <w:rsid w:val="00AD1644"/>
    <w:rsid w:val="00AD6F0A"/>
    <w:rsid w:val="00AE6091"/>
    <w:rsid w:val="00AE768F"/>
    <w:rsid w:val="00AE7B98"/>
    <w:rsid w:val="00AF30EC"/>
    <w:rsid w:val="00AF5F88"/>
    <w:rsid w:val="00AF7183"/>
    <w:rsid w:val="00B000B6"/>
    <w:rsid w:val="00B00D21"/>
    <w:rsid w:val="00B1582A"/>
    <w:rsid w:val="00B15A21"/>
    <w:rsid w:val="00B250A8"/>
    <w:rsid w:val="00B263A0"/>
    <w:rsid w:val="00B34A3C"/>
    <w:rsid w:val="00B5051C"/>
    <w:rsid w:val="00B548F5"/>
    <w:rsid w:val="00B6396B"/>
    <w:rsid w:val="00B63C3E"/>
    <w:rsid w:val="00B6799B"/>
    <w:rsid w:val="00B74DF1"/>
    <w:rsid w:val="00B77CC6"/>
    <w:rsid w:val="00B80B7C"/>
    <w:rsid w:val="00B8240B"/>
    <w:rsid w:val="00B858C7"/>
    <w:rsid w:val="00B878F0"/>
    <w:rsid w:val="00B93072"/>
    <w:rsid w:val="00B95695"/>
    <w:rsid w:val="00B95A61"/>
    <w:rsid w:val="00B96DA8"/>
    <w:rsid w:val="00BA7826"/>
    <w:rsid w:val="00BB0EEC"/>
    <w:rsid w:val="00BB1DCC"/>
    <w:rsid w:val="00BB3BC6"/>
    <w:rsid w:val="00BB59AA"/>
    <w:rsid w:val="00BB712A"/>
    <w:rsid w:val="00BC2AA3"/>
    <w:rsid w:val="00BD1730"/>
    <w:rsid w:val="00BD6BC7"/>
    <w:rsid w:val="00BD7844"/>
    <w:rsid w:val="00BE231B"/>
    <w:rsid w:val="00BF1BA1"/>
    <w:rsid w:val="00BF1F82"/>
    <w:rsid w:val="00BF4361"/>
    <w:rsid w:val="00C03F17"/>
    <w:rsid w:val="00C03FEB"/>
    <w:rsid w:val="00C10BC6"/>
    <w:rsid w:val="00C121EC"/>
    <w:rsid w:val="00C13E85"/>
    <w:rsid w:val="00C163C2"/>
    <w:rsid w:val="00C200D7"/>
    <w:rsid w:val="00C2096D"/>
    <w:rsid w:val="00C253A6"/>
    <w:rsid w:val="00C26581"/>
    <w:rsid w:val="00C43891"/>
    <w:rsid w:val="00C44014"/>
    <w:rsid w:val="00C5046E"/>
    <w:rsid w:val="00C5051A"/>
    <w:rsid w:val="00C510D8"/>
    <w:rsid w:val="00C53ED7"/>
    <w:rsid w:val="00C61AE3"/>
    <w:rsid w:val="00C63F8C"/>
    <w:rsid w:val="00C6503E"/>
    <w:rsid w:val="00C664A8"/>
    <w:rsid w:val="00C726D4"/>
    <w:rsid w:val="00C74D1F"/>
    <w:rsid w:val="00C8131B"/>
    <w:rsid w:val="00C85746"/>
    <w:rsid w:val="00C86CDC"/>
    <w:rsid w:val="00C94CB1"/>
    <w:rsid w:val="00C96EF5"/>
    <w:rsid w:val="00CA1041"/>
    <w:rsid w:val="00CA35E6"/>
    <w:rsid w:val="00CA36CD"/>
    <w:rsid w:val="00CB0235"/>
    <w:rsid w:val="00CB093E"/>
    <w:rsid w:val="00CB4431"/>
    <w:rsid w:val="00CB4803"/>
    <w:rsid w:val="00CB72ED"/>
    <w:rsid w:val="00CB7771"/>
    <w:rsid w:val="00CC0B2F"/>
    <w:rsid w:val="00CC18D4"/>
    <w:rsid w:val="00CC2EBC"/>
    <w:rsid w:val="00CC32C4"/>
    <w:rsid w:val="00CC6A0A"/>
    <w:rsid w:val="00CD15EB"/>
    <w:rsid w:val="00CD2C32"/>
    <w:rsid w:val="00CE0EEE"/>
    <w:rsid w:val="00CE1CE4"/>
    <w:rsid w:val="00CE2440"/>
    <w:rsid w:val="00CE3E37"/>
    <w:rsid w:val="00CE3E9A"/>
    <w:rsid w:val="00CE7128"/>
    <w:rsid w:val="00CF2BE6"/>
    <w:rsid w:val="00CF3639"/>
    <w:rsid w:val="00CF39A8"/>
    <w:rsid w:val="00D03225"/>
    <w:rsid w:val="00D10E59"/>
    <w:rsid w:val="00D12C88"/>
    <w:rsid w:val="00D134BF"/>
    <w:rsid w:val="00D17851"/>
    <w:rsid w:val="00D20470"/>
    <w:rsid w:val="00D22BC5"/>
    <w:rsid w:val="00D23D31"/>
    <w:rsid w:val="00D26BB6"/>
    <w:rsid w:val="00D311E0"/>
    <w:rsid w:val="00D40727"/>
    <w:rsid w:val="00D506AB"/>
    <w:rsid w:val="00D522F3"/>
    <w:rsid w:val="00D54B49"/>
    <w:rsid w:val="00D56254"/>
    <w:rsid w:val="00D56A97"/>
    <w:rsid w:val="00D6717F"/>
    <w:rsid w:val="00D67A4B"/>
    <w:rsid w:val="00D70946"/>
    <w:rsid w:val="00D73118"/>
    <w:rsid w:val="00D739E5"/>
    <w:rsid w:val="00D741DB"/>
    <w:rsid w:val="00D74FD6"/>
    <w:rsid w:val="00D8018F"/>
    <w:rsid w:val="00D80A64"/>
    <w:rsid w:val="00D81666"/>
    <w:rsid w:val="00D840B7"/>
    <w:rsid w:val="00D8559C"/>
    <w:rsid w:val="00D874F5"/>
    <w:rsid w:val="00D94818"/>
    <w:rsid w:val="00D9516E"/>
    <w:rsid w:val="00D95778"/>
    <w:rsid w:val="00D95E05"/>
    <w:rsid w:val="00D96EAB"/>
    <w:rsid w:val="00D97ED1"/>
    <w:rsid w:val="00DA001E"/>
    <w:rsid w:val="00DA1598"/>
    <w:rsid w:val="00DA324B"/>
    <w:rsid w:val="00DA357C"/>
    <w:rsid w:val="00DB0832"/>
    <w:rsid w:val="00DB2183"/>
    <w:rsid w:val="00DB3B90"/>
    <w:rsid w:val="00DC1826"/>
    <w:rsid w:val="00DD55A5"/>
    <w:rsid w:val="00DD7DB8"/>
    <w:rsid w:val="00DE1546"/>
    <w:rsid w:val="00DE23C5"/>
    <w:rsid w:val="00DE39CB"/>
    <w:rsid w:val="00DF0F5D"/>
    <w:rsid w:val="00DF21A3"/>
    <w:rsid w:val="00DF241B"/>
    <w:rsid w:val="00DF2860"/>
    <w:rsid w:val="00DF54FD"/>
    <w:rsid w:val="00DF663F"/>
    <w:rsid w:val="00E02A6A"/>
    <w:rsid w:val="00E0472B"/>
    <w:rsid w:val="00E060FE"/>
    <w:rsid w:val="00E11021"/>
    <w:rsid w:val="00E12AE4"/>
    <w:rsid w:val="00E2075C"/>
    <w:rsid w:val="00E20D5E"/>
    <w:rsid w:val="00E317D3"/>
    <w:rsid w:val="00E34D9F"/>
    <w:rsid w:val="00E35D87"/>
    <w:rsid w:val="00E362A1"/>
    <w:rsid w:val="00E372E9"/>
    <w:rsid w:val="00E37BA3"/>
    <w:rsid w:val="00E430B1"/>
    <w:rsid w:val="00E57308"/>
    <w:rsid w:val="00E613AE"/>
    <w:rsid w:val="00E62B66"/>
    <w:rsid w:val="00E63369"/>
    <w:rsid w:val="00E6345C"/>
    <w:rsid w:val="00E65A91"/>
    <w:rsid w:val="00E6685D"/>
    <w:rsid w:val="00E70912"/>
    <w:rsid w:val="00E70ECD"/>
    <w:rsid w:val="00E7185D"/>
    <w:rsid w:val="00E74302"/>
    <w:rsid w:val="00E74612"/>
    <w:rsid w:val="00E76E6B"/>
    <w:rsid w:val="00E81117"/>
    <w:rsid w:val="00E81C95"/>
    <w:rsid w:val="00E81D91"/>
    <w:rsid w:val="00E821FD"/>
    <w:rsid w:val="00E82211"/>
    <w:rsid w:val="00E87789"/>
    <w:rsid w:val="00EA5C5E"/>
    <w:rsid w:val="00EA6853"/>
    <w:rsid w:val="00EA6F2C"/>
    <w:rsid w:val="00EA736F"/>
    <w:rsid w:val="00EB2E90"/>
    <w:rsid w:val="00EB4617"/>
    <w:rsid w:val="00EC2F4E"/>
    <w:rsid w:val="00EC6737"/>
    <w:rsid w:val="00EC7532"/>
    <w:rsid w:val="00ED0E0C"/>
    <w:rsid w:val="00ED2528"/>
    <w:rsid w:val="00ED36FD"/>
    <w:rsid w:val="00ED3B16"/>
    <w:rsid w:val="00ED56A2"/>
    <w:rsid w:val="00EE7227"/>
    <w:rsid w:val="00EE7DD4"/>
    <w:rsid w:val="00EF5165"/>
    <w:rsid w:val="00EF581A"/>
    <w:rsid w:val="00F007D7"/>
    <w:rsid w:val="00F00C16"/>
    <w:rsid w:val="00F00D58"/>
    <w:rsid w:val="00F047C5"/>
    <w:rsid w:val="00F05DBC"/>
    <w:rsid w:val="00F063DD"/>
    <w:rsid w:val="00F07358"/>
    <w:rsid w:val="00F075E7"/>
    <w:rsid w:val="00F14274"/>
    <w:rsid w:val="00F2683C"/>
    <w:rsid w:val="00F27473"/>
    <w:rsid w:val="00F34370"/>
    <w:rsid w:val="00F422DC"/>
    <w:rsid w:val="00F435FD"/>
    <w:rsid w:val="00F50386"/>
    <w:rsid w:val="00F5456C"/>
    <w:rsid w:val="00F60FAE"/>
    <w:rsid w:val="00F703C8"/>
    <w:rsid w:val="00F70B1C"/>
    <w:rsid w:val="00F76358"/>
    <w:rsid w:val="00F773FB"/>
    <w:rsid w:val="00F82A1F"/>
    <w:rsid w:val="00F84025"/>
    <w:rsid w:val="00F9083D"/>
    <w:rsid w:val="00F940AC"/>
    <w:rsid w:val="00FA1A1C"/>
    <w:rsid w:val="00FA78DA"/>
    <w:rsid w:val="00FA7A2D"/>
    <w:rsid w:val="00FA7DCD"/>
    <w:rsid w:val="00FB2224"/>
    <w:rsid w:val="00FB38E3"/>
    <w:rsid w:val="00FC3F79"/>
    <w:rsid w:val="00FC75B5"/>
    <w:rsid w:val="00FD3035"/>
    <w:rsid w:val="00FD47B9"/>
    <w:rsid w:val="00FE0598"/>
    <w:rsid w:val="00FE4DDC"/>
    <w:rsid w:val="00FF40ED"/>
    <w:rsid w:val="00FF4CF0"/>
    <w:rsid w:val="00FF6916"/>
    <w:rsid w:val="00FF705C"/>
    <w:rsid w:val="00FF78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85734"/>
  <w15:chartTrackingRefBased/>
  <w15:docId w15:val="{EA940D3D-69E2-466D-8908-C42DBF94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22CD"/>
    <w:pPr>
      <w:overflowPunct w:val="0"/>
      <w:autoSpaceDE w:val="0"/>
      <w:autoSpaceDN w:val="0"/>
      <w:adjustRightInd w:val="0"/>
      <w:spacing w:before="120"/>
      <w:textAlignment w:val="baseline"/>
    </w:pPr>
    <w:rPr>
      <w:sz w:val="24"/>
      <w:lang w:val="en-GB"/>
    </w:rPr>
  </w:style>
  <w:style w:type="paragraph" w:styleId="Nadpis1">
    <w:name w:val="heading 1"/>
    <w:basedOn w:val="Normln"/>
    <w:next w:val="Normln"/>
    <w:qFormat/>
    <w:rsid w:val="009E0801"/>
    <w:pPr>
      <w:keepNext/>
      <w:overflowPunct/>
      <w:autoSpaceDE/>
      <w:autoSpaceDN/>
      <w:adjustRightInd/>
      <w:spacing w:before="0"/>
      <w:jc w:val="center"/>
      <w:textAlignment w:val="auto"/>
      <w:outlineLvl w:val="0"/>
    </w:pPr>
    <w:rPr>
      <w:b/>
      <w:bCs/>
      <w:sz w:val="28"/>
      <w:szCs w:val="24"/>
      <w:lang w:val="cs-CZ"/>
    </w:rPr>
  </w:style>
  <w:style w:type="paragraph" w:styleId="Nadpis4">
    <w:name w:val="heading 4"/>
    <w:basedOn w:val="Normln"/>
    <w:next w:val="Normln"/>
    <w:link w:val="Nadpis4Char"/>
    <w:semiHidden/>
    <w:unhideWhenUsed/>
    <w:qFormat/>
    <w:rsid w:val="00DB2183"/>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200E11"/>
    <w:pPr>
      <w:ind w:firstLine="737"/>
    </w:pPr>
  </w:style>
  <w:style w:type="paragraph" w:customStyle="1" w:styleId="Clanek">
    <w:name w:val="Clanek"/>
    <w:next w:val="Normlnodsazen"/>
    <w:rsid w:val="00200E11"/>
    <w:pPr>
      <w:overflowPunct w:val="0"/>
      <w:autoSpaceDE w:val="0"/>
      <w:autoSpaceDN w:val="0"/>
      <w:adjustRightInd w:val="0"/>
      <w:spacing w:before="240"/>
      <w:jc w:val="center"/>
      <w:textAlignment w:val="baseline"/>
    </w:pPr>
    <w:rPr>
      <w:b/>
      <w:noProof/>
    </w:rPr>
  </w:style>
  <w:style w:type="paragraph" w:styleId="Zpat">
    <w:name w:val="footer"/>
    <w:basedOn w:val="Normln"/>
    <w:rsid w:val="00200E11"/>
    <w:pPr>
      <w:tabs>
        <w:tab w:val="center" w:pos="4819"/>
        <w:tab w:val="right" w:pos="9071"/>
      </w:tabs>
    </w:pPr>
  </w:style>
  <w:style w:type="paragraph" w:styleId="Zhlav">
    <w:name w:val="header"/>
    <w:basedOn w:val="Normln"/>
    <w:rsid w:val="00200E11"/>
    <w:pPr>
      <w:tabs>
        <w:tab w:val="center" w:pos="4819"/>
        <w:tab w:val="right" w:pos="9071"/>
      </w:tabs>
    </w:pPr>
  </w:style>
  <w:style w:type="character" w:styleId="slostrnky">
    <w:name w:val="page number"/>
    <w:basedOn w:val="Standardnpsmoodstavce"/>
    <w:rsid w:val="00200E11"/>
  </w:style>
  <w:style w:type="table" w:styleId="Mkatabulky">
    <w:name w:val="Table Grid"/>
    <w:basedOn w:val="Normlntabulka"/>
    <w:rsid w:val="00200E11"/>
    <w:pPr>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3C0FA3"/>
    <w:rPr>
      <w:rFonts w:ascii="Tahoma" w:hAnsi="Tahoma" w:cs="Tahoma"/>
      <w:sz w:val="16"/>
      <w:szCs w:val="16"/>
    </w:rPr>
  </w:style>
  <w:style w:type="paragraph" w:styleId="Rozloendokumentu">
    <w:name w:val="Document Map"/>
    <w:basedOn w:val="Normln"/>
    <w:semiHidden/>
    <w:rsid w:val="00232407"/>
    <w:pPr>
      <w:shd w:val="clear" w:color="auto" w:fill="000080"/>
    </w:pPr>
    <w:rPr>
      <w:rFonts w:ascii="Tahoma" w:hAnsi="Tahoma" w:cs="Tahoma"/>
      <w:sz w:val="20"/>
    </w:rPr>
  </w:style>
  <w:style w:type="character" w:styleId="Odkaznakoment">
    <w:name w:val="annotation reference"/>
    <w:semiHidden/>
    <w:rsid w:val="008E37E6"/>
    <w:rPr>
      <w:sz w:val="16"/>
      <w:szCs w:val="16"/>
    </w:rPr>
  </w:style>
  <w:style w:type="paragraph" w:styleId="Textkomente">
    <w:name w:val="annotation text"/>
    <w:basedOn w:val="Normln"/>
    <w:semiHidden/>
    <w:rsid w:val="008E37E6"/>
    <w:rPr>
      <w:sz w:val="20"/>
    </w:rPr>
  </w:style>
  <w:style w:type="paragraph" w:styleId="Pedmtkomente">
    <w:name w:val="annotation subject"/>
    <w:basedOn w:val="Textkomente"/>
    <w:next w:val="Textkomente"/>
    <w:semiHidden/>
    <w:rsid w:val="008E37E6"/>
    <w:rPr>
      <w:b/>
      <w:bCs/>
    </w:rPr>
  </w:style>
  <w:style w:type="paragraph" w:styleId="Zkladntext">
    <w:name w:val="Body Text"/>
    <w:basedOn w:val="Normln"/>
    <w:rsid w:val="00A7610F"/>
    <w:pPr>
      <w:spacing w:after="120"/>
    </w:pPr>
  </w:style>
  <w:style w:type="paragraph" w:styleId="Zkladntext-prvnodsazen">
    <w:name w:val="Body Text First Indent"/>
    <w:aliases w:val="fi"/>
    <w:basedOn w:val="Zkladntext"/>
    <w:rsid w:val="00A7610F"/>
    <w:pPr>
      <w:overflowPunct/>
      <w:autoSpaceDE/>
      <w:autoSpaceDN/>
      <w:adjustRightInd/>
      <w:spacing w:before="0"/>
      <w:ind w:firstLine="210"/>
      <w:textAlignment w:val="auto"/>
    </w:pPr>
    <w:rPr>
      <w:szCs w:val="24"/>
      <w:lang w:val="cs-CZ" w:eastAsia="en-US"/>
    </w:rPr>
  </w:style>
  <w:style w:type="paragraph" w:customStyle="1" w:styleId="normalcond">
    <w:name w:val="normalcond"/>
    <w:basedOn w:val="Normln"/>
    <w:rsid w:val="001616F2"/>
    <w:pPr>
      <w:tabs>
        <w:tab w:val="left" w:pos="426"/>
        <w:tab w:val="left" w:pos="2269"/>
        <w:tab w:val="left" w:pos="5387"/>
        <w:tab w:val="left" w:pos="6379"/>
      </w:tabs>
      <w:overflowPunct/>
      <w:adjustRightInd/>
      <w:spacing w:before="60" w:line="360" w:lineRule="atLeast"/>
      <w:jc w:val="both"/>
      <w:textAlignment w:val="auto"/>
    </w:pPr>
    <w:rPr>
      <w:sz w:val="20"/>
      <w:szCs w:val="24"/>
    </w:rPr>
  </w:style>
  <w:style w:type="character" w:styleId="Hypertextovodkaz">
    <w:name w:val="Hyperlink"/>
    <w:rsid w:val="00D23D31"/>
    <w:rPr>
      <w:color w:val="0000FF"/>
      <w:u w:val="single"/>
    </w:rPr>
  </w:style>
  <w:style w:type="paragraph" w:customStyle="1" w:styleId="Char1CharCharCharCharCharCharChar">
    <w:name w:val="Char1 Char Char Char Char Char Char Char"/>
    <w:basedOn w:val="Normln"/>
    <w:semiHidden/>
    <w:rsid w:val="009C3A4A"/>
    <w:pPr>
      <w:overflowPunct/>
      <w:autoSpaceDE/>
      <w:autoSpaceDN/>
      <w:adjustRightInd/>
      <w:spacing w:before="0" w:after="160" w:line="240" w:lineRule="exact"/>
      <w:textAlignment w:val="auto"/>
    </w:pPr>
    <w:rPr>
      <w:rFonts w:ascii="Arial" w:hAnsi="Arial"/>
      <w:sz w:val="22"/>
      <w:szCs w:val="22"/>
      <w:lang w:val="en-US" w:eastAsia="en-US"/>
    </w:rPr>
  </w:style>
  <w:style w:type="paragraph" w:styleId="Zkladntext2">
    <w:name w:val="Body Text 2"/>
    <w:basedOn w:val="Normln"/>
    <w:rsid w:val="00F5456C"/>
    <w:pPr>
      <w:spacing w:after="120" w:line="480" w:lineRule="auto"/>
    </w:pPr>
  </w:style>
  <w:style w:type="character" w:customStyle="1" w:styleId="Nadpis4Char">
    <w:name w:val="Nadpis 4 Char"/>
    <w:link w:val="Nadpis4"/>
    <w:semiHidden/>
    <w:rsid w:val="00DB2183"/>
    <w:rPr>
      <w:rFonts w:ascii="Calibri" w:eastAsia="Times New Roman" w:hAnsi="Calibri" w:cs="Times New Roman"/>
      <w:b/>
      <w:bCs/>
      <w:sz w:val="28"/>
      <w:szCs w:val="28"/>
      <w:lang w:val="en-GB"/>
    </w:rPr>
  </w:style>
  <w:style w:type="paragraph" w:styleId="Revize">
    <w:name w:val="Revision"/>
    <w:hidden/>
    <w:uiPriority w:val="99"/>
    <w:semiHidden/>
    <w:rsid w:val="00854B23"/>
    <w:rPr>
      <w:sz w:val="24"/>
      <w:lang w:val="en-GB"/>
    </w:rPr>
  </w:style>
  <w:style w:type="character" w:styleId="Nevyeenzmnka">
    <w:name w:val="Unresolved Mention"/>
    <w:uiPriority w:val="99"/>
    <w:semiHidden/>
    <w:unhideWhenUsed/>
    <w:rsid w:val="00EA6F2C"/>
    <w:rPr>
      <w:color w:val="605E5C"/>
      <w:shd w:val="clear" w:color="auto" w:fill="E1DFDD"/>
    </w:rPr>
  </w:style>
  <w:style w:type="paragraph" w:styleId="Bezmezer">
    <w:name w:val="No Spacing"/>
    <w:uiPriority w:val="1"/>
    <w:qFormat/>
    <w:rsid w:val="00C163C2"/>
    <w:rPr>
      <w:rFonts w:ascii="Calibri" w:eastAsia="Calibri" w:hAnsi="Calibri"/>
      <w:sz w:val="22"/>
      <w:szCs w:val="22"/>
      <w:lang w:eastAsia="en-US"/>
    </w:rPr>
  </w:style>
  <w:style w:type="paragraph" w:styleId="Odstavecseseznamem">
    <w:name w:val="List Paragraph"/>
    <w:basedOn w:val="Normln"/>
    <w:uiPriority w:val="34"/>
    <w:qFormat/>
    <w:rsid w:val="007940E1"/>
    <w:pPr>
      <w:overflowPunct/>
      <w:autoSpaceDE/>
      <w:autoSpaceDN/>
      <w:adjustRightInd/>
      <w:spacing w:before="0" w:after="160" w:line="256" w:lineRule="auto"/>
      <w:ind w:left="720"/>
      <w:contextualSpacing/>
      <w:textAlignment w:val="auto"/>
    </w:pPr>
    <w:rPr>
      <w:rFonts w:ascii="Calibri" w:eastAsia="Calibri" w:hAnsi="Calibri"/>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6758">
      <w:bodyDiv w:val="1"/>
      <w:marLeft w:val="0"/>
      <w:marRight w:val="0"/>
      <w:marTop w:val="0"/>
      <w:marBottom w:val="0"/>
      <w:divBdr>
        <w:top w:val="none" w:sz="0" w:space="0" w:color="auto"/>
        <w:left w:val="none" w:sz="0" w:space="0" w:color="auto"/>
        <w:bottom w:val="none" w:sz="0" w:space="0" w:color="auto"/>
        <w:right w:val="none" w:sz="0" w:space="0" w:color="auto"/>
      </w:divBdr>
    </w:div>
    <w:div w:id="122893844">
      <w:bodyDiv w:val="1"/>
      <w:marLeft w:val="0"/>
      <w:marRight w:val="0"/>
      <w:marTop w:val="0"/>
      <w:marBottom w:val="0"/>
      <w:divBdr>
        <w:top w:val="none" w:sz="0" w:space="0" w:color="auto"/>
        <w:left w:val="none" w:sz="0" w:space="0" w:color="auto"/>
        <w:bottom w:val="none" w:sz="0" w:space="0" w:color="auto"/>
        <w:right w:val="none" w:sz="0" w:space="0" w:color="auto"/>
      </w:divBdr>
    </w:div>
    <w:div w:id="282853713">
      <w:bodyDiv w:val="1"/>
      <w:marLeft w:val="0"/>
      <w:marRight w:val="0"/>
      <w:marTop w:val="0"/>
      <w:marBottom w:val="0"/>
      <w:divBdr>
        <w:top w:val="none" w:sz="0" w:space="0" w:color="auto"/>
        <w:left w:val="none" w:sz="0" w:space="0" w:color="auto"/>
        <w:bottom w:val="none" w:sz="0" w:space="0" w:color="auto"/>
        <w:right w:val="none" w:sz="0" w:space="0" w:color="auto"/>
      </w:divBdr>
    </w:div>
    <w:div w:id="396126559">
      <w:bodyDiv w:val="1"/>
      <w:marLeft w:val="0"/>
      <w:marRight w:val="0"/>
      <w:marTop w:val="0"/>
      <w:marBottom w:val="0"/>
      <w:divBdr>
        <w:top w:val="none" w:sz="0" w:space="0" w:color="auto"/>
        <w:left w:val="none" w:sz="0" w:space="0" w:color="auto"/>
        <w:bottom w:val="none" w:sz="0" w:space="0" w:color="auto"/>
        <w:right w:val="none" w:sz="0" w:space="0" w:color="auto"/>
      </w:divBdr>
    </w:div>
    <w:div w:id="404760169">
      <w:bodyDiv w:val="1"/>
      <w:marLeft w:val="0"/>
      <w:marRight w:val="0"/>
      <w:marTop w:val="0"/>
      <w:marBottom w:val="0"/>
      <w:divBdr>
        <w:top w:val="none" w:sz="0" w:space="0" w:color="auto"/>
        <w:left w:val="none" w:sz="0" w:space="0" w:color="auto"/>
        <w:bottom w:val="none" w:sz="0" w:space="0" w:color="auto"/>
        <w:right w:val="none" w:sz="0" w:space="0" w:color="auto"/>
      </w:divBdr>
    </w:div>
    <w:div w:id="537277900">
      <w:bodyDiv w:val="1"/>
      <w:marLeft w:val="0"/>
      <w:marRight w:val="0"/>
      <w:marTop w:val="0"/>
      <w:marBottom w:val="0"/>
      <w:divBdr>
        <w:top w:val="none" w:sz="0" w:space="0" w:color="auto"/>
        <w:left w:val="none" w:sz="0" w:space="0" w:color="auto"/>
        <w:bottom w:val="none" w:sz="0" w:space="0" w:color="auto"/>
        <w:right w:val="none" w:sz="0" w:space="0" w:color="auto"/>
      </w:divBdr>
    </w:div>
    <w:div w:id="659504741">
      <w:bodyDiv w:val="1"/>
      <w:marLeft w:val="0"/>
      <w:marRight w:val="0"/>
      <w:marTop w:val="0"/>
      <w:marBottom w:val="0"/>
      <w:divBdr>
        <w:top w:val="none" w:sz="0" w:space="0" w:color="auto"/>
        <w:left w:val="none" w:sz="0" w:space="0" w:color="auto"/>
        <w:bottom w:val="none" w:sz="0" w:space="0" w:color="auto"/>
        <w:right w:val="none" w:sz="0" w:space="0" w:color="auto"/>
      </w:divBdr>
    </w:div>
    <w:div w:id="716323073">
      <w:bodyDiv w:val="1"/>
      <w:marLeft w:val="0"/>
      <w:marRight w:val="0"/>
      <w:marTop w:val="0"/>
      <w:marBottom w:val="0"/>
      <w:divBdr>
        <w:top w:val="none" w:sz="0" w:space="0" w:color="auto"/>
        <w:left w:val="none" w:sz="0" w:space="0" w:color="auto"/>
        <w:bottom w:val="none" w:sz="0" w:space="0" w:color="auto"/>
        <w:right w:val="none" w:sz="0" w:space="0" w:color="auto"/>
      </w:divBdr>
    </w:div>
    <w:div w:id="913047689">
      <w:bodyDiv w:val="1"/>
      <w:marLeft w:val="0"/>
      <w:marRight w:val="0"/>
      <w:marTop w:val="0"/>
      <w:marBottom w:val="0"/>
      <w:divBdr>
        <w:top w:val="none" w:sz="0" w:space="0" w:color="auto"/>
        <w:left w:val="none" w:sz="0" w:space="0" w:color="auto"/>
        <w:bottom w:val="none" w:sz="0" w:space="0" w:color="auto"/>
        <w:right w:val="none" w:sz="0" w:space="0" w:color="auto"/>
      </w:divBdr>
    </w:div>
    <w:div w:id="993797222">
      <w:bodyDiv w:val="1"/>
      <w:marLeft w:val="0"/>
      <w:marRight w:val="0"/>
      <w:marTop w:val="0"/>
      <w:marBottom w:val="0"/>
      <w:divBdr>
        <w:top w:val="none" w:sz="0" w:space="0" w:color="auto"/>
        <w:left w:val="none" w:sz="0" w:space="0" w:color="auto"/>
        <w:bottom w:val="none" w:sz="0" w:space="0" w:color="auto"/>
        <w:right w:val="none" w:sz="0" w:space="0" w:color="auto"/>
      </w:divBdr>
    </w:div>
    <w:div w:id="1118839326">
      <w:bodyDiv w:val="1"/>
      <w:marLeft w:val="0"/>
      <w:marRight w:val="0"/>
      <w:marTop w:val="0"/>
      <w:marBottom w:val="0"/>
      <w:divBdr>
        <w:top w:val="none" w:sz="0" w:space="0" w:color="auto"/>
        <w:left w:val="none" w:sz="0" w:space="0" w:color="auto"/>
        <w:bottom w:val="none" w:sz="0" w:space="0" w:color="auto"/>
        <w:right w:val="none" w:sz="0" w:space="0" w:color="auto"/>
      </w:divBdr>
    </w:div>
    <w:div w:id="1188954424">
      <w:bodyDiv w:val="1"/>
      <w:marLeft w:val="0"/>
      <w:marRight w:val="0"/>
      <w:marTop w:val="0"/>
      <w:marBottom w:val="0"/>
      <w:divBdr>
        <w:top w:val="none" w:sz="0" w:space="0" w:color="auto"/>
        <w:left w:val="none" w:sz="0" w:space="0" w:color="auto"/>
        <w:bottom w:val="none" w:sz="0" w:space="0" w:color="auto"/>
        <w:right w:val="none" w:sz="0" w:space="0" w:color="auto"/>
      </w:divBdr>
    </w:div>
    <w:div w:id="1197038602">
      <w:bodyDiv w:val="1"/>
      <w:marLeft w:val="0"/>
      <w:marRight w:val="0"/>
      <w:marTop w:val="0"/>
      <w:marBottom w:val="0"/>
      <w:divBdr>
        <w:top w:val="none" w:sz="0" w:space="0" w:color="auto"/>
        <w:left w:val="none" w:sz="0" w:space="0" w:color="auto"/>
        <w:bottom w:val="none" w:sz="0" w:space="0" w:color="auto"/>
        <w:right w:val="none" w:sz="0" w:space="0" w:color="auto"/>
      </w:divBdr>
    </w:div>
    <w:div w:id="1199397768">
      <w:bodyDiv w:val="1"/>
      <w:marLeft w:val="0"/>
      <w:marRight w:val="0"/>
      <w:marTop w:val="0"/>
      <w:marBottom w:val="0"/>
      <w:divBdr>
        <w:top w:val="none" w:sz="0" w:space="0" w:color="auto"/>
        <w:left w:val="none" w:sz="0" w:space="0" w:color="auto"/>
        <w:bottom w:val="none" w:sz="0" w:space="0" w:color="auto"/>
        <w:right w:val="none" w:sz="0" w:space="0" w:color="auto"/>
      </w:divBdr>
    </w:div>
    <w:div w:id="1307737522">
      <w:bodyDiv w:val="1"/>
      <w:marLeft w:val="0"/>
      <w:marRight w:val="0"/>
      <w:marTop w:val="0"/>
      <w:marBottom w:val="0"/>
      <w:divBdr>
        <w:top w:val="none" w:sz="0" w:space="0" w:color="auto"/>
        <w:left w:val="none" w:sz="0" w:space="0" w:color="auto"/>
        <w:bottom w:val="none" w:sz="0" w:space="0" w:color="auto"/>
        <w:right w:val="none" w:sz="0" w:space="0" w:color="auto"/>
      </w:divBdr>
    </w:div>
    <w:div w:id="1359354257">
      <w:bodyDiv w:val="1"/>
      <w:marLeft w:val="0"/>
      <w:marRight w:val="0"/>
      <w:marTop w:val="0"/>
      <w:marBottom w:val="0"/>
      <w:divBdr>
        <w:top w:val="none" w:sz="0" w:space="0" w:color="auto"/>
        <w:left w:val="none" w:sz="0" w:space="0" w:color="auto"/>
        <w:bottom w:val="none" w:sz="0" w:space="0" w:color="auto"/>
        <w:right w:val="none" w:sz="0" w:space="0" w:color="auto"/>
      </w:divBdr>
    </w:div>
    <w:div w:id="1362319764">
      <w:bodyDiv w:val="1"/>
      <w:marLeft w:val="0"/>
      <w:marRight w:val="0"/>
      <w:marTop w:val="0"/>
      <w:marBottom w:val="0"/>
      <w:divBdr>
        <w:top w:val="none" w:sz="0" w:space="0" w:color="auto"/>
        <w:left w:val="none" w:sz="0" w:space="0" w:color="auto"/>
        <w:bottom w:val="none" w:sz="0" w:space="0" w:color="auto"/>
        <w:right w:val="none" w:sz="0" w:space="0" w:color="auto"/>
      </w:divBdr>
    </w:div>
    <w:div w:id="1469738456">
      <w:bodyDiv w:val="1"/>
      <w:marLeft w:val="0"/>
      <w:marRight w:val="0"/>
      <w:marTop w:val="0"/>
      <w:marBottom w:val="0"/>
      <w:divBdr>
        <w:top w:val="none" w:sz="0" w:space="0" w:color="auto"/>
        <w:left w:val="none" w:sz="0" w:space="0" w:color="auto"/>
        <w:bottom w:val="none" w:sz="0" w:space="0" w:color="auto"/>
        <w:right w:val="none" w:sz="0" w:space="0" w:color="auto"/>
      </w:divBdr>
    </w:div>
    <w:div w:id="1618676897">
      <w:bodyDiv w:val="1"/>
      <w:marLeft w:val="0"/>
      <w:marRight w:val="0"/>
      <w:marTop w:val="0"/>
      <w:marBottom w:val="0"/>
      <w:divBdr>
        <w:top w:val="none" w:sz="0" w:space="0" w:color="auto"/>
        <w:left w:val="none" w:sz="0" w:space="0" w:color="auto"/>
        <w:bottom w:val="none" w:sz="0" w:space="0" w:color="auto"/>
        <w:right w:val="none" w:sz="0" w:space="0" w:color="auto"/>
      </w:divBdr>
    </w:div>
    <w:div w:id="1770541185">
      <w:bodyDiv w:val="1"/>
      <w:marLeft w:val="0"/>
      <w:marRight w:val="0"/>
      <w:marTop w:val="0"/>
      <w:marBottom w:val="0"/>
      <w:divBdr>
        <w:top w:val="none" w:sz="0" w:space="0" w:color="auto"/>
        <w:left w:val="none" w:sz="0" w:space="0" w:color="auto"/>
        <w:bottom w:val="none" w:sz="0" w:space="0" w:color="auto"/>
        <w:right w:val="none" w:sz="0" w:space="0" w:color="auto"/>
      </w:divBdr>
    </w:div>
    <w:div w:id="1772776793">
      <w:bodyDiv w:val="1"/>
      <w:marLeft w:val="0"/>
      <w:marRight w:val="0"/>
      <w:marTop w:val="0"/>
      <w:marBottom w:val="0"/>
      <w:divBdr>
        <w:top w:val="none" w:sz="0" w:space="0" w:color="auto"/>
        <w:left w:val="none" w:sz="0" w:space="0" w:color="auto"/>
        <w:bottom w:val="none" w:sz="0" w:space="0" w:color="auto"/>
        <w:right w:val="none" w:sz="0" w:space="0" w:color="auto"/>
      </w:divBdr>
    </w:div>
    <w:div w:id="1813447260">
      <w:bodyDiv w:val="1"/>
      <w:marLeft w:val="0"/>
      <w:marRight w:val="0"/>
      <w:marTop w:val="0"/>
      <w:marBottom w:val="0"/>
      <w:divBdr>
        <w:top w:val="none" w:sz="0" w:space="0" w:color="auto"/>
        <w:left w:val="none" w:sz="0" w:space="0" w:color="auto"/>
        <w:bottom w:val="none" w:sz="0" w:space="0" w:color="auto"/>
        <w:right w:val="none" w:sz="0" w:space="0" w:color="auto"/>
      </w:divBdr>
    </w:div>
    <w:div w:id="1882592305">
      <w:bodyDiv w:val="1"/>
      <w:marLeft w:val="0"/>
      <w:marRight w:val="0"/>
      <w:marTop w:val="0"/>
      <w:marBottom w:val="0"/>
      <w:divBdr>
        <w:top w:val="none" w:sz="0" w:space="0" w:color="auto"/>
        <w:left w:val="none" w:sz="0" w:space="0" w:color="auto"/>
        <w:bottom w:val="none" w:sz="0" w:space="0" w:color="auto"/>
        <w:right w:val="none" w:sz="0" w:space="0" w:color="auto"/>
      </w:divBdr>
    </w:div>
    <w:div w:id="1898978777">
      <w:bodyDiv w:val="1"/>
      <w:marLeft w:val="0"/>
      <w:marRight w:val="0"/>
      <w:marTop w:val="0"/>
      <w:marBottom w:val="0"/>
      <w:divBdr>
        <w:top w:val="none" w:sz="0" w:space="0" w:color="auto"/>
        <w:left w:val="none" w:sz="0" w:space="0" w:color="auto"/>
        <w:bottom w:val="none" w:sz="0" w:space="0" w:color="auto"/>
        <w:right w:val="none" w:sz="0" w:space="0" w:color="auto"/>
      </w:divBdr>
    </w:div>
    <w:div w:id="1940486636">
      <w:bodyDiv w:val="1"/>
      <w:marLeft w:val="0"/>
      <w:marRight w:val="0"/>
      <w:marTop w:val="0"/>
      <w:marBottom w:val="0"/>
      <w:divBdr>
        <w:top w:val="none" w:sz="0" w:space="0" w:color="auto"/>
        <w:left w:val="none" w:sz="0" w:space="0" w:color="auto"/>
        <w:bottom w:val="none" w:sz="0" w:space="0" w:color="auto"/>
        <w:right w:val="none" w:sz="0" w:space="0" w:color="auto"/>
      </w:divBdr>
    </w:div>
    <w:div w:id="2016572298">
      <w:bodyDiv w:val="1"/>
      <w:marLeft w:val="0"/>
      <w:marRight w:val="0"/>
      <w:marTop w:val="0"/>
      <w:marBottom w:val="0"/>
      <w:divBdr>
        <w:top w:val="none" w:sz="0" w:space="0" w:color="auto"/>
        <w:left w:val="none" w:sz="0" w:space="0" w:color="auto"/>
        <w:bottom w:val="none" w:sz="0" w:space="0" w:color="auto"/>
        <w:right w:val="none" w:sz="0" w:space="0" w:color="auto"/>
      </w:divBdr>
    </w:div>
    <w:div w:id="2036226333">
      <w:bodyDiv w:val="1"/>
      <w:marLeft w:val="0"/>
      <w:marRight w:val="0"/>
      <w:marTop w:val="0"/>
      <w:marBottom w:val="0"/>
      <w:divBdr>
        <w:top w:val="none" w:sz="0" w:space="0" w:color="auto"/>
        <w:left w:val="none" w:sz="0" w:space="0" w:color="auto"/>
        <w:bottom w:val="none" w:sz="0" w:space="0" w:color="auto"/>
        <w:right w:val="none" w:sz="0" w:space="0" w:color="auto"/>
      </w:divBdr>
    </w:div>
    <w:div w:id="2112701593">
      <w:bodyDiv w:val="1"/>
      <w:marLeft w:val="0"/>
      <w:marRight w:val="0"/>
      <w:marTop w:val="0"/>
      <w:marBottom w:val="0"/>
      <w:divBdr>
        <w:top w:val="none" w:sz="0" w:space="0" w:color="auto"/>
        <w:left w:val="none" w:sz="0" w:space="0" w:color="auto"/>
        <w:bottom w:val="none" w:sz="0" w:space="0" w:color="auto"/>
        <w:right w:val="none" w:sz="0" w:space="0" w:color="auto"/>
      </w:divBdr>
    </w:div>
    <w:div w:id="213910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B7C2-E6FA-4BFA-A9F7-E3E40454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3606</Words>
  <Characters>20916</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PS</Company>
  <LinksUpToDate>false</LinksUpToDate>
  <CharactersWithSpaces>24474</CharactersWithSpaces>
  <SharedDoc>false</SharedDoc>
  <HLinks>
    <vt:vector size="12" baseType="variant">
      <vt:variant>
        <vt:i4>6881359</vt:i4>
      </vt:variant>
      <vt:variant>
        <vt:i4>3</vt:i4>
      </vt:variant>
      <vt:variant>
        <vt:i4>0</vt:i4>
      </vt:variant>
      <vt:variant>
        <vt:i4>5</vt:i4>
      </vt:variant>
      <vt:variant>
        <vt:lpwstr>mailto:podpora@colosseum.eu</vt:lpwstr>
      </vt:variant>
      <vt:variant>
        <vt:lpwstr/>
      </vt:variant>
      <vt:variant>
        <vt:i4>3997787</vt:i4>
      </vt:variant>
      <vt:variant>
        <vt:i4>0</vt:i4>
      </vt:variant>
      <vt:variant>
        <vt:i4>0</vt:i4>
      </vt:variant>
      <vt:variant>
        <vt:i4>5</vt:i4>
      </vt:variant>
      <vt:variant>
        <vt:lpwstr>mailto:karolina.kubova@colosseum.eu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subject/>
  <dc:creator>msvoboda</dc:creator>
  <cp:keywords/>
  <cp:lastModifiedBy>Jiří Bělohradský</cp:lastModifiedBy>
  <cp:revision>5</cp:revision>
  <cp:lastPrinted>2025-01-30T15:20:00Z</cp:lastPrinted>
  <dcterms:created xsi:type="dcterms:W3CDTF">2025-01-30T14:21:00Z</dcterms:created>
  <dcterms:modified xsi:type="dcterms:W3CDTF">2025-02-03T17:32:00Z</dcterms:modified>
</cp:coreProperties>
</file>