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765A" w14:textId="0A3A3125" w:rsidR="00995C21" w:rsidRPr="003352C6" w:rsidRDefault="00340590" w:rsidP="00110AF0">
      <w:pPr>
        <w:pStyle w:val="Nzev"/>
        <w:spacing w:after="0"/>
        <w:ind w:right="284"/>
        <w:jc w:val="center"/>
        <w:rPr>
          <w:rFonts w:ascii="Calibri" w:hAnsi="Calibri" w:cs="Calibri"/>
          <w:b/>
          <w:bCs/>
          <w:i w:val="0"/>
          <w:iCs/>
          <w:sz w:val="32"/>
          <w:szCs w:val="32"/>
        </w:rPr>
      </w:pPr>
      <w:r w:rsidRPr="003352C6">
        <w:rPr>
          <w:rFonts w:ascii="Calibri" w:hAnsi="Calibri" w:cs="Calibri"/>
          <w:b/>
          <w:bCs/>
          <w:i w:val="0"/>
          <w:iCs/>
          <w:sz w:val="32"/>
          <w:szCs w:val="32"/>
        </w:rPr>
        <w:t>SMLOUVA O KOMPLEXNÍ TECHNICKÉ PÉČI</w:t>
      </w:r>
    </w:p>
    <w:p w14:paraId="5C6A78CF" w14:textId="315559E4" w:rsidR="006048F0" w:rsidRDefault="00340590" w:rsidP="00110AF0">
      <w:pPr>
        <w:pStyle w:val="Nzev"/>
        <w:spacing w:after="0"/>
        <w:ind w:right="284"/>
        <w:jc w:val="center"/>
        <w:rPr>
          <w:rFonts w:ascii="Calibri" w:hAnsi="Calibri" w:cs="Calibri"/>
          <w:b/>
          <w:bCs/>
          <w:i w:val="0"/>
          <w:iCs/>
          <w:sz w:val="32"/>
          <w:szCs w:val="32"/>
        </w:rPr>
      </w:pPr>
      <w:r w:rsidRPr="003352C6">
        <w:rPr>
          <w:rFonts w:ascii="Calibri" w:hAnsi="Calibri" w:cs="Calibri"/>
          <w:b/>
          <w:bCs/>
          <w:i w:val="0"/>
          <w:iCs/>
          <w:sz w:val="32"/>
          <w:szCs w:val="32"/>
        </w:rPr>
        <w:t>ELEKTRICKÁ POŽÁRNÍ SIGNALIZACE</w:t>
      </w:r>
    </w:p>
    <w:p w14:paraId="18BF4CA2" w14:textId="3EE50430" w:rsidR="00137B7E" w:rsidRDefault="00995C21" w:rsidP="00AC3639">
      <w:pPr>
        <w:pStyle w:val="Nzev"/>
        <w:pBdr>
          <w:bottom w:val="single" w:sz="4" w:space="1" w:color="auto"/>
        </w:pBdr>
        <w:spacing w:after="0"/>
        <w:ind w:right="284"/>
        <w:jc w:val="center"/>
        <w:rPr>
          <w:rFonts w:ascii="Calibri" w:hAnsi="Calibri" w:cs="Calibri"/>
          <w:bCs/>
          <w:i w:val="0"/>
          <w:sz w:val="22"/>
          <w:szCs w:val="22"/>
        </w:rPr>
      </w:pPr>
      <w:r w:rsidRPr="006048F0">
        <w:rPr>
          <w:rFonts w:ascii="Calibri" w:hAnsi="Calibri" w:cs="Calibri"/>
          <w:bCs/>
          <w:i w:val="0"/>
          <w:sz w:val="22"/>
          <w:szCs w:val="22"/>
        </w:rPr>
        <w:t>kterou uzavřely dle ustanovení § 1746 odst. 2 zákona č. 89/2012 Sb., občanský zákoník, ve znění pozdějších předpisů</w:t>
      </w:r>
    </w:p>
    <w:p w14:paraId="523426B8" w14:textId="77777777" w:rsidR="00AC3639" w:rsidRDefault="00AC3639" w:rsidP="00110AF0">
      <w:pPr>
        <w:pStyle w:val="Nzev"/>
        <w:spacing w:after="0"/>
        <w:ind w:right="284"/>
        <w:jc w:val="center"/>
        <w:rPr>
          <w:rFonts w:ascii="Calibri" w:hAnsi="Calibri" w:cs="Calibri"/>
          <w:bCs/>
          <w:i w:val="0"/>
          <w:sz w:val="22"/>
          <w:szCs w:val="22"/>
        </w:rPr>
      </w:pPr>
    </w:p>
    <w:p w14:paraId="5CBD409E" w14:textId="64F2D076" w:rsidR="00995C21" w:rsidRPr="005631DE" w:rsidRDefault="00995C21" w:rsidP="00AC3639">
      <w:pPr>
        <w:pStyle w:val="Nzev"/>
        <w:spacing w:after="0"/>
        <w:ind w:right="284"/>
        <w:jc w:val="left"/>
        <w:rPr>
          <w:rFonts w:ascii="Calibri" w:hAnsi="Calibri" w:cs="Calibri"/>
          <w:b/>
          <w:bCs/>
          <w:i w:val="0"/>
          <w:iCs/>
          <w:sz w:val="32"/>
          <w:szCs w:val="32"/>
          <w:u w:val="single"/>
        </w:rPr>
      </w:pPr>
      <w:r w:rsidRPr="005631DE">
        <w:rPr>
          <w:rFonts w:ascii="Calibri" w:hAnsi="Calibri" w:cs="Calibri"/>
          <w:bCs/>
          <w:i w:val="0"/>
          <w:sz w:val="22"/>
          <w:szCs w:val="22"/>
          <w:u w:val="single"/>
        </w:rPr>
        <w:t>smluvní strany:</w:t>
      </w:r>
    </w:p>
    <w:p w14:paraId="6364DF4A" w14:textId="77777777" w:rsidR="00995C21" w:rsidRPr="00586685" w:rsidRDefault="00995C21" w:rsidP="00110AF0">
      <w:pPr>
        <w:ind w:right="284"/>
        <w:rPr>
          <w:rFonts w:ascii="Calibri" w:hAnsi="Calibri" w:cs="Calibri"/>
          <w:i w:val="0"/>
          <w:sz w:val="22"/>
          <w:szCs w:val="22"/>
        </w:rPr>
      </w:pPr>
    </w:p>
    <w:p w14:paraId="2FD6F752" w14:textId="77777777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b/>
          <w:i w:val="0"/>
          <w:sz w:val="22"/>
          <w:szCs w:val="22"/>
        </w:rPr>
      </w:pPr>
      <w:r w:rsidRPr="00586685">
        <w:rPr>
          <w:rFonts w:ascii="Calibri" w:hAnsi="Calibri" w:cs="Calibri"/>
          <w:b/>
          <w:i w:val="0"/>
          <w:sz w:val="22"/>
          <w:szCs w:val="22"/>
        </w:rPr>
        <w:t>TINT s. r. o.</w:t>
      </w:r>
    </w:p>
    <w:p w14:paraId="64DACBAB" w14:textId="35BE313E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se sídlem: </w:t>
      </w:r>
      <w:r w:rsidRPr="00586685">
        <w:rPr>
          <w:rFonts w:ascii="Calibri" w:hAnsi="Calibri" w:cs="Calibri"/>
          <w:i w:val="0"/>
          <w:sz w:val="22"/>
          <w:szCs w:val="22"/>
        </w:rPr>
        <w:tab/>
        <w:t>Riegrova 832, 738 01 Frýdek-Místek</w:t>
      </w:r>
    </w:p>
    <w:p w14:paraId="38C458E1" w14:textId="237D65BC" w:rsidR="00995C21" w:rsidRPr="00586685" w:rsidRDefault="00995C21" w:rsidP="00110AF0">
      <w:pPr>
        <w:tabs>
          <w:tab w:val="left" w:pos="2694"/>
          <w:tab w:val="left" w:leader="underscore" w:pos="5670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zástupce:</w:t>
      </w:r>
      <w:r w:rsidRPr="00586685">
        <w:rPr>
          <w:rFonts w:ascii="Calibri" w:hAnsi="Calibri" w:cs="Calibri"/>
          <w:i w:val="0"/>
          <w:sz w:val="22"/>
          <w:szCs w:val="22"/>
        </w:rPr>
        <w:tab/>
        <w:t>Pavel Mohyla</w:t>
      </w:r>
      <w:r w:rsidR="00897DA8">
        <w:rPr>
          <w:rFonts w:ascii="Calibri" w:hAnsi="Calibri" w:cs="Calibri"/>
          <w:i w:val="0"/>
          <w:sz w:val="22"/>
          <w:szCs w:val="22"/>
        </w:rPr>
        <w:t xml:space="preserve">, </w:t>
      </w:r>
      <w:r w:rsidRPr="00586685">
        <w:rPr>
          <w:rFonts w:ascii="Calibri" w:hAnsi="Calibri" w:cs="Calibri"/>
          <w:i w:val="0"/>
          <w:sz w:val="22"/>
          <w:szCs w:val="22"/>
        </w:rPr>
        <w:t>jednatel společnosti</w:t>
      </w:r>
    </w:p>
    <w:p w14:paraId="5F928FF2" w14:textId="5C73ED8A" w:rsidR="00995C21" w:rsidRPr="00586685" w:rsidRDefault="00995C21" w:rsidP="00110AF0">
      <w:pPr>
        <w:tabs>
          <w:tab w:val="left" w:pos="2694"/>
          <w:tab w:val="left" w:leader="underscore" w:pos="5670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IČO:</w:t>
      </w:r>
      <w:r w:rsidRPr="00586685">
        <w:rPr>
          <w:rFonts w:ascii="Calibri" w:hAnsi="Calibri" w:cs="Calibri"/>
          <w:i w:val="0"/>
          <w:sz w:val="22"/>
          <w:szCs w:val="22"/>
        </w:rPr>
        <w:tab/>
        <w:t>63323966</w:t>
      </w:r>
    </w:p>
    <w:p w14:paraId="14A91973" w14:textId="7D967A0D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DIČ:</w:t>
      </w:r>
      <w:r w:rsidRPr="00586685">
        <w:rPr>
          <w:rFonts w:ascii="Calibri" w:hAnsi="Calibri" w:cs="Calibri"/>
          <w:i w:val="0"/>
          <w:sz w:val="22"/>
          <w:szCs w:val="22"/>
        </w:rPr>
        <w:tab/>
        <w:t>CZ63323966</w:t>
      </w:r>
    </w:p>
    <w:p w14:paraId="3641FEC9" w14:textId="64FD4A3B" w:rsidR="00995C21" w:rsidRPr="00586685" w:rsidRDefault="00E960C5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b</w:t>
      </w:r>
      <w:r w:rsidR="00995C21" w:rsidRPr="00586685">
        <w:rPr>
          <w:rFonts w:ascii="Calibri" w:hAnsi="Calibri" w:cs="Calibri"/>
          <w:i w:val="0"/>
          <w:sz w:val="22"/>
          <w:szCs w:val="22"/>
        </w:rPr>
        <w:t>ankovní spojení:</w:t>
      </w:r>
      <w:r w:rsidR="00995C21" w:rsidRPr="00586685">
        <w:rPr>
          <w:rFonts w:ascii="Calibri" w:hAnsi="Calibri" w:cs="Calibri"/>
          <w:i w:val="0"/>
          <w:sz w:val="22"/>
          <w:szCs w:val="22"/>
        </w:rPr>
        <w:tab/>
        <w:t>Č</w:t>
      </w:r>
      <w:r w:rsidR="00B17F61">
        <w:rPr>
          <w:rFonts w:ascii="Calibri" w:hAnsi="Calibri" w:cs="Calibri"/>
          <w:i w:val="0"/>
          <w:sz w:val="22"/>
          <w:szCs w:val="22"/>
        </w:rPr>
        <w:t>S</w:t>
      </w:r>
      <w:r w:rsidR="00995C21" w:rsidRPr="00586685">
        <w:rPr>
          <w:rFonts w:ascii="Calibri" w:hAnsi="Calibri" w:cs="Calibri"/>
          <w:i w:val="0"/>
          <w:sz w:val="22"/>
          <w:szCs w:val="22"/>
        </w:rPr>
        <w:t>OB a. s. Ostrava</w:t>
      </w:r>
    </w:p>
    <w:p w14:paraId="1CD82CBA" w14:textId="302937C5" w:rsidR="00995C21" w:rsidRPr="00586685" w:rsidRDefault="00E960C5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č</w:t>
      </w:r>
      <w:r w:rsidR="00995C21" w:rsidRPr="00586685">
        <w:rPr>
          <w:rFonts w:ascii="Calibri" w:hAnsi="Calibri" w:cs="Calibri"/>
          <w:i w:val="0"/>
          <w:sz w:val="22"/>
          <w:szCs w:val="22"/>
        </w:rPr>
        <w:t>íslo účtu:</w:t>
      </w:r>
      <w:r w:rsidR="00995C21" w:rsidRPr="00586685">
        <w:rPr>
          <w:rFonts w:ascii="Calibri" w:hAnsi="Calibri" w:cs="Calibri"/>
          <w:i w:val="0"/>
          <w:sz w:val="22"/>
          <w:szCs w:val="22"/>
        </w:rPr>
        <w:tab/>
        <w:t>191624835/0300</w:t>
      </w:r>
    </w:p>
    <w:p w14:paraId="2C38AEE4" w14:textId="77777777" w:rsidR="00995C21" w:rsidRPr="00586685" w:rsidRDefault="00995C21" w:rsidP="00110AF0">
      <w:pPr>
        <w:pStyle w:val="text"/>
        <w:tabs>
          <w:tab w:val="left" w:pos="2694"/>
          <w:tab w:val="left" w:pos="2835"/>
        </w:tabs>
        <w:ind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zapsána v obchodním rejstříku vedeném Krajským soudem v Ostravě, oddíl C, vložka 13356</w:t>
      </w:r>
    </w:p>
    <w:p w14:paraId="159A3A12" w14:textId="77777777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</w:p>
    <w:p w14:paraId="58B284D4" w14:textId="77777777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(dále jen “servisní organizace“)</w:t>
      </w:r>
    </w:p>
    <w:p w14:paraId="539E8D02" w14:textId="77777777" w:rsidR="00995C21" w:rsidRPr="00586685" w:rsidRDefault="00995C21" w:rsidP="00110AF0">
      <w:pPr>
        <w:tabs>
          <w:tab w:val="left" w:pos="2694"/>
        </w:tabs>
        <w:ind w:right="284"/>
        <w:jc w:val="center"/>
        <w:rPr>
          <w:rFonts w:ascii="Calibri" w:hAnsi="Calibri" w:cs="Calibri"/>
          <w:i w:val="0"/>
          <w:sz w:val="22"/>
          <w:szCs w:val="22"/>
        </w:rPr>
      </w:pPr>
    </w:p>
    <w:p w14:paraId="04947752" w14:textId="77777777" w:rsidR="00995C21" w:rsidRPr="00586685" w:rsidRDefault="00995C21" w:rsidP="00B17F61">
      <w:pPr>
        <w:tabs>
          <w:tab w:val="left" w:pos="2694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a</w:t>
      </w:r>
    </w:p>
    <w:p w14:paraId="2841C210" w14:textId="77777777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b/>
          <w:i w:val="0"/>
          <w:sz w:val="22"/>
          <w:szCs w:val="22"/>
        </w:rPr>
      </w:pPr>
    </w:p>
    <w:p w14:paraId="7DBEB1B5" w14:textId="77777777" w:rsidR="00995C21" w:rsidRPr="00586685" w:rsidRDefault="00995C21" w:rsidP="00110AF0">
      <w:pPr>
        <w:tabs>
          <w:tab w:val="left" w:pos="2694"/>
        </w:tabs>
        <w:ind w:right="284"/>
        <w:jc w:val="left"/>
        <w:rPr>
          <w:rFonts w:ascii="Calibri" w:hAnsi="Calibri" w:cs="Calibri"/>
          <w:b/>
          <w:i w:val="0"/>
          <w:sz w:val="22"/>
          <w:szCs w:val="22"/>
        </w:rPr>
      </w:pPr>
      <w:r w:rsidRPr="00586685">
        <w:rPr>
          <w:rFonts w:ascii="Calibri" w:hAnsi="Calibri" w:cs="Calibri"/>
          <w:b/>
          <w:i w:val="0"/>
          <w:sz w:val="22"/>
          <w:szCs w:val="22"/>
        </w:rPr>
        <w:t>Správa sportovních a rekreačních zařízení Havířov</w:t>
      </w:r>
    </w:p>
    <w:p w14:paraId="7D15C395" w14:textId="6D3D5768" w:rsidR="00995C21" w:rsidRPr="00586685" w:rsidRDefault="00995C21" w:rsidP="00135D7C">
      <w:pPr>
        <w:pStyle w:val="text"/>
        <w:tabs>
          <w:tab w:val="left" w:pos="2835"/>
        </w:tabs>
        <w:ind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se sídlem:</w:t>
      </w:r>
      <w:r w:rsidR="00135D7C">
        <w:rPr>
          <w:rFonts w:ascii="Calibri" w:hAnsi="Calibri" w:cs="Calibri"/>
          <w:i w:val="0"/>
          <w:sz w:val="22"/>
          <w:szCs w:val="22"/>
        </w:rPr>
        <w:tab/>
      </w:r>
      <w:r w:rsidRPr="00586685">
        <w:rPr>
          <w:rFonts w:ascii="Calibri" w:hAnsi="Calibri" w:cs="Calibri"/>
          <w:i w:val="0"/>
          <w:sz w:val="22"/>
          <w:szCs w:val="22"/>
        </w:rPr>
        <w:t>Těšínská 1296/2a, 736 01 Havířov</w:t>
      </w:r>
      <w:r w:rsidR="001F198E">
        <w:rPr>
          <w:rFonts w:ascii="Calibri" w:hAnsi="Calibri" w:cs="Calibri"/>
          <w:i w:val="0"/>
          <w:sz w:val="22"/>
          <w:szCs w:val="22"/>
        </w:rPr>
        <w:t>-</w:t>
      </w:r>
      <w:r w:rsidRPr="00586685">
        <w:rPr>
          <w:rFonts w:ascii="Calibri" w:hAnsi="Calibri" w:cs="Calibri"/>
          <w:i w:val="0"/>
          <w:sz w:val="22"/>
          <w:szCs w:val="22"/>
        </w:rPr>
        <w:t>Podlesí</w:t>
      </w:r>
    </w:p>
    <w:p w14:paraId="46FD1E5E" w14:textId="77777777" w:rsidR="00995C21" w:rsidRPr="00586685" w:rsidRDefault="00995C21" w:rsidP="00110AF0">
      <w:pPr>
        <w:pStyle w:val="text"/>
        <w:ind w:left="2836" w:right="284" w:hanging="2836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zástupce:</w:t>
      </w:r>
      <w:r w:rsidRPr="00586685">
        <w:rPr>
          <w:rFonts w:ascii="Calibri" w:hAnsi="Calibri" w:cs="Calibri"/>
          <w:i w:val="0"/>
          <w:sz w:val="22"/>
          <w:szCs w:val="22"/>
        </w:rPr>
        <w:tab/>
        <w:t>PhDr. Mgr. Nazim Afana, LL.M., ředitel</w:t>
      </w:r>
    </w:p>
    <w:p w14:paraId="50F676BA" w14:textId="004E77B3" w:rsidR="00E960C5" w:rsidRDefault="00995C21" w:rsidP="00E960C5">
      <w:pPr>
        <w:pStyle w:val="text"/>
        <w:ind w:left="2836" w:right="284" w:hanging="2836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IČO:</w:t>
      </w:r>
      <w:r w:rsidRPr="00586685">
        <w:rPr>
          <w:rFonts w:ascii="Calibri" w:hAnsi="Calibri" w:cs="Calibri"/>
          <w:i w:val="0"/>
          <w:sz w:val="22"/>
          <w:szCs w:val="22"/>
        </w:rPr>
        <w:tab/>
        <w:t>00306754</w:t>
      </w:r>
    </w:p>
    <w:p w14:paraId="73748444" w14:textId="271F8C1A" w:rsidR="00995C21" w:rsidRPr="00586685" w:rsidRDefault="00995C21" w:rsidP="00E960C5">
      <w:pPr>
        <w:pStyle w:val="text"/>
        <w:ind w:left="2836" w:right="284" w:hanging="2836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DIČ:</w:t>
      </w:r>
      <w:r w:rsidRPr="00586685">
        <w:rPr>
          <w:rFonts w:ascii="Calibri" w:hAnsi="Calibri" w:cs="Calibri"/>
          <w:i w:val="0"/>
          <w:sz w:val="22"/>
          <w:szCs w:val="22"/>
        </w:rPr>
        <w:tab/>
        <w:t>CZ00306754</w:t>
      </w:r>
    </w:p>
    <w:p w14:paraId="58031D1D" w14:textId="53DA9A09" w:rsidR="00995C21" w:rsidRPr="00586685" w:rsidRDefault="00E960C5" w:rsidP="00110AF0">
      <w:pPr>
        <w:tabs>
          <w:tab w:val="left" w:pos="2835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b</w:t>
      </w:r>
      <w:r w:rsidR="00995C21" w:rsidRPr="00586685">
        <w:rPr>
          <w:rFonts w:ascii="Calibri" w:hAnsi="Calibri" w:cs="Calibri"/>
          <w:i w:val="0"/>
          <w:sz w:val="22"/>
          <w:szCs w:val="22"/>
        </w:rPr>
        <w:t>ankovní spojení:</w:t>
      </w:r>
      <w:r w:rsidR="00995C21" w:rsidRPr="00586685">
        <w:rPr>
          <w:rFonts w:ascii="Calibri" w:hAnsi="Calibri" w:cs="Calibri"/>
          <w:i w:val="0"/>
          <w:sz w:val="22"/>
          <w:szCs w:val="22"/>
        </w:rPr>
        <w:tab/>
        <w:t>Komerční banka a.</w:t>
      </w:r>
      <w:r>
        <w:rPr>
          <w:rFonts w:ascii="Calibri" w:hAnsi="Calibri" w:cs="Calibri"/>
          <w:i w:val="0"/>
          <w:sz w:val="22"/>
          <w:szCs w:val="22"/>
        </w:rPr>
        <w:t xml:space="preserve"> </w:t>
      </w:r>
      <w:r w:rsidR="00995C21" w:rsidRPr="00586685">
        <w:rPr>
          <w:rFonts w:ascii="Calibri" w:hAnsi="Calibri" w:cs="Calibri"/>
          <w:i w:val="0"/>
          <w:sz w:val="22"/>
          <w:szCs w:val="22"/>
        </w:rPr>
        <w:t>s.</w:t>
      </w:r>
    </w:p>
    <w:p w14:paraId="0A80B77B" w14:textId="1C53BF32" w:rsidR="00995C21" w:rsidRPr="00586685" w:rsidRDefault="00E960C5" w:rsidP="00110AF0">
      <w:pPr>
        <w:tabs>
          <w:tab w:val="left" w:pos="2835"/>
        </w:tabs>
        <w:ind w:right="284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č</w:t>
      </w:r>
      <w:r w:rsidR="00995C21" w:rsidRPr="00586685">
        <w:rPr>
          <w:rFonts w:ascii="Calibri" w:hAnsi="Calibri" w:cs="Calibri"/>
          <w:i w:val="0"/>
          <w:sz w:val="22"/>
          <w:szCs w:val="22"/>
        </w:rPr>
        <w:t>íslo účtu:</w:t>
      </w:r>
      <w:r w:rsidR="00995C21" w:rsidRPr="00586685">
        <w:rPr>
          <w:rFonts w:ascii="Calibri" w:hAnsi="Calibri" w:cs="Calibri"/>
          <w:i w:val="0"/>
          <w:sz w:val="22"/>
          <w:szCs w:val="22"/>
        </w:rPr>
        <w:tab/>
        <w:t>1434791/0100</w:t>
      </w:r>
    </w:p>
    <w:p w14:paraId="070BAA47" w14:textId="7612DF6E" w:rsidR="00995C21" w:rsidRPr="00586685" w:rsidRDefault="00995C21" w:rsidP="00110AF0">
      <w:pPr>
        <w:pStyle w:val="text"/>
        <w:tabs>
          <w:tab w:val="left" w:pos="2694"/>
          <w:tab w:val="left" w:pos="2835"/>
        </w:tabs>
        <w:ind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zapsána v registru ekonomických subjektů ČSÚ v ARES – právní forma – příspěvková organizace,</w:t>
      </w:r>
      <w:r w:rsidRPr="00586685">
        <w:rPr>
          <w:rFonts w:ascii="Calibri" w:hAnsi="Calibri" w:cs="Calibri"/>
          <w:sz w:val="22"/>
          <w:szCs w:val="22"/>
        </w:rPr>
        <w:t xml:space="preserve"> </w:t>
      </w:r>
      <w:r w:rsidRPr="00586685">
        <w:rPr>
          <w:rFonts w:ascii="Calibri" w:hAnsi="Calibri" w:cs="Calibri"/>
          <w:i w:val="0"/>
          <w:sz w:val="22"/>
          <w:szCs w:val="22"/>
        </w:rPr>
        <w:t>č.</w:t>
      </w:r>
      <w:r w:rsidR="00457B8A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j.</w:t>
      </w:r>
      <w:r w:rsidR="00457B8A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48/03</w:t>
      </w:r>
      <w:r w:rsidR="00457B8A">
        <w:rPr>
          <w:rFonts w:ascii="Calibri" w:hAnsi="Calibri" w:cs="Calibri"/>
          <w:i w:val="0"/>
          <w:sz w:val="22"/>
          <w:szCs w:val="22"/>
        </w:rPr>
        <w:noBreakHyphen/>
      </w:r>
      <w:r w:rsidRPr="00586685">
        <w:rPr>
          <w:rFonts w:ascii="Calibri" w:hAnsi="Calibri" w:cs="Calibri"/>
          <w:i w:val="0"/>
          <w:sz w:val="22"/>
          <w:szCs w:val="22"/>
        </w:rPr>
        <w:t>8402</w:t>
      </w:r>
    </w:p>
    <w:p w14:paraId="659008EF" w14:textId="77777777" w:rsidR="00995C21" w:rsidRPr="00586685" w:rsidRDefault="00995C21" w:rsidP="00110AF0">
      <w:pPr>
        <w:pStyle w:val="text"/>
        <w:tabs>
          <w:tab w:val="left" w:pos="2694"/>
          <w:tab w:val="left" w:pos="2835"/>
        </w:tabs>
        <w:ind w:right="284"/>
        <w:rPr>
          <w:rFonts w:ascii="Calibri" w:hAnsi="Calibri" w:cs="Calibri"/>
          <w:i w:val="0"/>
          <w:sz w:val="22"/>
          <w:szCs w:val="22"/>
        </w:rPr>
      </w:pPr>
    </w:p>
    <w:p w14:paraId="61B399EE" w14:textId="77777777" w:rsidR="00995C21" w:rsidRPr="00586685" w:rsidRDefault="00995C21" w:rsidP="00110AF0">
      <w:pPr>
        <w:pStyle w:val="text"/>
        <w:tabs>
          <w:tab w:val="left" w:pos="2694"/>
          <w:tab w:val="left" w:pos="2835"/>
        </w:tabs>
        <w:ind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(dále jen “objednatel“)</w:t>
      </w:r>
    </w:p>
    <w:p w14:paraId="5E9FAABF" w14:textId="77777777" w:rsidR="00C36B54" w:rsidRDefault="00C36B54" w:rsidP="00C36B54">
      <w:pPr>
        <w:pStyle w:val="Nadpis1"/>
        <w:spacing w:before="0" w:after="0"/>
        <w:ind w:right="284"/>
        <w:rPr>
          <w:rFonts w:ascii="Calibri" w:hAnsi="Calibri" w:cs="Calibri"/>
          <w:b/>
          <w:bCs/>
          <w:i w:val="0"/>
          <w:color w:val="auto"/>
          <w:sz w:val="22"/>
          <w:szCs w:val="22"/>
        </w:rPr>
      </w:pPr>
    </w:p>
    <w:p w14:paraId="234C4C97" w14:textId="392915BF" w:rsidR="00995C21" w:rsidRDefault="006227F1" w:rsidP="003B6973">
      <w:pPr>
        <w:pStyle w:val="Nadpis1"/>
        <w:numPr>
          <w:ilvl w:val="0"/>
          <w:numId w:val="1"/>
        </w:numPr>
        <w:tabs>
          <w:tab w:val="clear" w:pos="705"/>
        </w:tabs>
        <w:spacing w:before="0" w:after="0"/>
        <w:ind w:left="567" w:right="284" w:hanging="567"/>
        <w:jc w:val="center"/>
        <w:rPr>
          <w:rFonts w:ascii="Calibri" w:hAnsi="Calibri" w:cs="Calibri"/>
          <w:b/>
          <w:bCs/>
          <w:i w:val="0"/>
          <w:color w:val="auto"/>
          <w:sz w:val="22"/>
          <w:szCs w:val="22"/>
        </w:rPr>
      </w:pPr>
      <w:r w:rsidRPr="006227F1">
        <w:rPr>
          <w:rFonts w:ascii="Calibri" w:hAnsi="Calibri" w:cs="Calibri"/>
          <w:b/>
          <w:bCs/>
          <w:i w:val="0"/>
          <w:color w:val="auto"/>
          <w:sz w:val="22"/>
          <w:szCs w:val="22"/>
        </w:rPr>
        <w:t>PŘEDMĚT SMLOUVY</w:t>
      </w:r>
    </w:p>
    <w:p w14:paraId="2D5E380B" w14:textId="77777777" w:rsidR="003B6973" w:rsidRPr="003B6973" w:rsidRDefault="003B6973" w:rsidP="003B6973">
      <w:pPr>
        <w:rPr>
          <w:b/>
          <w:bCs/>
          <w:i w:val="0"/>
          <w:iCs/>
        </w:rPr>
      </w:pPr>
    </w:p>
    <w:p w14:paraId="41230C48" w14:textId="12144C0C" w:rsidR="00995C21" w:rsidRDefault="00995C21" w:rsidP="003B6973">
      <w:pPr>
        <w:numPr>
          <w:ilvl w:val="1"/>
          <w:numId w:val="1"/>
        </w:numPr>
        <w:tabs>
          <w:tab w:val="clear" w:pos="705"/>
        </w:tabs>
        <w:ind w:left="567" w:right="284" w:hanging="567"/>
        <w:rPr>
          <w:rFonts w:ascii="Calibri" w:hAnsi="Calibri" w:cs="Calibri"/>
          <w:b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Předmětem této smlouvy je komplexní technická péče o systém </w:t>
      </w:r>
      <w:r w:rsidRPr="00586685">
        <w:rPr>
          <w:rFonts w:ascii="Calibri" w:hAnsi="Calibri" w:cs="Calibri"/>
          <w:b/>
          <w:i w:val="0"/>
          <w:sz w:val="22"/>
          <w:szCs w:val="22"/>
        </w:rPr>
        <w:t xml:space="preserve">EPS 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(Elektrické požární </w:t>
      </w:r>
      <w:r w:rsidR="002356C1" w:rsidRPr="00586685">
        <w:rPr>
          <w:rFonts w:ascii="Calibri" w:hAnsi="Calibri" w:cs="Calibri"/>
          <w:i w:val="0"/>
          <w:sz w:val="22"/>
          <w:szCs w:val="22"/>
        </w:rPr>
        <w:t>signalizace)</w:t>
      </w:r>
      <w:r w:rsidR="002356C1">
        <w:rPr>
          <w:rFonts w:ascii="Calibri" w:hAnsi="Calibri" w:cs="Calibri"/>
          <w:i w:val="0"/>
          <w:sz w:val="22"/>
          <w:szCs w:val="22"/>
        </w:rPr>
        <w:t xml:space="preserve"> </w:t>
      </w:r>
      <w:r w:rsidR="002356C1">
        <w:rPr>
          <w:rFonts w:ascii="Calibri" w:hAnsi="Calibri" w:cs="Calibri"/>
          <w:i w:val="0"/>
          <w:sz w:val="22"/>
          <w:szCs w:val="22"/>
        </w:rPr>
        <w:noBreakHyphen/>
        <w:t xml:space="preserve"> 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v objektu objednatele: </w:t>
      </w:r>
      <w:bookmarkStart w:id="0" w:name="_Hlk74640042"/>
      <w:r w:rsidRPr="00586685">
        <w:rPr>
          <w:rFonts w:ascii="Calibri" w:hAnsi="Calibri" w:cs="Calibri"/>
          <w:b/>
          <w:i w:val="0"/>
          <w:sz w:val="22"/>
          <w:szCs w:val="22"/>
        </w:rPr>
        <w:t>„</w:t>
      </w:r>
      <w:bookmarkStart w:id="1" w:name="_Hlk117602192"/>
      <w:r w:rsidR="00831849">
        <w:rPr>
          <w:rFonts w:ascii="Calibri" w:hAnsi="Calibri" w:cs="Calibri"/>
          <w:b/>
          <w:i w:val="0"/>
          <w:sz w:val="22"/>
          <w:szCs w:val="22"/>
        </w:rPr>
        <w:t>Sportovní</w:t>
      </w:r>
      <w:r w:rsidRPr="00586685">
        <w:rPr>
          <w:rFonts w:ascii="Calibri" w:hAnsi="Calibri" w:cs="Calibri"/>
          <w:b/>
          <w:i w:val="0"/>
          <w:sz w:val="22"/>
          <w:szCs w:val="22"/>
        </w:rPr>
        <w:t xml:space="preserve"> hala FÉNIX na adrese ul. Železničářů 1300/2, 736</w:t>
      </w:r>
      <w:r w:rsidR="00D816DD">
        <w:rPr>
          <w:rFonts w:ascii="Calibri" w:hAnsi="Calibri" w:cs="Calibri"/>
          <w:b/>
          <w:i w:val="0"/>
          <w:sz w:val="22"/>
          <w:szCs w:val="22"/>
        </w:rPr>
        <w:t> </w:t>
      </w:r>
      <w:r w:rsidRPr="00586685">
        <w:rPr>
          <w:rFonts w:ascii="Calibri" w:hAnsi="Calibri" w:cs="Calibri"/>
          <w:b/>
          <w:i w:val="0"/>
          <w:sz w:val="22"/>
          <w:szCs w:val="22"/>
        </w:rPr>
        <w:t>01</w:t>
      </w:r>
      <w:r w:rsidR="00D816DD">
        <w:rPr>
          <w:rFonts w:ascii="Calibri" w:hAnsi="Calibri" w:cs="Calibri"/>
          <w:b/>
          <w:i w:val="0"/>
          <w:sz w:val="22"/>
          <w:szCs w:val="22"/>
        </w:rPr>
        <w:t> </w:t>
      </w:r>
      <w:r w:rsidRPr="00586685">
        <w:rPr>
          <w:rFonts w:ascii="Calibri" w:hAnsi="Calibri" w:cs="Calibri"/>
          <w:b/>
          <w:i w:val="0"/>
          <w:sz w:val="22"/>
          <w:szCs w:val="22"/>
        </w:rPr>
        <w:t>Havířov</w:t>
      </w:r>
      <w:r w:rsidR="006E4F8C">
        <w:rPr>
          <w:rFonts w:ascii="Calibri" w:hAnsi="Calibri" w:cs="Calibri"/>
          <w:b/>
          <w:i w:val="0"/>
          <w:sz w:val="22"/>
          <w:szCs w:val="22"/>
        </w:rPr>
        <w:t>-</w:t>
      </w:r>
      <w:r w:rsidRPr="00586685">
        <w:rPr>
          <w:rFonts w:ascii="Calibri" w:hAnsi="Calibri" w:cs="Calibri"/>
          <w:b/>
          <w:i w:val="0"/>
          <w:sz w:val="22"/>
          <w:szCs w:val="22"/>
        </w:rPr>
        <w:t>Město.</w:t>
      </w:r>
    </w:p>
    <w:p w14:paraId="0EC6AB28" w14:textId="77777777" w:rsidR="002356C1" w:rsidRPr="00586685" w:rsidRDefault="002356C1" w:rsidP="002356C1">
      <w:pPr>
        <w:ind w:left="567" w:right="284"/>
        <w:rPr>
          <w:rFonts w:ascii="Calibri" w:hAnsi="Calibri" w:cs="Calibri"/>
          <w:b/>
          <w:i w:val="0"/>
          <w:sz w:val="22"/>
          <w:szCs w:val="22"/>
        </w:rPr>
      </w:pPr>
    </w:p>
    <w:bookmarkEnd w:id="0"/>
    <w:bookmarkEnd w:id="1"/>
    <w:p w14:paraId="789AEE4F" w14:textId="77777777" w:rsidR="00995C21" w:rsidRPr="00586685" w:rsidRDefault="00995C21" w:rsidP="003B6973">
      <w:pPr>
        <w:numPr>
          <w:ilvl w:val="1"/>
          <w:numId w:val="1"/>
        </w:numPr>
        <w:tabs>
          <w:tab w:val="clear" w:pos="705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Péčí se rozumí:</w:t>
      </w:r>
    </w:p>
    <w:p w14:paraId="43555F7B" w14:textId="77777777" w:rsidR="002356C1" w:rsidRDefault="002356C1" w:rsidP="002356C1">
      <w:pPr>
        <w:suppressAutoHyphens/>
        <w:ind w:left="567" w:right="284"/>
        <w:rPr>
          <w:rFonts w:ascii="Calibri" w:hAnsi="Calibri" w:cs="Calibri"/>
          <w:i w:val="0"/>
          <w:sz w:val="22"/>
          <w:szCs w:val="22"/>
        </w:rPr>
      </w:pPr>
    </w:p>
    <w:p w14:paraId="6AB549D4" w14:textId="610DBD34" w:rsidR="00995C21" w:rsidRPr="00586685" w:rsidRDefault="00995C21" w:rsidP="002356C1">
      <w:pPr>
        <w:suppressAutoHyphens/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Dle normy ČSN EN 54, ČSN 34 2710 a Vyhlášky MV ČR č. 246/2001 Sb. bude prováděna 1x za 6 měsíců zkouška činnosti elektrické požární signalizace při provozu. O provedené zkoušce bude vypracován protokol.</w:t>
      </w:r>
    </w:p>
    <w:p w14:paraId="47DE310B" w14:textId="77777777" w:rsidR="00995C21" w:rsidRPr="00586685" w:rsidRDefault="00995C21" w:rsidP="003B6973">
      <w:pPr>
        <w:suppressAutoHyphens/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320C4378" w14:textId="291D6265" w:rsidR="00995C21" w:rsidRPr="00586685" w:rsidRDefault="00995C21" w:rsidP="00841FFC">
      <w:pPr>
        <w:suppressAutoHyphens/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Dle normy ČSN EN 54, ČSN 33 1500, ČSN 34 2710, ČSN 33 2000-6-61 a Vyhlášky MV ČR č. 246/2001 Sb., v platném a účinném znění, bude prováděna 1x za rok kontrola provozuschopnosti požárně bezpečnostního zařízení a pravidelná revize elektrického zařízení. O provedené kontrole provozuschopnosti a revizi bude vypracována zpráva.</w:t>
      </w:r>
    </w:p>
    <w:p w14:paraId="1B852F95" w14:textId="77777777" w:rsidR="00995C21" w:rsidRPr="00586685" w:rsidRDefault="00995C21" w:rsidP="003B6973">
      <w:pPr>
        <w:suppressAutoHyphens/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5F7F2A90" w14:textId="3ABCC18F" w:rsidR="00995C21" w:rsidRPr="00586685" w:rsidRDefault="00995C21" w:rsidP="00AC1E34">
      <w:pPr>
        <w:suppressAutoHyphens/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Opravy zařízení EPS, tj. veškeré činnosti potřebné k opětovnému dosažení předepsaných technických parametrů daného zařízení.</w:t>
      </w:r>
    </w:p>
    <w:p w14:paraId="2C90C26F" w14:textId="77777777" w:rsidR="00995C21" w:rsidRPr="00586685" w:rsidRDefault="00995C21" w:rsidP="003B6973">
      <w:pPr>
        <w:suppressAutoHyphens/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487FFA49" w14:textId="08AC5981" w:rsidR="00995C21" w:rsidRPr="00586685" w:rsidRDefault="003A342F" w:rsidP="003B6973">
      <w:pPr>
        <w:pStyle w:val="Zkladntextodsazen21"/>
        <w:numPr>
          <w:ilvl w:val="1"/>
          <w:numId w:val="1"/>
        </w:numPr>
        <w:tabs>
          <w:tab w:val="clear" w:pos="705"/>
        </w:tabs>
        <w:ind w:left="567" w:right="28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586685">
        <w:rPr>
          <w:rFonts w:ascii="Calibri" w:hAnsi="Calibri" w:cs="Calibri"/>
          <w:b w:val="0"/>
          <w:sz w:val="22"/>
          <w:szCs w:val="22"/>
        </w:rPr>
        <w:lastRenderedPageBreak/>
        <w:t>V ceně</w:t>
      </w:r>
      <w:r w:rsidR="00995C21" w:rsidRPr="00586685">
        <w:rPr>
          <w:rFonts w:ascii="Calibri" w:hAnsi="Calibri" w:cs="Calibri"/>
          <w:b w:val="0"/>
          <w:sz w:val="22"/>
          <w:szCs w:val="22"/>
        </w:rPr>
        <w:t xml:space="preserve"> za revizi je obsažena servisní pohotovost technika servisní organizace, sjednaná v  této smlouvě po dobu jednoho roku. Protokol či zprávu dle čl. 1.2. této smlouvy se servisní organizace zavazuje vypracovat a předat objednateli ve lhůtě 14 dnů ode dne provedení revize a funkčních zkoušek.</w:t>
      </w:r>
    </w:p>
    <w:p w14:paraId="70B193D0" w14:textId="77777777" w:rsidR="00995C21" w:rsidRPr="00586685" w:rsidRDefault="00995C21" w:rsidP="003B6973">
      <w:pPr>
        <w:pStyle w:val="Zkladntextodsazen21"/>
        <w:ind w:left="567" w:right="284" w:hanging="567"/>
        <w:jc w:val="both"/>
        <w:rPr>
          <w:rFonts w:ascii="Calibri" w:hAnsi="Calibri" w:cs="Calibri"/>
          <w:b w:val="0"/>
          <w:sz w:val="22"/>
          <w:szCs w:val="22"/>
        </w:rPr>
      </w:pPr>
    </w:p>
    <w:p w14:paraId="678095D6" w14:textId="49C8BDE0" w:rsidR="00995C21" w:rsidRPr="00586685" w:rsidRDefault="00995C21" w:rsidP="003B6973">
      <w:pPr>
        <w:pStyle w:val="Zkladntextodsazen21"/>
        <w:numPr>
          <w:ilvl w:val="1"/>
          <w:numId w:val="1"/>
        </w:numPr>
        <w:tabs>
          <w:tab w:val="clear" w:pos="705"/>
        </w:tabs>
        <w:ind w:left="567" w:right="284" w:hanging="567"/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586685">
        <w:rPr>
          <w:rFonts w:ascii="Calibri" w:hAnsi="Calibri" w:cs="Calibri"/>
          <w:b w:val="0"/>
          <w:bCs/>
          <w:iCs/>
          <w:sz w:val="22"/>
          <w:szCs w:val="22"/>
        </w:rPr>
        <w:t>Servisní organizace prohlašuje, že disponuje veškerými personálními, technickými či jinými předpoklady k řádnému plnění předmětu této smlouvy.</w:t>
      </w:r>
    </w:p>
    <w:p w14:paraId="4B011592" w14:textId="77777777" w:rsidR="00995C21" w:rsidRPr="00586685" w:rsidRDefault="00995C21" w:rsidP="003B6973">
      <w:pPr>
        <w:pStyle w:val="Zkladntextodsazen21"/>
        <w:ind w:left="567" w:right="284" w:hanging="567"/>
        <w:jc w:val="both"/>
        <w:rPr>
          <w:rFonts w:ascii="Calibri" w:hAnsi="Calibri" w:cs="Calibri"/>
          <w:i/>
          <w:sz w:val="22"/>
          <w:szCs w:val="22"/>
        </w:rPr>
      </w:pPr>
    </w:p>
    <w:p w14:paraId="03A57249" w14:textId="1E7E7B86" w:rsidR="00995C21" w:rsidRPr="00586685" w:rsidRDefault="008779A4" w:rsidP="00711CF7">
      <w:pPr>
        <w:pStyle w:val="Zkladntextodsazen21"/>
        <w:numPr>
          <w:ilvl w:val="0"/>
          <w:numId w:val="2"/>
        </w:numPr>
        <w:tabs>
          <w:tab w:val="clear" w:pos="360"/>
        </w:tabs>
        <w:ind w:left="567" w:right="284" w:hanging="567"/>
        <w:jc w:val="center"/>
        <w:rPr>
          <w:rFonts w:ascii="Calibri" w:hAnsi="Calibri" w:cs="Calibri"/>
          <w:sz w:val="22"/>
          <w:szCs w:val="22"/>
        </w:rPr>
      </w:pPr>
      <w:r w:rsidRPr="00586685">
        <w:rPr>
          <w:rFonts w:ascii="Calibri" w:hAnsi="Calibri" w:cs="Calibri"/>
          <w:sz w:val="22"/>
          <w:szCs w:val="22"/>
        </w:rPr>
        <w:t>OHLÁŠENÍ POŽADAVKU A POSKYTNUTÍ PÉČE</w:t>
      </w:r>
    </w:p>
    <w:p w14:paraId="7D1E11BD" w14:textId="77777777" w:rsidR="00995C21" w:rsidRPr="00711CF7" w:rsidRDefault="00995C21" w:rsidP="00110AF0">
      <w:pPr>
        <w:pStyle w:val="Zkladntextodsazen21"/>
        <w:ind w:left="360" w:right="284" w:firstLine="0"/>
        <w:rPr>
          <w:rFonts w:ascii="Calibri" w:hAnsi="Calibri" w:cs="Calibri"/>
          <w:iCs/>
          <w:sz w:val="22"/>
          <w:szCs w:val="22"/>
        </w:rPr>
      </w:pPr>
    </w:p>
    <w:p w14:paraId="059B7AD9" w14:textId="5AB47150" w:rsidR="00995C21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Závadu nebo servis může ohlásit objednatel servisní organizaci v pracovní dny v době od </w:t>
      </w:r>
      <w:r w:rsidR="000248B2">
        <w:rPr>
          <w:rFonts w:ascii="Calibri" w:hAnsi="Calibri" w:cs="Calibri"/>
          <w:i w:val="0"/>
          <w:sz w:val="22"/>
          <w:szCs w:val="22"/>
        </w:rPr>
        <w:t>0</w:t>
      </w:r>
      <w:r w:rsidRPr="00586685">
        <w:rPr>
          <w:rFonts w:ascii="Calibri" w:hAnsi="Calibri" w:cs="Calibri"/>
          <w:i w:val="0"/>
          <w:sz w:val="22"/>
          <w:szCs w:val="22"/>
        </w:rPr>
        <w:t>8</w:t>
      </w:r>
      <w:r w:rsidR="000248B2">
        <w:rPr>
          <w:rFonts w:ascii="Calibri" w:hAnsi="Calibri" w:cs="Calibri"/>
          <w:i w:val="0"/>
          <w:sz w:val="22"/>
          <w:szCs w:val="22"/>
        </w:rPr>
        <w:t>:</w:t>
      </w:r>
      <w:r w:rsidRPr="00586685">
        <w:rPr>
          <w:rFonts w:ascii="Calibri" w:hAnsi="Calibri" w:cs="Calibri"/>
          <w:i w:val="0"/>
          <w:sz w:val="22"/>
          <w:szCs w:val="22"/>
        </w:rPr>
        <w:t>00 hodin do 16</w:t>
      </w:r>
      <w:r w:rsidR="000248B2">
        <w:rPr>
          <w:rFonts w:ascii="Calibri" w:hAnsi="Calibri" w:cs="Calibri"/>
          <w:i w:val="0"/>
          <w:sz w:val="22"/>
          <w:szCs w:val="22"/>
        </w:rPr>
        <w:t>:</w:t>
      </w:r>
      <w:r w:rsidRPr="00586685">
        <w:rPr>
          <w:rFonts w:ascii="Calibri" w:hAnsi="Calibri" w:cs="Calibri"/>
          <w:i w:val="0"/>
          <w:sz w:val="22"/>
          <w:szCs w:val="22"/>
        </w:rPr>
        <w:t>00 hodin, a to:</w:t>
      </w:r>
    </w:p>
    <w:p w14:paraId="603E4910" w14:textId="77777777" w:rsidR="00711CF7" w:rsidRPr="00586685" w:rsidRDefault="00711CF7" w:rsidP="00711CF7">
      <w:pPr>
        <w:ind w:left="567" w:right="284"/>
        <w:rPr>
          <w:rFonts w:ascii="Calibri" w:hAnsi="Calibri" w:cs="Calibri"/>
          <w:i w:val="0"/>
          <w:sz w:val="22"/>
          <w:szCs w:val="22"/>
        </w:rPr>
      </w:pPr>
    </w:p>
    <w:p w14:paraId="38C47B9F" w14:textId="110EFF6E" w:rsidR="00995C21" w:rsidRPr="00586685" w:rsidRDefault="00995C21" w:rsidP="00711CF7">
      <w:pPr>
        <w:numPr>
          <w:ilvl w:val="0"/>
          <w:numId w:val="3"/>
        </w:numPr>
        <w:tabs>
          <w:tab w:val="clear" w:pos="1065"/>
        </w:tabs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telefonem na číslo servisní podpory </w:t>
      </w:r>
      <w:r w:rsidR="000248B2">
        <w:rPr>
          <w:rFonts w:ascii="Calibri" w:hAnsi="Calibri" w:cs="Calibri"/>
          <w:i w:val="0"/>
          <w:sz w:val="22"/>
          <w:szCs w:val="22"/>
        </w:rPr>
        <w:t>+</w:t>
      </w:r>
      <w:r w:rsidR="00DF51D8">
        <w:rPr>
          <w:rFonts w:ascii="Calibri" w:hAnsi="Calibri" w:cs="Calibri"/>
          <w:i w:val="0"/>
          <w:sz w:val="22"/>
          <w:szCs w:val="22"/>
        </w:rPr>
        <w:t>XXXXXXXXXXX</w:t>
      </w:r>
      <w:r w:rsidR="007B4AC3">
        <w:rPr>
          <w:rFonts w:ascii="Calibri" w:hAnsi="Calibri" w:cs="Calibri"/>
          <w:i w:val="0"/>
          <w:color w:val="000000"/>
          <w:sz w:val="22"/>
          <w:szCs w:val="22"/>
        </w:rPr>
        <w:t>,</w:t>
      </w:r>
    </w:p>
    <w:p w14:paraId="64C763B8" w14:textId="263B6AFF" w:rsidR="00995C21" w:rsidRPr="00586685" w:rsidRDefault="00995C21" w:rsidP="00711CF7">
      <w:pPr>
        <w:numPr>
          <w:ilvl w:val="0"/>
          <w:numId w:val="3"/>
        </w:numPr>
        <w:tabs>
          <w:tab w:val="clear" w:pos="1065"/>
        </w:tabs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telefonem na číslo Hot Line </w:t>
      </w:r>
      <w:r w:rsidR="007B4AC3">
        <w:rPr>
          <w:rFonts w:ascii="Calibri" w:hAnsi="Calibri" w:cs="Calibri"/>
          <w:i w:val="0"/>
          <w:color w:val="000000"/>
          <w:sz w:val="22"/>
          <w:szCs w:val="22"/>
        </w:rPr>
        <w:t>+</w:t>
      </w:r>
      <w:r w:rsidR="00DF51D8">
        <w:rPr>
          <w:rFonts w:ascii="Calibri" w:hAnsi="Calibri" w:cs="Calibri"/>
          <w:i w:val="0"/>
          <w:color w:val="000000"/>
          <w:sz w:val="22"/>
          <w:szCs w:val="22"/>
        </w:rPr>
        <w:t>XXXXXXXXXXXXX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 v době od 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>0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7:00 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 xml:space="preserve">hodin 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do 20:00 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 xml:space="preserve">hodin 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v pracovní dny a v době od 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>0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9:00 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 xml:space="preserve">hodin 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>do 18:00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 xml:space="preserve"> hodin</w:t>
      </w:r>
      <w:r w:rsidRPr="00586685">
        <w:rPr>
          <w:rFonts w:ascii="Calibri" w:hAnsi="Calibri" w:cs="Calibri"/>
          <w:i w:val="0"/>
          <w:color w:val="000000"/>
          <w:sz w:val="22"/>
          <w:szCs w:val="22"/>
        </w:rPr>
        <w:t xml:space="preserve"> mimo pracovní dny</w:t>
      </w:r>
      <w:r w:rsidR="00DA5316">
        <w:rPr>
          <w:rFonts w:ascii="Calibri" w:hAnsi="Calibri" w:cs="Calibri"/>
          <w:i w:val="0"/>
          <w:color w:val="000000"/>
          <w:sz w:val="22"/>
          <w:szCs w:val="22"/>
        </w:rPr>
        <w:t>,</w:t>
      </w:r>
    </w:p>
    <w:p w14:paraId="50496555" w14:textId="49ED1040" w:rsidR="00995C21" w:rsidRPr="00DA5316" w:rsidRDefault="00995C21" w:rsidP="00711CF7">
      <w:pPr>
        <w:numPr>
          <w:ilvl w:val="0"/>
          <w:numId w:val="3"/>
        </w:numPr>
        <w:tabs>
          <w:tab w:val="clear" w:pos="1065"/>
        </w:tabs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DA5316">
        <w:rPr>
          <w:rFonts w:ascii="Calibri" w:hAnsi="Calibri" w:cs="Calibri"/>
          <w:i w:val="0"/>
          <w:color w:val="000000"/>
          <w:sz w:val="22"/>
          <w:szCs w:val="22"/>
        </w:rPr>
        <w:t>e-mailem na adres</w:t>
      </w:r>
      <w:r w:rsidR="00DF51D8">
        <w:rPr>
          <w:rFonts w:ascii="Calibri" w:hAnsi="Calibri" w:cs="Calibri"/>
          <w:i w:val="0"/>
          <w:color w:val="000000"/>
          <w:sz w:val="22"/>
          <w:szCs w:val="22"/>
        </w:rPr>
        <w:t>u XXXXXXXX</w:t>
      </w:r>
    </w:p>
    <w:p w14:paraId="2AC13F67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52AA1DDF" w14:textId="502B4B7E" w:rsidR="00995C21" w:rsidRDefault="00995C21" w:rsidP="00711CF7">
      <w:pPr>
        <w:numPr>
          <w:ilvl w:val="1"/>
          <w:numId w:val="2"/>
        </w:numPr>
        <w:tabs>
          <w:tab w:val="clear" w:pos="720"/>
        </w:tabs>
        <w:suppressAutoHyphens/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V případě nahlášení závady v časovém intervalu a způsobem uvedeným v čl. 2.1. této smlouvy se</w:t>
      </w:r>
      <w:r w:rsidR="00DA5316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servisní organizace zavazuje nastoupit v pracovní době na servisní zásah nejpozději do 72 hodin od</w:t>
      </w:r>
      <w:r w:rsidR="00DA5316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nahlášení poruchy objednatelem (pokud nebude dohodnuto jinak).</w:t>
      </w:r>
    </w:p>
    <w:p w14:paraId="082931F4" w14:textId="77777777" w:rsidR="00DA5316" w:rsidRPr="00586685" w:rsidRDefault="00DA5316" w:rsidP="00DA5316">
      <w:pPr>
        <w:suppressAutoHyphens/>
        <w:ind w:left="567" w:right="284"/>
        <w:rPr>
          <w:rFonts w:ascii="Calibri" w:hAnsi="Calibri" w:cs="Calibri"/>
          <w:i w:val="0"/>
          <w:sz w:val="22"/>
          <w:szCs w:val="22"/>
        </w:rPr>
      </w:pPr>
    </w:p>
    <w:p w14:paraId="6348CA7A" w14:textId="2C993D50" w:rsidR="00995C21" w:rsidRDefault="00DA5316" w:rsidP="00DA5316">
      <w:pPr>
        <w:pStyle w:val="Nadpis1"/>
        <w:numPr>
          <w:ilvl w:val="0"/>
          <w:numId w:val="2"/>
        </w:numPr>
        <w:tabs>
          <w:tab w:val="clear" w:pos="360"/>
        </w:tabs>
        <w:spacing w:before="0" w:after="0"/>
        <w:ind w:left="567" w:right="284" w:hanging="567"/>
        <w:jc w:val="center"/>
        <w:rPr>
          <w:rFonts w:ascii="Calibri" w:hAnsi="Calibri" w:cs="Calibri"/>
          <w:b/>
          <w:bCs/>
          <w:i w:val="0"/>
          <w:color w:val="auto"/>
          <w:sz w:val="22"/>
          <w:szCs w:val="22"/>
        </w:rPr>
      </w:pPr>
      <w:r w:rsidRPr="00DA5316">
        <w:rPr>
          <w:rFonts w:ascii="Calibri" w:hAnsi="Calibri" w:cs="Calibri"/>
          <w:b/>
          <w:bCs/>
          <w:i w:val="0"/>
          <w:color w:val="auto"/>
          <w:sz w:val="22"/>
          <w:szCs w:val="22"/>
        </w:rPr>
        <w:t>CENA A FAKTURACE</w:t>
      </w:r>
    </w:p>
    <w:p w14:paraId="1C87AEFF" w14:textId="77777777" w:rsidR="00DA5316" w:rsidRPr="00460AA6" w:rsidRDefault="00DA5316" w:rsidP="00DA5316">
      <w:pPr>
        <w:rPr>
          <w:i w:val="0"/>
          <w:iCs/>
        </w:rPr>
      </w:pPr>
    </w:p>
    <w:p w14:paraId="7A8C9BAF" w14:textId="77777777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Služby budou poskytovány za ceny, které jsou dále uvedeny:</w:t>
      </w:r>
    </w:p>
    <w:p w14:paraId="7F8B3D86" w14:textId="77777777" w:rsidR="00EA53A8" w:rsidRDefault="00EA53A8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7F3D81F4" w14:textId="1DFBC193" w:rsidR="00995C21" w:rsidRPr="00586685" w:rsidRDefault="00995C21" w:rsidP="00EA53A8">
      <w:pPr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Provedení roční periodické revize EPS – v objektu: </w:t>
      </w:r>
      <w:bookmarkStart w:id="2" w:name="_Hlk117602286"/>
      <w:r w:rsidR="00C23D31">
        <w:rPr>
          <w:rFonts w:ascii="Calibri" w:hAnsi="Calibri" w:cs="Calibri"/>
          <w:i w:val="0"/>
          <w:sz w:val="22"/>
          <w:szCs w:val="22"/>
        </w:rPr>
        <w:t>Sportovní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 hala FÉNIX na adrese ul. Železničářů 1300/2, 736 01 Havířov</w:t>
      </w:r>
      <w:r w:rsidR="006E4F8C">
        <w:rPr>
          <w:rFonts w:ascii="Calibri" w:hAnsi="Calibri" w:cs="Calibri"/>
          <w:i w:val="0"/>
          <w:sz w:val="22"/>
          <w:szCs w:val="22"/>
        </w:rPr>
        <w:t>-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Město </w:t>
      </w:r>
      <w:bookmarkEnd w:id="2"/>
      <w:r w:rsidRPr="00586685">
        <w:rPr>
          <w:rFonts w:ascii="Calibri" w:hAnsi="Calibri" w:cs="Calibri"/>
          <w:i w:val="0"/>
          <w:sz w:val="22"/>
          <w:szCs w:val="22"/>
        </w:rPr>
        <w:t>– 13.300,</w:t>
      </w:r>
      <w:r w:rsidR="00DE1001">
        <w:rPr>
          <w:rFonts w:ascii="Calibri" w:hAnsi="Calibri" w:cs="Calibri"/>
          <w:i w:val="0"/>
          <w:sz w:val="22"/>
          <w:szCs w:val="22"/>
        </w:rPr>
        <w:t xml:space="preserve">00 </w:t>
      </w:r>
      <w:r w:rsidRPr="00586685">
        <w:rPr>
          <w:rFonts w:ascii="Calibri" w:hAnsi="Calibri" w:cs="Calibri"/>
          <w:i w:val="0"/>
          <w:sz w:val="22"/>
          <w:szCs w:val="22"/>
        </w:rPr>
        <w:t>Kč včetně vypracování revizní zprávy o funkčnosti systému.</w:t>
      </w:r>
    </w:p>
    <w:p w14:paraId="75AF77BB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67913824" w14:textId="07642F55" w:rsidR="00995C21" w:rsidRDefault="00995C21" w:rsidP="00DE1001">
      <w:pPr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Provedení půlroční funkční zkoušky EPS – v objektu: </w:t>
      </w:r>
      <w:r w:rsidR="00DE1001">
        <w:rPr>
          <w:rFonts w:ascii="Calibri" w:hAnsi="Calibri" w:cs="Calibri"/>
          <w:i w:val="0"/>
          <w:sz w:val="22"/>
          <w:szCs w:val="22"/>
        </w:rPr>
        <w:t>Sportovní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 hala FÉNIX na adrese ul. Železničářů 1300/2, 736 01 Havířov</w:t>
      </w:r>
      <w:r w:rsidR="006E4F8C">
        <w:rPr>
          <w:rFonts w:ascii="Calibri" w:hAnsi="Calibri" w:cs="Calibri"/>
          <w:i w:val="0"/>
          <w:sz w:val="22"/>
          <w:szCs w:val="22"/>
        </w:rPr>
        <w:t>-</w:t>
      </w:r>
      <w:r w:rsidRPr="00586685">
        <w:rPr>
          <w:rFonts w:ascii="Calibri" w:hAnsi="Calibri" w:cs="Calibri"/>
          <w:i w:val="0"/>
          <w:sz w:val="22"/>
          <w:szCs w:val="22"/>
        </w:rPr>
        <w:t>Město – 9.800,</w:t>
      </w:r>
      <w:r w:rsidR="004454FA">
        <w:rPr>
          <w:rFonts w:ascii="Calibri" w:hAnsi="Calibri" w:cs="Calibri"/>
          <w:i w:val="0"/>
          <w:sz w:val="22"/>
          <w:szCs w:val="22"/>
        </w:rPr>
        <w:t xml:space="preserve">00 </w:t>
      </w:r>
      <w:r w:rsidRPr="00586685">
        <w:rPr>
          <w:rFonts w:ascii="Calibri" w:hAnsi="Calibri" w:cs="Calibri"/>
          <w:i w:val="0"/>
          <w:sz w:val="22"/>
          <w:szCs w:val="22"/>
        </w:rPr>
        <w:t>Kč včetně vypracování protokolu o funkčnosti systému</w:t>
      </w:r>
      <w:r w:rsidR="006748E9">
        <w:rPr>
          <w:rFonts w:ascii="Calibri" w:hAnsi="Calibri" w:cs="Calibri"/>
          <w:i w:val="0"/>
          <w:sz w:val="22"/>
          <w:szCs w:val="22"/>
        </w:rPr>
        <w:t>.</w:t>
      </w:r>
    </w:p>
    <w:p w14:paraId="1F97B00F" w14:textId="77777777" w:rsidR="00D054F1" w:rsidRPr="00586685" w:rsidRDefault="00D054F1" w:rsidP="00DE1001">
      <w:pPr>
        <w:ind w:left="567" w:right="284"/>
        <w:rPr>
          <w:rFonts w:ascii="Calibri" w:hAnsi="Calibri" w:cs="Calibri"/>
          <w:i w:val="0"/>
          <w:sz w:val="22"/>
          <w:szCs w:val="22"/>
        </w:rPr>
      </w:pPr>
    </w:p>
    <w:p w14:paraId="1D28EE6A" w14:textId="6699D2C1" w:rsidR="00D054F1" w:rsidRPr="00D054F1" w:rsidRDefault="00995C21" w:rsidP="00D054F1">
      <w:pPr>
        <w:pStyle w:val="Odstavecseseznamem"/>
        <w:numPr>
          <w:ilvl w:val="0"/>
          <w:numId w:val="5"/>
        </w:numPr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6748E9">
        <w:rPr>
          <w:rFonts w:ascii="Calibri" w:hAnsi="Calibri" w:cs="Calibri"/>
          <w:i w:val="0"/>
          <w:sz w:val="22"/>
          <w:szCs w:val="22"/>
        </w:rPr>
        <w:t>Servisní úkon – 600,</w:t>
      </w:r>
      <w:r w:rsidR="006D14F7">
        <w:rPr>
          <w:rFonts w:ascii="Calibri" w:hAnsi="Calibri" w:cs="Calibri"/>
          <w:i w:val="0"/>
          <w:sz w:val="22"/>
          <w:szCs w:val="22"/>
        </w:rPr>
        <w:t xml:space="preserve">00 </w:t>
      </w:r>
      <w:r w:rsidRPr="006748E9">
        <w:rPr>
          <w:rFonts w:ascii="Calibri" w:hAnsi="Calibri" w:cs="Calibri"/>
          <w:i w:val="0"/>
          <w:sz w:val="22"/>
          <w:szCs w:val="22"/>
        </w:rPr>
        <w:t>Kč/hod. Servisním úkonem se rozumí odstranění závady.</w:t>
      </w:r>
    </w:p>
    <w:p w14:paraId="7B15C558" w14:textId="6D306716" w:rsidR="00995C21" w:rsidRPr="006748E9" w:rsidRDefault="00995C21" w:rsidP="00D054F1">
      <w:pPr>
        <w:pStyle w:val="Odstavecseseznamem"/>
        <w:numPr>
          <w:ilvl w:val="0"/>
          <w:numId w:val="5"/>
        </w:numPr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6748E9">
        <w:rPr>
          <w:rFonts w:ascii="Calibri" w:hAnsi="Calibri" w:cs="Calibri"/>
          <w:i w:val="0"/>
          <w:sz w:val="22"/>
          <w:szCs w:val="22"/>
        </w:rPr>
        <w:t>Ztráta času – 0,</w:t>
      </w:r>
      <w:r w:rsidR="006D14F7">
        <w:rPr>
          <w:rFonts w:ascii="Calibri" w:hAnsi="Calibri" w:cs="Calibri"/>
          <w:i w:val="0"/>
          <w:sz w:val="22"/>
          <w:szCs w:val="22"/>
        </w:rPr>
        <w:t xml:space="preserve">00 </w:t>
      </w:r>
      <w:r w:rsidRPr="006748E9">
        <w:rPr>
          <w:rFonts w:ascii="Calibri" w:hAnsi="Calibri" w:cs="Calibri"/>
          <w:i w:val="0"/>
          <w:sz w:val="22"/>
          <w:szCs w:val="22"/>
        </w:rPr>
        <w:t>Kč/hod. Ztrátou času se rozumí čas strávený na cestě.</w:t>
      </w:r>
    </w:p>
    <w:p w14:paraId="0D40AAD9" w14:textId="74EFAA01" w:rsidR="00995C21" w:rsidRPr="006748E9" w:rsidRDefault="00995C21" w:rsidP="00D054F1">
      <w:pPr>
        <w:pStyle w:val="Odstavecseseznamem"/>
        <w:numPr>
          <w:ilvl w:val="0"/>
          <w:numId w:val="5"/>
        </w:numPr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6748E9">
        <w:rPr>
          <w:rFonts w:ascii="Calibri" w:hAnsi="Calibri" w:cs="Calibri"/>
          <w:i w:val="0"/>
          <w:sz w:val="22"/>
          <w:szCs w:val="22"/>
        </w:rPr>
        <w:t>Doprava – 14,</w:t>
      </w:r>
      <w:r w:rsidR="006D14F7">
        <w:rPr>
          <w:rFonts w:ascii="Calibri" w:hAnsi="Calibri" w:cs="Calibri"/>
          <w:i w:val="0"/>
          <w:sz w:val="22"/>
          <w:szCs w:val="22"/>
        </w:rPr>
        <w:t xml:space="preserve">00 </w:t>
      </w:r>
      <w:r w:rsidRPr="006748E9">
        <w:rPr>
          <w:rFonts w:ascii="Calibri" w:hAnsi="Calibri" w:cs="Calibri"/>
          <w:i w:val="0"/>
          <w:sz w:val="22"/>
          <w:szCs w:val="22"/>
        </w:rPr>
        <w:t>Kč/km</w:t>
      </w:r>
      <w:r w:rsidR="00FF7E3B">
        <w:rPr>
          <w:rFonts w:ascii="Calibri" w:hAnsi="Calibri" w:cs="Calibri"/>
          <w:i w:val="0"/>
          <w:sz w:val="22"/>
          <w:szCs w:val="22"/>
        </w:rPr>
        <w:t>.</w:t>
      </w:r>
    </w:p>
    <w:p w14:paraId="04E6ED46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2A2950E0" w14:textId="1FCD9CC3" w:rsidR="00995C21" w:rsidRPr="00586685" w:rsidRDefault="00995C21" w:rsidP="00FF7E3B">
      <w:pPr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V případě navýšení cen pohonných hmot na trhu je dodavatel oprávněn adekvátně navýšit cenu za</w:t>
      </w:r>
      <w:r w:rsidR="00FF7E3B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dopravu, a to za předpokladu předchozího oznámení objednateli.</w:t>
      </w:r>
    </w:p>
    <w:p w14:paraId="6AE3B65D" w14:textId="77777777" w:rsidR="007422F1" w:rsidRDefault="007422F1" w:rsidP="007422F1">
      <w:pPr>
        <w:ind w:left="567" w:right="284"/>
        <w:rPr>
          <w:rFonts w:ascii="Calibri" w:hAnsi="Calibri" w:cs="Calibri"/>
          <w:i w:val="0"/>
          <w:sz w:val="22"/>
          <w:szCs w:val="22"/>
        </w:rPr>
      </w:pPr>
    </w:p>
    <w:p w14:paraId="0E106EEE" w14:textId="7D6E0219" w:rsidR="00995C21" w:rsidRPr="00586685" w:rsidRDefault="00995C21" w:rsidP="007422F1">
      <w:pPr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K těmto částkám bude připočtena DPH dle platného zákona o DPH.</w:t>
      </w:r>
    </w:p>
    <w:p w14:paraId="277C53DD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67AA0FFD" w14:textId="10D99571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Cena za provedené služby bude stanovena na základě sazeb uvedených v čl. 3.1 této smlouvy ve</w:t>
      </w:r>
      <w:r w:rsidR="006E4F8C">
        <w:rPr>
          <w:rFonts w:ascii="Calibri" w:hAnsi="Calibri" w:cs="Calibri"/>
          <w:i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z w:val="22"/>
          <w:szCs w:val="22"/>
        </w:rPr>
        <w:t>faktuře vystavené servisní organizací po dokončení objednaných služeb.</w:t>
      </w:r>
    </w:p>
    <w:p w14:paraId="02343A6D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28B20F16" w14:textId="622CD635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iCs/>
          <w:sz w:val="22"/>
          <w:szCs w:val="22"/>
        </w:rPr>
      </w:pPr>
      <w:r w:rsidRPr="00586685">
        <w:rPr>
          <w:rFonts w:ascii="Calibri" w:hAnsi="Calibri" w:cs="Calibri"/>
          <w:i w:val="0"/>
          <w:iCs/>
          <w:sz w:val="22"/>
          <w:szCs w:val="22"/>
        </w:rPr>
        <w:t>Faktura musí splňovat náležitosti daňového dokladu podle zákona č. 563/1991 Sb., o účetnictví, ve</w:t>
      </w:r>
      <w:r w:rsidR="006E4F8C">
        <w:rPr>
          <w:rFonts w:ascii="Calibri" w:hAnsi="Calibri" w:cs="Calibri"/>
          <w:i w:val="0"/>
          <w:iCs/>
          <w:sz w:val="22"/>
          <w:szCs w:val="22"/>
        </w:rPr>
        <w:t> </w:t>
      </w:r>
      <w:r w:rsidRPr="00586685">
        <w:rPr>
          <w:rFonts w:ascii="Calibri" w:hAnsi="Calibri" w:cs="Calibri"/>
          <w:i w:val="0"/>
          <w:iCs/>
          <w:sz w:val="22"/>
          <w:szCs w:val="22"/>
        </w:rPr>
        <w:t>znění pozdějších předpisů.</w:t>
      </w:r>
    </w:p>
    <w:p w14:paraId="51F98E45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iCs/>
          <w:sz w:val="22"/>
          <w:szCs w:val="22"/>
        </w:rPr>
      </w:pPr>
    </w:p>
    <w:p w14:paraId="6DD3BE49" w14:textId="48B986B7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Faktura bude objednateli zaslána prostřednictvím e-mailu na adresu:</w:t>
      </w:r>
      <w:r w:rsidR="00DF51D8">
        <w:rPr>
          <w:rFonts w:ascii="Calibri" w:hAnsi="Calibri" w:cs="Calibri"/>
          <w:i w:val="0"/>
          <w:sz w:val="22"/>
          <w:szCs w:val="22"/>
        </w:rPr>
        <w:t>XXXXXXXXXXX</w:t>
      </w:r>
      <w:r w:rsidRPr="00586685">
        <w:rPr>
          <w:rFonts w:ascii="Calibri" w:hAnsi="Calibri" w:cs="Calibri"/>
          <w:i w:val="0"/>
          <w:sz w:val="22"/>
          <w:szCs w:val="22"/>
        </w:rPr>
        <w:t>.</w:t>
      </w:r>
    </w:p>
    <w:p w14:paraId="6F37F2D3" w14:textId="77777777" w:rsidR="00995C21" w:rsidRPr="00586685" w:rsidRDefault="00995C21" w:rsidP="00711CF7">
      <w:pPr>
        <w:pStyle w:val="Odstavecseseznamem"/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506B6FAE" w14:textId="76E32926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bookmarkStart w:id="3" w:name="_Hlk121295517"/>
      <w:r w:rsidRPr="00586685">
        <w:rPr>
          <w:rFonts w:ascii="Calibri" w:hAnsi="Calibri" w:cs="Calibri"/>
          <w:i w:val="0"/>
          <w:sz w:val="22"/>
          <w:szCs w:val="22"/>
        </w:rPr>
        <w:t>Obecné informace budou zaslány prostřednictvím e-mailu na adresu:</w:t>
      </w:r>
      <w:r w:rsidR="00DF51D8">
        <w:t>XXXXXXXXXXX</w:t>
      </w:r>
      <w:r w:rsidRPr="00586685">
        <w:rPr>
          <w:rFonts w:ascii="Calibri" w:hAnsi="Calibri" w:cs="Calibri"/>
          <w:i w:val="0"/>
          <w:sz w:val="22"/>
          <w:szCs w:val="22"/>
        </w:rPr>
        <w:t>.</w:t>
      </w:r>
    </w:p>
    <w:p w14:paraId="44A836C2" w14:textId="10F910AB" w:rsidR="00995C21" w:rsidRPr="00586685" w:rsidRDefault="00995C21" w:rsidP="006E4F8C">
      <w:pPr>
        <w:ind w:left="567" w:right="284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Kontaktní osoba objednatele: </w:t>
      </w:r>
      <w:r w:rsidR="00DF51D8">
        <w:rPr>
          <w:rFonts w:ascii="Calibri" w:hAnsi="Calibri" w:cs="Calibri"/>
          <w:b/>
          <w:bCs/>
          <w:i w:val="0"/>
          <w:sz w:val="22"/>
          <w:szCs w:val="22"/>
        </w:rPr>
        <w:t>XXXXXXXXXXXXXX</w:t>
      </w:r>
      <w:r w:rsidRPr="00586685">
        <w:rPr>
          <w:rFonts w:ascii="Calibri" w:hAnsi="Calibri" w:cs="Calibri"/>
          <w:i w:val="0"/>
          <w:sz w:val="22"/>
          <w:szCs w:val="22"/>
        </w:rPr>
        <w:t>.</w:t>
      </w:r>
    </w:p>
    <w:bookmarkEnd w:id="3"/>
    <w:p w14:paraId="0449946F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15D025A4" w14:textId="40E34C65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Hrazení jiných služeb servisní organizace, které nesouvisí s předmětem této smlouvy, bude prováděno odděleně dle příslušného cenového tarifu servisní organizace platného pro daný typ služeb, a to rovněž formou fakturace </w:t>
      </w:r>
      <w:bookmarkStart w:id="4" w:name="_Hlk188624078"/>
      <w:r w:rsidRPr="00586685">
        <w:rPr>
          <w:rFonts w:ascii="Calibri" w:hAnsi="Calibri" w:cs="Calibri"/>
          <w:i w:val="0"/>
          <w:sz w:val="22"/>
          <w:szCs w:val="22"/>
        </w:rPr>
        <w:t>a dle podmínek příslušné objednávky objednatele.</w:t>
      </w:r>
      <w:bookmarkEnd w:id="4"/>
    </w:p>
    <w:p w14:paraId="6D40CAB5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69AD828E" w14:textId="0EFC0577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Splatnost faktur vystavovaných na základě této smlouvy je stanovena na 14 dnů ode dne doručení objednateli, pokud se v jednotlivých případech obě strany nedohodnou jinak. V případě prodlení plateb se sjednává úrok </w:t>
      </w:r>
      <w:r w:rsidR="00FA035D">
        <w:rPr>
          <w:rFonts w:ascii="Calibri" w:hAnsi="Calibri" w:cs="Calibri"/>
          <w:i w:val="0"/>
          <w:sz w:val="22"/>
          <w:szCs w:val="22"/>
        </w:rPr>
        <w:t>z</w:t>
      </w:r>
      <w:r w:rsidRPr="00586685">
        <w:rPr>
          <w:rFonts w:ascii="Calibri" w:hAnsi="Calibri" w:cs="Calibri"/>
          <w:i w:val="0"/>
          <w:sz w:val="22"/>
          <w:szCs w:val="22"/>
        </w:rPr>
        <w:t> prodlení ve výši 0,01% z dlužné částky za každý den prodlení.</w:t>
      </w:r>
    </w:p>
    <w:p w14:paraId="407664B7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1902A63C" w14:textId="75FA0060" w:rsidR="00995C21" w:rsidRPr="00586685" w:rsidRDefault="00995C21" w:rsidP="00711CF7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V případě nedodržení ujednání čl. 2. bod 2.2. této smlouvy je objednatel oprávněn uplatnit smluvní pokutu ve výši 500,</w:t>
      </w:r>
      <w:r w:rsidR="00C20C23">
        <w:rPr>
          <w:rFonts w:ascii="Calibri" w:hAnsi="Calibri" w:cs="Calibri"/>
          <w:i w:val="0"/>
          <w:sz w:val="22"/>
          <w:szCs w:val="22"/>
        </w:rPr>
        <w:t xml:space="preserve">00 </w:t>
      </w:r>
      <w:r w:rsidRPr="00586685">
        <w:rPr>
          <w:rFonts w:ascii="Calibri" w:hAnsi="Calibri" w:cs="Calibri"/>
          <w:i w:val="0"/>
          <w:sz w:val="22"/>
          <w:szCs w:val="22"/>
        </w:rPr>
        <w:t>Kč za každý kalendářní den prodlení.</w:t>
      </w:r>
    </w:p>
    <w:p w14:paraId="15B018E7" w14:textId="77777777" w:rsidR="00995C21" w:rsidRPr="00586685" w:rsidRDefault="00995C21" w:rsidP="00711CF7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1FB805E0" w14:textId="23D3B877" w:rsidR="00995C21" w:rsidRDefault="007D6927" w:rsidP="007D6927">
      <w:pPr>
        <w:pStyle w:val="Nadpis1"/>
        <w:numPr>
          <w:ilvl w:val="0"/>
          <w:numId w:val="2"/>
        </w:numPr>
        <w:tabs>
          <w:tab w:val="clear" w:pos="360"/>
        </w:tabs>
        <w:spacing w:before="0" w:after="0"/>
        <w:ind w:left="567" w:right="284" w:hanging="567"/>
        <w:jc w:val="center"/>
        <w:rPr>
          <w:rFonts w:ascii="Calibri" w:hAnsi="Calibri" w:cs="Calibri"/>
          <w:b/>
          <w:bCs/>
          <w:i w:val="0"/>
          <w:color w:val="auto"/>
          <w:sz w:val="22"/>
          <w:szCs w:val="22"/>
        </w:rPr>
      </w:pPr>
      <w:r w:rsidRPr="007D6927">
        <w:rPr>
          <w:rFonts w:ascii="Calibri" w:hAnsi="Calibri" w:cs="Calibri"/>
          <w:b/>
          <w:bCs/>
          <w:i w:val="0"/>
          <w:color w:val="auto"/>
          <w:sz w:val="22"/>
          <w:szCs w:val="22"/>
        </w:rPr>
        <w:t>DŮVĚRNOST INFORMACÍ</w:t>
      </w:r>
    </w:p>
    <w:p w14:paraId="467F0066" w14:textId="77777777" w:rsidR="007D6927" w:rsidRPr="007D6927" w:rsidRDefault="007D6927" w:rsidP="007D6927"/>
    <w:p w14:paraId="71C61F70" w14:textId="09EFB230" w:rsidR="00995C21" w:rsidRPr="00586685" w:rsidRDefault="00995C21" w:rsidP="00BC4E7C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 xml:space="preserve">Servisní organizace se zavazuje zachovávat přísnou mlčenlivost o veškerých informacích souvisejících s činností poskytovanou objednateli, a které získá na základě jednání předcházejících podpisu této smlouvy, při uplatňování této </w:t>
      </w:r>
      <w:r w:rsidR="00BC4E7C" w:rsidRPr="00586685">
        <w:rPr>
          <w:rFonts w:ascii="Calibri" w:hAnsi="Calibri" w:cs="Calibri"/>
          <w:i w:val="0"/>
          <w:sz w:val="22"/>
          <w:szCs w:val="22"/>
        </w:rPr>
        <w:t>smlouvy, kdykoli</w:t>
      </w:r>
      <w:r w:rsidRPr="00586685">
        <w:rPr>
          <w:rFonts w:ascii="Calibri" w:hAnsi="Calibri" w:cs="Calibri"/>
          <w:i w:val="0"/>
          <w:sz w:val="22"/>
          <w:szCs w:val="22"/>
        </w:rPr>
        <w:t xml:space="preserve"> po jejím podpisu, jakož i po ukončení smlouvy.</w:t>
      </w:r>
    </w:p>
    <w:p w14:paraId="58B10D50" w14:textId="77777777" w:rsidR="00995C21" w:rsidRPr="00586685" w:rsidRDefault="00995C21" w:rsidP="00BC4E7C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1B589932" w14:textId="6886E0AA" w:rsidR="00995C21" w:rsidRPr="00586685" w:rsidRDefault="00F21001" w:rsidP="00F21001">
      <w:pPr>
        <w:numPr>
          <w:ilvl w:val="0"/>
          <w:numId w:val="2"/>
        </w:numPr>
        <w:tabs>
          <w:tab w:val="clear" w:pos="360"/>
        </w:tabs>
        <w:ind w:left="567" w:right="284" w:hanging="567"/>
        <w:jc w:val="center"/>
        <w:rPr>
          <w:rFonts w:ascii="Calibri" w:hAnsi="Calibri" w:cs="Calibri"/>
          <w:b/>
          <w:bCs/>
          <w:i w:val="0"/>
          <w:sz w:val="22"/>
          <w:szCs w:val="22"/>
        </w:rPr>
      </w:pPr>
      <w:r w:rsidRPr="00586685">
        <w:rPr>
          <w:rFonts w:ascii="Calibri" w:hAnsi="Calibri" w:cs="Calibri"/>
          <w:b/>
          <w:bCs/>
          <w:i w:val="0"/>
          <w:sz w:val="22"/>
          <w:szCs w:val="22"/>
        </w:rPr>
        <w:t>DOBA TRVÁNÍ SMLOUVY, UKONČENÍ SMLOUVY</w:t>
      </w:r>
    </w:p>
    <w:p w14:paraId="30F9D28E" w14:textId="77777777" w:rsidR="00995C21" w:rsidRPr="00586685" w:rsidRDefault="00995C21" w:rsidP="0002473B">
      <w:pPr>
        <w:ind w:left="567" w:right="284" w:hanging="567"/>
        <w:rPr>
          <w:rFonts w:ascii="Calibri" w:hAnsi="Calibri" w:cs="Calibri"/>
          <w:b/>
          <w:bCs/>
          <w:i w:val="0"/>
          <w:sz w:val="22"/>
          <w:szCs w:val="22"/>
        </w:rPr>
      </w:pPr>
    </w:p>
    <w:p w14:paraId="7B0F5EAF" w14:textId="77777777" w:rsidR="00995C21" w:rsidRPr="00586685" w:rsidRDefault="00995C21" w:rsidP="0002473B">
      <w:pPr>
        <w:numPr>
          <w:ilvl w:val="1"/>
          <w:numId w:val="2"/>
        </w:numPr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Tato smlouva je uzavřena na dobu neurčitou.</w:t>
      </w:r>
    </w:p>
    <w:p w14:paraId="17B05C42" w14:textId="77777777" w:rsidR="00995C21" w:rsidRPr="00586685" w:rsidRDefault="00995C21" w:rsidP="0002473B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63D00D0B" w14:textId="77777777" w:rsidR="00995C21" w:rsidRPr="00586685" w:rsidRDefault="00995C21" w:rsidP="0002473B">
      <w:pPr>
        <w:numPr>
          <w:ilvl w:val="1"/>
          <w:numId w:val="2"/>
        </w:numPr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Smlouvu je možné ukončit na základě písemné dohody smluvních stran.</w:t>
      </w:r>
    </w:p>
    <w:p w14:paraId="3F913A42" w14:textId="77777777" w:rsidR="00995C21" w:rsidRPr="00586685" w:rsidRDefault="00995C21" w:rsidP="0002473B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4174D8F5" w14:textId="1D3DE4A0" w:rsidR="00995C21" w:rsidRPr="00586685" w:rsidRDefault="00995C21" w:rsidP="0002473B">
      <w:pPr>
        <w:numPr>
          <w:ilvl w:val="1"/>
          <w:numId w:val="2"/>
        </w:numPr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Smlouvu lze ukončit výpovědí, kdy výpovědní lhůta této smlouvy se stanoví na 3 měsíce po doručení písemné výpovědi druhé smluvní straně. Smlouvu lze vypovědět bez výpovědní lhůty:</w:t>
      </w:r>
    </w:p>
    <w:p w14:paraId="3AB406D2" w14:textId="77777777" w:rsidR="00995C21" w:rsidRPr="00586685" w:rsidRDefault="00995C21" w:rsidP="0002473B">
      <w:pPr>
        <w:pStyle w:val="Odstavecseseznamem"/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0771CB6C" w14:textId="69601699" w:rsidR="00995C21" w:rsidRPr="0002473B" w:rsidRDefault="00995C21" w:rsidP="0002473B">
      <w:pPr>
        <w:pStyle w:val="Odstavecseseznamem"/>
        <w:numPr>
          <w:ilvl w:val="0"/>
          <w:numId w:val="6"/>
        </w:numPr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02473B">
        <w:rPr>
          <w:rFonts w:ascii="Calibri" w:hAnsi="Calibri" w:cs="Calibri"/>
          <w:i w:val="0"/>
          <w:sz w:val="22"/>
          <w:szCs w:val="22"/>
        </w:rPr>
        <w:t>servisní organizací, pokud objednatel neuhradí řádně vystavenou a řádně doručenou fakturu ani</w:t>
      </w:r>
      <w:r w:rsidR="0002473B">
        <w:rPr>
          <w:rFonts w:ascii="Calibri" w:hAnsi="Calibri" w:cs="Calibri"/>
          <w:i w:val="0"/>
          <w:sz w:val="22"/>
          <w:szCs w:val="22"/>
        </w:rPr>
        <w:t> </w:t>
      </w:r>
      <w:r w:rsidRPr="0002473B">
        <w:rPr>
          <w:rFonts w:ascii="Calibri" w:hAnsi="Calibri" w:cs="Calibri"/>
          <w:i w:val="0"/>
          <w:sz w:val="22"/>
          <w:szCs w:val="22"/>
        </w:rPr>
        <w:t>ve lhůtě 15 dnů po doručení písemné výzvy k úhradě;</w:t>
      </w:r>
    </w:p>
    <w:p w14:paraId="3395B258" w14:textId="24EB816E" w:rsidR="00995C21" w:rsidRPr="0002473B" w:rsidRDefault="00995C21" w:rsidP="0002473B">
      <w:pPr>
        <w:pStyle w:val="Odstavecseseznamem"/>
        <w:numPr>
          <w:ilvl w:val="0"/>
          <w:numId w:val="6"/>
        </w:numPr>
        <w:ind w:left="993" w:right="284" w:hanging="284"/>
        <w:rPr>
          <w:rFonts w:ascii="Calibri" w:hAnsi="Calibri" w:cs="Calibri"/>
          <w:i w:val="0"/>
          <w:sz w:val="22"/>
          <w:szCs w:val="22"/>
        </w:rPr>
      </w:pPr>
      <w:r w:rsidRPr="0002473B">
        <w:rPr>
          <w:rFonts w:ascii="Calibri" w:hAnsi="Calibri" w:cs="Calibri"/>
          <w:i w:val="0"/>
          <w:sz w:val="22"/>
          <w:szCs w:val="22"/>
        </w:rPr>
        <w:t>objednatelem, pokud servisní organizace ve dvou a více případech nedodrží lhůty uvedené v čl.</w:t>
      </w:r>
      <w:r w:rsidR="0002473B">
        <w:rPr>
          <w:rFonts w:ascii="Calibri" w:hAnsi="Calibri" w:cs="Calibri"/>
          <w:i w:val="0"/>
          <w:sz w:val="22"/>
          <w:szCs w:val="22"/>
        </w:rPr>
        <w:t> </w:t>
      </w:r>
      <w:r w:rsidRPr="0002473B">
        <w:rPr>
          <w:rFonts w:ascii="Calibri" w:hAnsi="Calibri" w:cs="Calibri"/>
          <w:i w:val="0"/>
          <w:sz w:val="22"/>
          <w:szCs w:val="22"/>
        </w:rPr>
        <w:t>2.2 této smlouvy. Výpověď smlouvy nemá vliv na úhradu smluvní pokuty dle čl. 3.7 a 3.8 této smlouvy.</w:t>
      </w:r>
    </w:p>
    <w:p w14:paraId="10E7B815" w14:textId="77777777" w:rsidR="00995C21" w:rsidRPr="00586685" w:rsidRDefault="00995C21" w:rsidP="0002473B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248DB680" w14:textId="05A58B3A" w:rsidR="00995C21" w:rsidRDefault="00694F08" w:rsidP="00694F08">
      <w:pPr>
        <w:numPr>
          <w:ilvl w:val="0"/>
          <w:numId w:val="2"/>
        </w:numPr>
        <w:tabs>
          <w:tab w:val="clear" w:pos="360"/>
        </w:tabs>
        <w:ind w:left="567" w:right="284" w:hanging="567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586685">
        <w:rPr>
          <w:rFonts w:ascii="Calibri" w:hAnsi="Calibri" w:cs="Calibri"/>
          <w:b/>
          <w:i w:val="0"/>
          <w:sz w:val="22"/>
          <w:szCs w:val="22"/>
        </w:rPr>
        <w:t>ZÁVĚREČNÁ USTANOVENÍ</w:t>
      </w:r>
    </w:p>
    <w:p w14:paraId="794A0FAF" w14:textId="77777777" w:rsidR="00694F08" w:rsidRPr="00586685" w:rsidRDefault="00694F08" w:rsidP="00694F08">
      <w:pPr>
        <w:ind w:left="567" w:right="284"/>
        <w:rPr>
          <w:rFonts w:ascii="Calibri" w:hAnsi="Calibri" w:cs="Calibri"/>
          <w:b/>
          <w:i w:val="0"/>
          <w:sz w:val="22"/>
          <w:szCs w:val="22"/>
        </w:rPr>
      </w:pPr>
    </w:p>
    <w:p w14:paraId="6B9F212B" w14:textId="77777777" w:rsidR="00995C21" w:rsidRPr="00586685" w:rsidRDefault="00995C21" w:rsidP="00694F08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Jiný způsob ohlašování a odstraňování závad, změna lhůt na provedení těchto úkonů či změna cen může být provedena na základě vzájemné písemné dohody mezi objednatelem a servisní organizací.</w:t>
      </w:r>
    </w:p>
    <w:p w14:paraId="52C85233" w14:textId="77777777" w:rsidR="00995C21" w:rsidRPr="00586685" w:rsidRDefault="00995C21" w:rsidP="00694F08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6A0657CD" w14:textId="77777777" w:rsidR="00995C21" w:rsidRPr="00586685" w:rsidRDefault="00995C21" w:rsidP="00694F08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Tato smlouva nabývá platnosti a účinnosti dnem podpisu.</w:t>
      </w:r>
    </w:p>
    <w:p w14:paraId="1063352F" w14:textId="77777777" w:rsidR="00995C21" w:rsidRPr="00586685" w:rsidRDefault="00995C21" w:rsidP="00694F08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48FBFA28" w14:textId="77777777" w:rsidR="00995C21" w:rsidRPr="00586685" w:rsidRDefault="00995C21" w:rsidP="00694F08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Tato smlouva byla vypracována ve dvou vyhotoveních s platností originálu, z nichž 1 obdrží objednatel a 1 servisní organizace.</w:t>
      </w:r>
    </w:p>
    <w:p w14:paraId="05B89F36" w14:textId="77777777" w:rsidR="00995C21" w:rsidRPr="00586685" w:rsidRDefault="00995C21" w:rsidP="00694F08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16C08375" w14:textId="77777777" w:rsidR="00995C21" w:rsidRPr="00586685" w:rsidRDefault="00995C21" w:rsidP="00694F08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z w:val="22"/>
          <w:szCs w:val="22"/>
        </w:rPr>
      </w:pPr>
      <w:r w:rsidRPr="00586685">
        <w:rPr>
          <w:rFonts w:ascii="Calibri" w:hAnsi="Calibri" w:cs="Calibri"/>
          <w:i w:val="0"/>
          <w:sz w:val="22"/>
          <w:szCs w:val="22"/>
        </w:rPr>
        <w:t>Případné změny této smlouvy lze řešit pouze písemným oboustranně podepsaným dodatkem k této smlouvě.</w:t>
      </w:r>
    </w:p>
    <w:p w14:paraId="727FD2C1" w14:textId="77777777" w:rsidR="00995C21" w:rsidRPr="00586685" w:rsidRDefault="00995C21" w:rsidP="00694F08">
      <w:pPr>
        <w:ind w:left="567" w:right="284" w:hanging="567"/>
        <w:rPr>
          <w:rFonts w:ascii="Calibri" w:hAnsi="Calibri" w:cs="Calibri"/>
          <w:i w:val="0"/>
          <w:sz w:val="22"/>
          <w:szCs w:val="22"/>
        </w:rPr>
      </w:pPr>
    </w:p>
    <w:p w14:paraId="2CC5193F" w14:textId="77777777" w:rsidR="00995C21" w:rsidRPr="00586685" w:rsidRDefault="00995C21" w:rsidP="00694F08">
      <w:pPr>
        <w:pStyle w:val="ODSTAVEC"/>
        <w:keepNext w:val="0"/>
        <w:numPr>
          <w:ilvl w:val="1"/>
          <w:numId w:val="2"/>
        </w:numPr>
        <w:tabs>
          <w:tab w:val="clear" w:pos="720"/>
        </w:tabs>
        <w:spacing w:before="0"/>
        <w:ind w:left="567" w:right="284" w:hanging="567"/>
        <w:rPr>
          <w:rFonts w:ascii="Calibri" w:hAnsi="Calibri" w:cs="Calibri"/>
          <w:sz w:val="22"/>
          <w:szCs w:val="22"/>
        </w:rPr>
      </w:pPr>
      <w:r w:rsidRPr="00586685">
        <w:rPr>
          <w:rFonts w:ascii="Calibri" w:hAnsi="Calibri" w:cs="Calibri"/>
          <w:sz w:val="22"/>
          <w:szCs w:val="22"/>
        </w:rPr>
        <w:t>Servisní organizace není oprávněna postoupit, převést ani zastavit tuto smlouvu ani jakákoli práva, povinnosti, dluhy, pohledávky nebo nároky vyplývající z této smlouvy bez předchozího písemného souhlasu objednatele.</w:t>
      </w:r>
    </w:p>
    <w:p w14:paraId="2066455A" w14:textId="77777777" w:rsidR="00995C21" w:rsidRPr="00586685" w:rsidRDefault="00995C21" w:rsidP="00694F08">
      <w:pPr>
        <w:pStyle w:val="ODSTAVEC"/>
        <w:keepNext w:val="0"/>
        <w:numPr>
          <w:ilvl w:val="0"/>
          <w:numId w:val="0"/>
        </w:numPr>
        <w:spacing w:before="0"/>
        <w:ind w:left="567" w:right="284" w:hanging="567"/>
        <w:rPr>
          <w:rFonts w:ascii="Calibri" w:hAnsi="Calibri" w:cs="Calibri"/>
          <w:sz w:val="22"/>
          <w:szCs w:val="22"/>
        </w:rPr>
      </w:pPr>
    </w:p>
    <w:p w14:paraId="0E7F61C5" w14:textId="21EEB289" w:rsidR="00995C21" w:rsidRPr="00586685" w:rsidRDefault="00995C21" w:rsidP="00694F08">
      <w:pPr>
        <w:pStyle w:val="Zkladntext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586685">
        <w:rPr>
          <w:rFonts w:ascii="Calibri" w:hAnsi="Calibri" w:cs="Calibri"/>
          <w:color w:val="auto"/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14:paraId="47D66E66" w14:textId="77777777" w:rsidR="00995C21" w:rsidRPr="00586685" w:rsidRDefault="00995C21" w:rsidP="00694F08">
      <w:pPr>
        <w:pStyle w:val="Zkladntext"/>
        <w:widowControl w:val="0"/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5622DD" w14:textId="15EE77D0" w:rsidR="00995C21" w:rsidRPr="00586685" w:rsidRDefault="00995C21" w:rsidP="00694F08">
      <w:pPr>
        <w:pStyle w:val="Zkladntext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586685">
        <w:rPr>
          <w:rFonts w:ascii="Calibri" w:hAnsi="Calibri" w:cs="Calibri"/>
          <w:color w:val="auto"/>
          <w:sz w:val="22"/>
          <w:szCs w:val="22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</w:t>
      </w:r>
      <w:r w:rsidR="00125351">
        <w:rPr>
          <w:rFonts w:ascii="Calibri" w:hAnsi="Calibri" w:cs="Calibri"/>
          <w:color w:val="auto"/>
          <w:sz w:val="22"/>
          <w:szCs w:val="22"/>
        </w:rPr>
        <w:t> </w:t>
      </w:r>
      <w:r w:rsidRPr="00586685">
        <w:rPr>
          <w:rFonts w:ascii="Calibri" w:hAnsi="Calibri" w:cs="Calibri"/>
          <w:color w:val="auto"/>
          <w:sz w:val="22"/>
          <w:szCs w:val="22"/>
        </w:rPr>
        <w:t>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14:paraId="6B8429A9" w14:textId="77777777" w:rsidR="00995C21" w:rsidRPr="00586685" w:rsidRDefault="00995C21" w:rsidP="00694F08">
      <w:pPr>
        <w:pStyle w:val="Zkladntext"/>
        <w:widowControl w:val="0"/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83F2D22" w14:textId="09F5F2D9" w:rsidR="00995C21" w:rsidRPr="00586685" w:rsidRDefault="00995C21" w:rsidP="00694F08">
      <w:pPr>
        <w:pStyle w:val="Zkladntext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586685">
        <w:rPr>
          <w:rFonts w:ascii="Calibri" w:hAnsi="Calibri" w:cs="Calibri"/>
          <w:sz w:val="22"/>
          <w:szCs w:val="22"/>
        </w:rPr>
        <w:t>Smluvní strany prohlašují, že si smlouvu před jejím podepsáním důkladně přečetly, že byla uzavřena po vzájemném projednání, podle jejich pravé a svobodné vůle, určitě, vážně a srozumitelně, nikoliv</w:t>
      </w:r>
      <w:r w:rsidR="00125351">
        <w:rPr>
          <w:rFonts w:ascii="Calibri" w:hAnsi="Calibri" w:cs="Calibri"/>
          <w:sz w:val="22"/>
          <w:szCs w:val="22"/>
        </w:rPr>
        <w:t> </w:t>
      </w:r>
      <w:r w:rsidRPr="00586685">
        <w:rPr>
          <w:rFonts w:ascii="Calibri" w:hAnsi="Calibri" w:cs="Calibri"/>
          <w:sz w:val="22"/>
          <w:szCs w:val="22"/>
        </w:rPr>
        <w:t>v</w:t>
      </w:r>
      <w:r w:rsidR="00125351">
        <w:rPr>
          <w:rFonts w:ascii="Calibri" w:hAnsi="Calibri" w:cs="Calibri"/>
          <w:sz w:val="22"/>
          <w:szCs w:val="22"/>
        </w:rPr>
        <w:t> </w:t>
      </w:r>
      <w:r w:rsidRPr="00586685">
        <w:rPr>
          <w:rFonts w:ascii="Calibri" w:hAnsi="Calibri" w:cs="Calibri"/>
          <w:sz w:val="22"/>
          <w:szCs w:val="22"/>
        </w:rPr>
        <w:t>tísni, či za nápadně nevýhodných podmínek a na důkaz svého bezvýhradného souhlasu s jejím obsahem připojují své podpisy.</w:t>
      </w:r>
    </w:p>
    <w:p w14:paraId="3AB34B31" w14:textId="77777777" w:rsidR="00995C21" w:rsidRPr="00586685" w:rsidRDefault="00995C21" w:rsidP="00694F08">
      <w:pPr>
        <w:pStyle w:val="Zkladntext"/>
        <w:widowControl w:val="0"/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B58687A" w14:textId="77777777" w:rsidR="00995C21" w:rsidRPr="00586685" w:rsidRDefault="00995C21" w:rsidP="00694F08">
      <w:pPr>
        <w:pStyle w:val="Zkladntext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586685">
        <w:rPr>
          <w:rFonts w:ascii="Calibri" w:hAnsi="Calibri" w:cs="Calibri"/>
          <w:sz w:val="22"/>
          <w:szCs w:val="22"/>
        </w:rPr>
        <w:t>Smluvní strany prohlašují, že tato smlouva byla sepsána s dobrými úmysly a s plným porozuměním podmínkám v ní stanoveným, a že plně souhlasí s jejím zněním.</w:t>
      </w:r>
    </w:p>
    <w:p w14:paraId="59ACC358" w14:textId="77777777" w:rsidR="00995C21" w:rsidRPr="00586685" w:rsidRDefault="00995C21" w:rsidP="00694F08">
      <w:pPr>
        <w:pStyle w:val="Zkladntext"/>
        <w:widowControl w:val="0"/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3CEFB8E" w14:textId="77777777" w:rsidR="00995C21" w:rsidRPr="00586685" w:rsidRDefault="00995C21" w:rsidP="00694F08">
      <w:pPr>
        <w:pStyle w:val="Zkladntext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 w:right="284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586685">
        <w:rPr>
          <w:rFonts w:ascii="Calibri" w:hAnsi="Calibri" w:cs="Calibri"/>
          <w:sz w:val="22"/>
          <w:szCs w:val="22"/>
        </w:rPr>
        <w:t>V případě, že některá práva a povinnosti vzniklá mezi smluvními stranami v souvislosti s touto smlouvou nejsou ve smlouvě upraveny, řídí se tato práva a povinnosti příslušnými ustanoveními zákona č. 89/2012 Sb., občanský zákoník, ve znění pozdějších předpisů.</w:t>
      </w:r>
    </w:p>
    <w:p w14:paraId="469568B4" w14:textId="77777777" w:rsidR="00995C21" w:rsidRPr="00586685" w:rsidRDefault="00995C21" w:rsidP="00694F08">
      <w:pPr>
        <w:pStyle w:val="Odstavecseseznamem"/>
        <w:ind w:left="567" w:right="284" w:hanging="567"/>
        <w:rPr>
          <w:rFonts w:ascii="Calibri" w:hAnsi="Calibri" w:cs="Calibri"/>
          <w:i w:val="0"/>
          <w:snapToGrid w:val="0"/>
          <w:sz w:val="22"/>
          <w:szCs w:val="22"/>
          <w:highlight w:val="yellow"/>
        </w:rPr>
      </w:pPr>
    </w:p>
    <w:p w14:paraId="6CDE8D5E" w14:textId="6B533FD2" w:rsidR="00995C21" w:rsidRPr="00586685" w:rsidRDefault="00995C21" w:rsidP="00694F08">
      <w:pPr>
        <w:numPr>
          <w:ilvl w:val="1"/>
          <w:numId w:val="2"/>
        </w:numPr>
        <w:tabs>
          <w:tab w:val="clear" w:pos="720"/>
        </w:tabs>
        <w:ind w:left="567" w:right="284" w:hanging="567"/>
        <w:rPr>
          <w:rFonts w:ascii="Calibri" w:hAnsi="Calibri" w:cs="Calibri"/>
          <w:i w:val="0"/>
          <w:snapToGrid w:val="0"/>
          <w:sz w:val="22"/>
          <w:szCs w:val="22"/>
        </w:rPr>
      </w:pPr>
      <w:r w:rsidRPr="00586685">
        <w:rPr>
          <w:rFonts w:ascii="Calibri" w:hAnsi="Calibri" w:cs="Calibri"/>
          <w:i w:val="0"/>
          <w:snapToGrid w:val="0"/>
          <w:sz w:val="22"/>
          <w:szCs w:val="22"/>
        </w:rPr>
        <w:t>Servisní organizace se v souladu se zákonem č.320/2001 Sb., o finanční kontrole ve veřejné správě a</w:t>
      </w:r>
      <w:r w:rsidR="00125351">
        <w:rPr>
          <w:rFonts w:ascii="Calibri" w:hAnsi="Calibri" w:cs="Calibri"/>
          <w:i w:val="0"/>
          <w:snapToGrid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napToGrid w:val="0"/>
          <w:sz w:val="22"/>
          <w:szCs w:val="22"/>
        </w:rPr>
        <w:t>o</w:t>
      </w:r>
      <w:r w:rsidR="00125351">
        <w:rPr>
          <w:rFonts w:ascii="Calibri" w:hAnsi="Calibri" w:cs="Calibri"/>
          <w:i w:val="0"/>
          <w:snapToGrid w:val="0"/>
          <w:sz w:val="22"/>
          <w:szCs w:val="22"/>
        </w:rPr>
        <w:t> </w:t>
      </w:r>
      <w:r w:rsidRPr="00586685">
        <w:rPr>
          <w:rFonts w:ascii="Calibri" w:hAnsi="Calibri" w:cs="Calibri"/>
          <w:i w:val="0"/>
          <w:snapToGrid w:val="0"/>
          <w:sz w:val="22"/>
          <w:szCs w:val="22"/>
        </w:rPr>
        <w:t>změně některých zákonů v platném a účinném znění, zavazuje spolupůsobit při výkonu finanční kontroly.</w:t>
      </w:r>
    </w:p>
    <w:p w14:paraId="30E23008" w14:textId="77777777" w:rsidR="00995C21" w:rsidRPr="00586685" w:rsidRDefault="00995C21" w:rsidP="00694F08">
      <w:pPr>
        <w:pStyle w:val="Odstavecseseznamem"/>
        <w:ind w:left="567" w:right="284" w:hanging="567"/>
        <w:rPr>
          <w:rFonts w:ascii="Calibri" w:hAnsi="Calibri" w:cs="Calibri"/>
          <w:i w:val="0"/>
          <w:snapToGrid w:val="0"/>
          <w:sz w:val="22"/>
          <w:szCs w:val="22"/>
          <w:highlight w:val="yellow"/>
        </w:rPr>
      </w:pPr>
    </w:p>
    <w:p w14:paraId="7059777F" w14:textId="77777777" w:rsidR="00995C21" w:rsidRDefault="00995C21" w:rsidP="00110AF0">
      <w:pPr>
        <w:ind w:right="284"/>
        <w:contextualSpacing/>
        <w:rPr>
          <w:rFonts w:ascii="Calibri" w:hAnsi="Calibri" w:cs="Calibri"/>
          <w:i w:val="0"/>
          <w:sz w:val="22"/>
          <w:szCs w:val="22"/>
        </w:rPr>
      </w:pPr>
    </w:p>
    <w:p w14:paraId="3340371C" w14:textId="77777777" w:rsidR="0053573B" w:rsidRDefault="0053573B" w:rsidP="00110AF0">
      <w:pPr>
        <w:ind w:right="284"/>
        <w:contextualSpacing/>
        <w:rPr>
          <w:rFonts w:ascii="Calibri" w:hAnsi="Calibri" w:cs="Calibri"/>
          <w:i w:val="0"/>
          <w:sz w:val="22"/>
          <w:szCs w:val="22"/>
        </w:rPr>
      </w:pPr>
    </w:p>
    <w:p w14:paraId="2823A338" w14:textId="77777777" w:rsidR="0053573B" w:rsidRPr="00586685" w:rsidRDefault="0053573B" w:rsidP="00110AF0">
      <w:pPr>
        <w:ind w:right="284"/>
        <w:contextualSpacing/>
        <w:rPr>
          <w:rFonts w:ascii="Calibri" w:hAnsi="Calibri" w:cs="Calibri"/>
          <w:i w:val="0"/>
          <w:sz w:val="22"/>
          <w:szCs w:val="22"/>
        </w:rPr>
      </w:pPr>
    </w:p>
    <w:p w14:paraId="14596B6B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  <w:sectPr w:rsidR="0053573B" w:rsidSect="00995C21">
          <w:footerReference w:type="default" r:id="rId10"/>
          <w:pgSz w:w="11907" w:h="16840" w:code="9"/>
          <w:pgMar w:top="1134" w:right="850" w:bottom="1134" w:left="1134" w:header="709" w:footer="709" w:gutter="0"/>
          <w:cols w:space="708"/>
        </w:sectPr>
      </w:pPr>
    </w:p>
    <w:p w14:paraId="0A842412" w14:textId="77777777" w:rsidR="0053573B" w:rsidRDefault="0053573B" w:rsidP="00110AF0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642F27DB" w14:textId="77777777" w:rsidR="0053573B" w:rsidRDefault="0053573B" w:rsidP="00110AF0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5918BCD9" w14:textId="77777777" w:rsidR="0053573B" w:rsidRDefault="0053573B" w:rsidP="00110AF0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72BE8AFC" w14:textId="77777777" w:rsidR="008C0A86" w:rsidRDefault="008C0A86" w:rsidP="00110AF0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43708D7E" w14:textId="5E2E525C" w:rsidR="00995C21" w:rsidRPr="0053573B" w:rsidRDefault="00197FBC" w:rsidP="00110AF0">
      <w:pPr>
        <w:ind w:right="284"/>
        <w:contextualSpacing/>
        <w:rPr>
          <w:rFonts w:ascii="Calibri" w:hAnsi="Calibri" w:cs="Calibri"/>
          <w:i w:val="0"/>
          <w:sz w:val="20"/>
        </w:rPr>
      </w:pPr>
      <w:r w:rsidRPr="0053573B">
        <w:rPr>
          <w:rFonts w:ascii="Calibri" w:hAnsi="Calibri" w:cs="Calibri"/>
          <w:i w:val="0"/>
          <w:sz w:val="20"/>
        </w:rPr>
        <w:t>………………………………………………………………………</w:t>
      </w:r>
      <w:r w:rsidR="0053573B">
        <w:rPr>
          <w:rFonts w:ascii="Calibri" w:hAnsi="Calibri" w:cs="Calibri"/>
          <w:i w:val="0"/>
          <w:sz w:val="20"/>
        </w:rPr>
        <w:t>…….</w:t>
      </w:r>
      <w:r w:rsidRPr="0053573B">
        <w:rPr>
          <w:rFonts w:ascii="Calibri" w:hAnsi="Calibri" w:cs="Calibri"/>
          <w:i w:val="0"/>
          <w:sz w:val="20"/>
        </w:rPr>
        <w:t>…..</w:t>
      </w:r>
    </w:p>
    <w:p w14:paraId="4FF0F523" w14:textId="018B9791" w:rsidR="00995C21" w:rsidRPr="0053573B" w:rsidRDefault="00995C21" w:rsidP="0053573B">
      <w:pPr>
        <w:ind w:right="284"/>
        <w:contextualSpacing/>
        <w:jc w:val="center"/>
        <w:rPr>
          <w:rFonts w:ascii="Calibri" w:hAnsi="Calibri" w:cs="Calibri"/>
          <w:b/>
          <w:bCs/>
          <w:i w:val="0"/>
          <w:sz w:val="20"/>
        </w:rPr>
      </w:pPr>
      <w:bookmarkStart w:id="5" w:name="_Hlk121295595"/>
      <w:r w:rsidRPr="0053573B">
        <w:rPr>
          <w:rFonts w:ascii="Calibri" w:hAnsi="Calibri" w:cs="Calibri"/>
          <w:b/>
          <w:bCs/>
          <w:i w:val="0"/>
          <w:sz w:val="20"/>
        </w:rPr>
        <w:t>TINT s.</w:t>
      </w:r>
      <w:r w:rsidR="00125351" w:rsidRPr="0053573B">
        <w:rPr>
          <w:rFonts w:ascii="Calibri" w:hAnsi="Calibri" w:cs="Calibri"/>
          <w:b/>
          <w:bCs/>
          <w:i w:val="0"/>
          <w:sz w:val="20"/>
        </w:rPr>
        <w:t xml:space="preserve"> </w:t>
      </w:r>
      <w:r w:rsidRPr="0053573B">
        <w:rPr>
          <w:rFonts w:ascii="Calibri" w:hAnsi="Calibri" w:cs="Calibri"/>
          <w:b/>
          <w:bCs/>
          <w:i w:val="0"/>
          <w:sz w:val="20"/>
        </w:rPr>
        <w:t>r.</w:t>
      </w:r>
      <w:r w:rsidR="00125351" w:rsidRPr="0053573B">
        <w:rPr>
          <w:rFonts w:ascii="Calibri" w:hAnsi="Calibri" w:cs="Calibri"/>
          <w:b/>
          <w:bCs/>
          <w:i w:val="0"/>
          <w:sz w:val="20"/>
        </w:rPr>
        <w:t xml:space="preserve"> </w:t>
      </w:r>
      <w:r w:rsidRPr="0053573B">
        <w:rPr>
          <w:rFonts w:ascii="Calibri" w:hAnsi="Calibri" w:cs="Calibri"/>
          <w:b/>
          <w:bCs/>
          <w:i w:val="0"/>
          <w:sz w:val="20"/>
        </w:rPr>
        <w:t>o.</w:t>
      </w:r>
    </w:p>
    <w:p w14:paraId="69F91BCD" w14:textId="1959BDFD" w:rsidR="00995C21" w:rsidRPr="0053573B" w:rsidRDefault="00995C21" w:rsidP="0053573B">
      <w:pPr>
        <w:ind w:right="284"/>
        <w:contextualSpacing/>
        <w:jc w:val="center"/>
        <w:rPr>
          <w:rFonts w:ascii="Calibri" w:hAnsi="Calibri" w:cs="Calibri"/>
          <w:i w:val="0"/>
          <w:sz w:val="20"/>
        </w:rPr>
      </w:pPr>
      <w:r w:rsidRPr="0053573B">
        <w:rPr>
          <w:rFonts w:ascii="Calibri" w:hAnsi="Calibri" w:cs="Calibri"/>
          <w:i w:val="0"/>
          <w:sz w:val="20"/>
        </w:rPr>
        <w:t>Pavel Mohyla</w:t>
      </w:r>
      <w:bookmarkStart w:id="6" w:name="_Hlk188624324"/>
      <w:r w:rsidR="001E7BEA" w:rsidRPr="0053573B">
        <w:rPr>
          <w:rFonts w:ascii="Calibri" w:hAnsi="Calibri" w:cs="Calibri"/>
          <w:i w:val="0"/>
          <w:sz w:val="20"/>
        </w:rPr>
        <w:t>,</w:t>
      </w:r>
    </w:p>
    <w:bookmarkEnd w:id="6"/>
    <w:p w14:paraId="47AB5ACF" w14:textId="1BB163FA" w:rsidR="004B3FCE" w:rsidRPr="0053573B" w:rsidRDefault="00995C21" w:rsidP="0053573B">
      <w:pPr>
        <w:ind w:right="284"/>
        <w:contextualSpacing/>
        <w:jc w:val="center"/>
        <w:rPr>
          <w:rFonts w:ascii="Calibri" w:hAnsi="Calibri" w:cs="Calibri"/>
          <w:i w:val="0"/>
          <w:sz w:val="20"/>
        </w:rPr>
      </w:pPr>
      <w:r w:rsidRPr="0053573B">
        <w:rPr>
          <w:rFonts w:ascii="Calibri" w:hAnsi="Calibri" w:cs="Calibri"/>
          <w:i w:val="0"/>
          <w:sz w:val="20"/>
        </w:rPr>
        <w:t>jednatel společnosti</w:t>
      </w:r>
      <w:bookmarkEnd w:id="5"/>
    </w:p>
    <w:p w14:paraId="70E78375" w14:textId="77777777" w:rsidR="001E7BEA" w:rsidRDefault="001E7BEA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06D61A55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0DB7E095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4E928365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362E462A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33559C7C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036BA982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7D4445B7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373B1F5F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1C2D92C2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639FE219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49BEFBA9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4F8228D8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108C05F9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03D00B15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16BC8742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106B026F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350399B6" w14:textId="77777777" w:rsidR="0053573B" w:rsidRDefault="0053573B" w:rsidP="00125351">
      <w:pPr>
        <w:ind w:right="284"/>
        <w:contextualSpacing/>
        <w:rPr>
          <w:rFonts w:ascii="Calibri" w:hAnsi="Calibri" w:cs="Calibri"/>
          <w:i w:val="0"/>
          <w:sz w:val="20"/>
        </w:rPr>
      </w:pPr>
    </w:p>
    <w:p w14:paraId="424E78C5" w14:textId="77777777" w:rsidR="0053573B" w:rsidRDefault="0053573B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</w:p>
    <w:p w14:paraId="47485F8D" w14:textId="53263E0A" w:rsidR="0053573B" w:rsidRDefault="0053573B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</w:p>
    <w:p w14:paraId="3DFA94A7" w14:textId="77777777" w:rsidR="008C0A86" w:rsidRDefault="008C0A86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</w:p>
    <w:p w14:paraId="4987D302" w14:textId="77777777" w:rsidR="0053573B" w:rsidRDefault="0053573B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</w:p>
    <w:p w14:paraId="65A2642B" w14:textId="77777777" w:rsidR="00B26B66" w:rsidRDefault="00B26B66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</w:p>
    <w:p w14:paraId="487745AF" w14:textId="3945E7EF" w:rsidR="0053573B" w:rsidRPr="0053573B" w:rsidRDefault="0053573B" w:rsidP="001E7BEA">
      <w:pPr>
        <w:tabs>
          <w:tab w:val="left" w:pos="2694"/>
        </w:tabs>
        <w:ind w:right="284"/>
        <w:jc w:val="left"/>
        <w:rPr>
          <w:rFonts w:ascii="Calibri" w:hAnsi="Calibri" w:cs="Calibri"/>
          <w:bCs/>
          <w:i w:val="0"/>
          <w:sz w:val="20"/>
        </w:rPr>
      </w:pPr>
      <w:r w:rsidRPr="0053573B">
        <w:rPr>
          <w:rFonts w:ascii="Calibri" w:hAnsi="Calibri" w:cs="Calibri"/>
          <w:bCs/>
          <w:i w:val="0"/>
          <w:sz w:val="20"/>
        </w:rPr>
        <w:t>……………………………………</w:t>
      </w:r>
      <w:r>
        <w:rPr>
          <w:rFonts w:ascii="Calibri" w:hAnsi="Calibri" w:cs="Calibri"/>
          <w:bCs/>
          <w:i w:val="0"/>
          <w:sz w:val="20"/>
        </w:rPr>
        <w:t>……..</w:t>
      </w:r>
      <w:r w:rsidRPr="0053573B">
        <w:rPr>
          <w:rFonts w:ascii="Calibri" w:hAnsi="Calibri" w:cs="Calibri"/>
          <w:bCs/>
          <w:i w:val="0"/>
          <w:sz w:val="20"/>
        </w:rPr>
        <w:t>…………………………………….</w:t>
      </w:r>
    </w:p>
    <w:p w14:paraId="0CE068F8" w14:textId="31E8BBBE" w:rsidR="001E7BEA" w:rsidRPr="0053573B" w:rsidRDefault="001E7BEA" w:rsidP="0053573B">
      <w:pPr>
        <w:tabs>
          <w:tab w:val="left" w:pos="2694"/>
        </w:tabs>
        <w:ind w:right="284"/>
        <w:jc w:val="center"/>
        <w:rPr>
          <w:rFonts w:ascii="Calibri" w:hAnsi="Calibri" w:cs="Calibri"/>
          <w:b/>
          <w:i w:val="0"/>
          <w:sz w:val="20"/>
        </w:rPr>
      </w:pPr>
      <w:r w:rsidRPr="0053573B">
        <w:rPr>
          <w:rFonts w:ascii="Calibri" w:hAnsi="Calibri" w:cs="Calibri"/>
          <w:b/>
          <w:i w:val="0"/>
          <w:sz w:val="20"/>
        </w:rPr>
        <w:t>Správa sportovních a rekreačních zařízení Havířov</w:t>
      </w:r>
    </w:p>
    <w:p w14:paraId="32592616" w14:textId="77777777" w:rsidR="001E7BEA" w:rsidRPr="0053573B" w:rsidRDefault="001E7BEA" w:rsidP="0053573B">
      <w:pPr>
        <w:ind w:right="284"/>
        <w:contextualSpacing/>
        <w:jc w:val="center"/>
        <w:rPr>
          <w:rFonts w:ascii="Calibri" w:hAnsi="Calibri" w:cs="Calibri"/>
          <w:i w:val="0"/>
          <w:sz w:val="20"/>
        </w:rPr>
      </w:pPr>
      <w:r w:rsidRPr="0053573B">
        <w:rPr>
          <w:rFonts w:ascii="Calibri" w:hAnsi="Calibri" w:cs="Calibri"/>
          <w:i w:val="0"/>
          <w:sz w:val="20"/>
        </w:rPr>
        <w:t>PhDr. Mgr. Nazim Afana, LL.M.,</w:t>
      </w:r>
    </w:p>
    <w:p w14:paraId="4970F128" w14:textId="2C4A1D77" w:rsidR="001E7BEA" w:rsidRPr="0053573B" w:rsidRDefault="001E7BEA" w:rsidP="0053573B">
      <w:pPr>
        <w:ind w:right="284"/>
        <w:contextualSpacing/>
        <w:jc w:val="center"/>
        <w:rPr>
          <w:rFonts w:ascii="Calibri" w:hAnsi="Calibri" w:cs="Calibri"/>
          <w:i w:val="0"/>
          <w:sz w:val="20"/>
        </w:rPr>
      </w:pPr>
      <w:r w:rsidRPr="0053573B">
        <w:rPr>
          <w:rFonts w:ascii="Calibri" w:hAnsi="Calibri" w:cs="Calibri"/>
          <w:i w:val="0"/>
          <w:sz w:val="20"/>
        </w:rPr>
        <w:t>ředitel</w:t>
      </w:r>
    </w:p>
    <w:sectPr w:rsidR="001E7BEA" w:rsidRPr="0053573B" w:rsidSect="0053573B">
      <w:type w:val="continuous"/>
      <w:pgSz w:w="11907" w:h="16840" w:code="9"/>
      <w:pgMar w:top="1134" w:right="850" w:bottom="1134" w:left="1134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A451" w14:textId="77777777" w:rsidR="00FB516F" w:rsidRDefault="00FB516F">
      <w:r>
        <w:separator/>
      </w:r>
    </w:p>
  </w:endnote>
  <w:endnote w:type="continuationSeparator" w:id="0">
    <w:p w14:paraId="04AB4EE1" w14:textId="77777777" w:rsidR="00FB516F" w:rsidRDefault="00FB516F">
      <w:r>
        <w:continuationSeparator/>
      </w:r>
    </w:p>
  </w:endnote>
  <w:endnote w:type="continuationNotice" w:id="1">
    <w:p w14:paraId="32605E5F" w14:textId="77777777" w:rsidR="00FB516F" w:rsidRDefault="00FB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witzerland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1175" w14:textId="77777777" w:rsidR="00995C21" w:rsidRPr="00BD3AC0" w:rsidRDefault="00995C21" w:rsidP="00515AEA">
    <w:pPr>
      <w:pStyle w:val="Zpat"/>
      <w:pBdr>
        <w:top w:val="single" w:sz="4" w:space="1" w:color="auto"/>
      </w:pBdr>
      <w:ind w:left="-284" w:right="-284"/>
      <w:jc w:val="center"/>
      <w:rPr>
        <w:rFonts w:ascii="Verdana" w:hAnsi="Verdana" w:cs="Tahoma"/>
        <w:i w:val="0"/>
        <w:szCs w:val="18"/>
      </w:rPr>
    </w:pPr>
    <w:r w:rsidRPr="00BD3AC0">
      <w:rPr>
        <w:rFonts w:ascii="Verdana" w:hAnsi="Verdana" w:cs="Tahoma"/>
        <w:i w:val="0"/>
        <w:szCs w:val="18"/>
      </w:rPr>
      <w:t>Smlouva o komplexní technické péči</w:t>
    </w:r>
    <w:r>
      <w:rPr>
        <w:rFonts w:ascii="Verdana" w:hAnsi="Verdana" w:cs="Tahoma"/>
        <w:i w:val="0"/>
        <w:szCs w:val="18"/>
      </w:rPr>
      <w:t xml:space="preserve"> - EPS</w:t>
    </w:r>
    <w:r w:rsidRPr="00BD3AC0">
      <w:rPr>
        <w:rFonts w:ascii="Verdana" w:hAnsi="Verdana" w:cs="Tahoma"/>
        <w:i w:val="0"/>
        <w:szCs w:val="18"/>
      </w:rPr>
      <w:t xml:space="preserve"> - </w: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begin"/>
    </w:r>
    <w:r w:rsidRPr="00BD3AC0">
      <w:rPr>
        <w:rStyle w:val="slostrnky"/>
        <w:rFonts w:ascii="Verdana" w:eastAsiaTheme="majorEastAsia" w:hAnsi="Verdana" w:cs="Tahoma"/>
        <w:i w:val="0"/>
        <w:szCs w:val="18"/>
      </w:rPr>
      <w:instrText xml:space="preserve"> PAGE </w:instrTex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separate"/>
    </w:r>
    <w:r>
      <w:rPr>
        <w:rStyle w:val="slostrnky"/>
        <w:rFonts w:ascii="Verdana" w:eastAsiaTheme="majorEastAsia" w:hAnsi="Verdana" w:cs="Tahoma"/>
        <w:i w:val="0"/>
        <w:noProof/>
        <w:szCs w:val="18"/>
      </w:rPr>
      <w:t>1</w: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end"/>
    </w:r>
    <w:r w:rsidRPr="00BD3AC0">
      <w:rPr>
        <w:rStyle w:val="slostrnky"/>
        <w:rFonts w:ascii="Verdana" w:eastAsiaTheme="majorEastAsia" w:hAnsi="Verdana" w:cs="Tahoma"/>
        <w:i w:val="0"/>
        <w:szCs w:val="18"/>
      </w:rPr>
      <w:t xml:space="preserve"> / </w: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begin"/>
    </w:r>
    <w:r w:rsidRPr="00BD3AC0">
      <w:rPr>
        <w:rStyle w:val="slostrnky"/>
        <w:rFonts w:ascii="Verdana" w:eastAsiaTheme="majorEastAsia" w:hAnsi="Verdana" w:cs="Tahoma"/>
        <w:i w:val="0"/>
        <w:szCs w:val="18"/>
      </w:rPr>
      <w:instrText xml:space="preserve"> NUMPAGES </w:instrTex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separate"/>
    </w:r>
    <w:r>
      <w:rPr>
        <w:rStyle w:val="slostrnky"/>
        <w:rFonts w:ascii="Verdana" w:eastAsiaTheme="majorEastAsia" w:hAnsi="Verdana" w:cs="Tahoma"/>
        <w:i w:val="0"/>
        <w:noProof/>
        <w:szCs w:val="18"/>
      </w:rPr>
      <w:t>4</w:t>
    </w:r>
    <w:r w:rsidRPr="00BD3AC0">
      <w:rPr>
        <w:rStyle w:val="slostrnky"/>
        <w:rFonts w:ascii="Verdana" w:eastAsiaTheme="majorEastAsia" w:hAnsi="Verdana" w:cs="Tahoma"/>
        <w:i w:val="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1A23" w14:textId="77777777" w:rsidR="00FB516F" w:rsidRDefault="00FB516F">
      <w:r>
        <w:separator/>
      </w:r>
    </w:p>
  </w:footnote>
  <w:footnote w:type="continuationSeparator" w:id="0">
    <w:p w14:paraId="710783D9" w14:textId="77777777" w:rsidR="00FB516F" w:rsidRDefault="00FB516F">
      <w:r>
        <w:continuationSeparator/>
      </w:r>
    </w:p>
  </w:footnote>
  <w:footnote w:type="continuationNotice" w:id="1">
    <w:p w14:paraId="41549539" w14:textId="77777777" w:rsidR="00FB516F" w:rsidRDefault="00FB5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00C91"/>
    <w:multiLevelType w:val="multilevel"/>
    <w:tmpl w:val="CE8C75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eastAsiaTheme="majorEastAsia" w:hAnsi="Calibri" w:cs="Calibri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34EB594A"/>
    <w:multiLevelType w:val="hybridMultilevel"/>
    <w:tmpl w:val="1C8A1B5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DAF8100C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Verdana" w:eastAsia="Times New Roman" w:hAnsi="Verdana" w:cs="Tahom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AEB07D7"/>
    <w:multiLevelType w:val="multilevel"/>
    <w:tmpl w:val="8446EF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62B5339"/>
    <w:multiLevelType w:val="hybridMultilevel"/>
    <w:tmpl w:val="EF423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B7C2854"/>
    <w:multiLevelType w:val="hybridMultilevel"/>
    <w:tmpl w:val="00F07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7924">
    <w:abstractNumId w:val="0"/>
  </w:num>
  <w:num w:numId="2" w16cid:durableId="1614358341">
    <w:abstractNumId w:val="2"/>
  </w:num>
  <w:num w:numId="3" w16cid:durableId="294408748">
    <w:abstractNumId w:val="1"/>
  </w:num>
  <w:num w:numId="4" w16cid:durableId="1003241253">
    <w:abstractNumId w:val="4"/>
  </w:num>
  <w:num w:numId="5" w16cid:durableId="737282978">
    <w:abstractNumId w:val="5"/>
  </w:num>
  <w:num w:numId="6" w16cid:durableId="59999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1"/>
    <w:rsid w:val="0002473B"/>
    <w:rsid w:val="000248B2"/>
    <w:rsid w:val="00037E4C"/>
    <w:rsid w:val="000C4360"/>
    <w:rsid w:val="000F3054"/>
    <w:rsid w:val="00110AF0"/>
    <w:rsid w:val="00125351"/>
    <w:rsid w:val="00135D7C"/>
    <w:rsid w:val="00137B7E"/>
    <w:rsid w:val="00197FBC"/>
    <w:rsid w:val="001E1225"/>
    <w:rsid w:val="001E7BEA"/>
    <w:rsid w:val="001F198E"/>
    <w:rsid w:val="002356C1"/>
    <w:rsid w:val="002B3093"/>
    <w:rsid w:val="003352C6"/>
    <w:rsid w:val="00340590"/>
    <w:rsid w:val="003A342F"/>
    <w:rsid w:val="003B6973"/>
    <w:rsid w:val="00415ED5"/>
    <w:rsid w:val="004454FA"/>
    <w:rsid w:val="00457B8A"/>
    <w:rsid w:val="00460AA6"/>
    <w:rsid w:val="00461205"/>
    <w:rsid w:val="004B3FCE"/>
    <w:rsid w:val="00507B32"/>
    <w:rsid w:val="0051544E"/>
    <w:rsid w:val="00515AEA"/>
    <w:rsid w:val="005237BB"/>
    <w:rsid w:val="0053573B"/>
    <w:rsid w:val="00542733"/>
    <w:rsid w:val="005631DE"/>
    <w:rsid w:val="005657C1"/>
    <w:rsid w:val="00586685"/>
    <w:rsid w:val="006048F0"/>
    <w:rsid w:val="006227F1"/>
    <w:rsid w:val="006748E9"/>
    <w:rsid w:val="00694F08"/>
    <w:rsid w:val="006D14F7"/>
    <w:rsid w:val="006E4F8C"/>
    <w:rsid w:val="00711CF7"/>
    <w:rsid w:val="007422F1"/>
    <w:rsid w:val="00744F36"/>
    <w:rsid w:val="00773018"/>
    <w:rsid w:val="00783E7B"/>
    <w:rsid w:val="007B4AC3"/>
    <w:rsid w:val="007D6927"/>
    <w:rsid w:val="007F5305"/>
    <w:rsid w:val="00807E68"/>
    <w:rsid w:val="0081261F"/>
    <w:rsid w:val="00831849"/>
    <w:rsid w:val="0083273E"/>
    <w:rsid w:val="00841FFC"/>
    <w:rsid w:val="00867BA0"/>
    <w:rsid w:val="008779A4"/>
    <w:rsid w:val="00897DA8"/>
    <w:rsid w:val="008C0A86"/>
    <w:rsid w:val="00905DCF"/>
    <w:rsid w:val="00951098"/>
    <w:rsid w:val="00995C21"/>
    <w:rsid w:val="009A2D50"/>
    <w:rsid w:val="009F1975"/>
    <w:rsid w:val="00AA380C"/>
    <w:rsid w:val="00AC1E34"/>
    <w:rsid w:val="00AC3639"/>
    <w:rsid w:val="00AE28CB"/>
    <w:rsid w:val="00B17F61"/>
    <w:rsid w:val="00B26B66"/>
    <w:rsid w:val="00B5575C"/>
    <w:rsid w:val="00BC4E7C"/>
    <w:rsid w:val="00C20C23"/>
    <w:rsid w:val="00C23D31"/>
    <w:rsid w:val="00C36B54"/>
    <w:rsid w:val="00C43A63"/>
    <w:rsid w:val="00C63A41"/>
    <w:rsid w:val="00C65F19"/>
    <w:rsid w:val="00CC705D"/>
    <w:rsid w:val="00D00D07"/>
    <w:rsid w:val="00D054F1"/>
    <w:rsid w:val="00D816DD"/>
    <w:rsid w:val="00DA1BCE"/>
    <w:rsid w:val="00DA5316"/>
    <w:rsid w:val="00DE1001"/>
    <w:rsid w:val="00DF51D8"/>
    <w:rsid w:val="00E756D3"/>
    <w:rsid w:val="00E960C5"/>
    <w:rsid w:val="00EA53A8"/>
    <w:rsid w:val="00EC76C1"/>
    <w:rsid w:val="00F21001"/>
    <w:rsid w:val="00F27167"/>
    <w:rsid w:val="00F97332"/>
    <w:rsid w:val="00FA035D"/>
    <w:rsid w:val="00FB137E"/>
    <w:rsid w:val="00FB516F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F624"/>
  <w15:chartTrackingRefBased/>
  <w15:docId w15:val="{31E36DFA-9B5C-4646-AD67-A4ED411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C21"/>
    <w:pPr>
      <w:spacing w:after="0" w:line="240" w:lineRule="auto"/>
      <w:jc w:val="both"/>
    </w:pPr>
    <w:rPr>
      <w:rFonts w:ascii="SwitzerlandLight" w:eastAsia="Times New Roman" w:hAnsi="SwitzerlandLight" w:cs="Times New Roman"/>
      <w:i/>
      <w:kern w:val="0"/>
      <w:sz w:val="18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9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9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C21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C21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C21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C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C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C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C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C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C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95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C21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5C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5C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5C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C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C2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995C2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995C21"/>
    <w:rPr>
      <w:rFonts w:ascii="SwitzerlandLight" w:eastAsia="Times New Roman" w:hAnsi="SwitzerlandLight" w:cs="Times New Roman"/>
      <w:i/>
      <w:kern w:val="0"/>
      <w:sz w:val="18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95C21"/>
  </w:style>
  <w:style w:type="paragraph" w:customStyle="1" w:styleId="text">
    <w:name w:val="text"/>
    <w:basedOn w:val="Normln"/>
    <w:rsid w:val="00995C21"/>
    <w:rPr>
      <w:rFonts w:ascii="Times New Roman" w:hAnsi="Times New Roman"/>
      <w:sz w:val="20"/>
    </w:rPr>
  </w:style>
  <w:style w:type="character" w:styleId="Hypertextovodkaz">
    <w:name w:val="Hyperlink"/>
    <w:rsid w:val="00995C21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995C21"/>
    <w:pPr>
      <w:suppressAutoHyphens/>
      <w:ind w:firstLine="708"/>
      <w:jc w:val="left"/>
    </w:pPr>
    <w:rPr>
      <w:rFonts w:ascii="Arial Black" w:hAnsi="Arial Black"/>
      <w:b/>
      <w:i w:val="0"/>
      <w:sz w:val="24"/>
      <w:lang w:eastAsia="ar-SA"/>
    </w:rPr>
  </w:style>
  <w:style w:type="paragraph" w:customStyle="1" w:styleId="ODSTAVEC">
    <w:name w:val="ODSTAVEC"/>
    <w:basedOn w:val="Bezmezer"/>
    <w:rsid w:val="00995C21"/>
    <w:pPr>
      <w:keepNext/>
      <w:numPr>
        <w:ilvl w:val="1"/>
        <w:numId w:val="4"/>
      </w:numPr>
      <w:tabs>
        <w:tab w:val="clear" w:pos="540"/>
        <w:tab w:val="num" w:pos="360"/>
      </w:tabs>
      <w:spacing w:before="120"/>
      <w:ind w:left="1440" w:firstLine="0"/>
    </w:pPr>
    <w:rPr>
      <w:rFonts w:ascii="Arial" w:hAnsi="Arial" w:cs="Arial"/>
      <w:i w:val="0"/>
      <w:szCs w:val="18"/>
    </w:rPr>
  </w:style>
  <w:style w:type="paragraph" w:customStyle="1" w:styleId="NADPIS">
    <w:name w:val="NADPIS"/>
    <w:basedOn w:val="Bezmezer"/>
    <w:rsid w:val="00995C21"/>
    <w:pPr>
      <w:keepNext/>
      <w:numPr>
        <w:numId w:val="4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i w:val="0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995C21"/>
    <w:pPr>
      <w:jc w:val="left"/>
    </w:pPr>
    <w:rPr>
      <w:rFonts w:ascii="Arial" w:hAnsi="Arial"/>
      <w:i w:val="0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995C21"/>
    <w:rPr>
      <w:rFonts w:ascii="Arial" w:eastAsia="Times New Roman" w:hAnsi="Arial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995C21"/>
    <w:pPr>
      <w:spacing w:after="0" w:line="240" w:lineRule="auto"/>
      <w:jc w:val="both"/>
    </w:pPr>
    <w:rPr>
      <w:rFonts w:ascii="SwitzerlandLight" w:eastAsia="Times New Roman" w:hAnsi="SwitzerlandLight" w:cs="Times New Roman"/>
      <w:i/>
      <w:kern w:val="0"/>
      <w:sz w:val="18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50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7B32"/>
    <w:rPr>
      <w:rFonts w:ascii="SwitzerlandLight" w:eastAsia="Times New Roman" w:hAnsi="SwitzerlandLight" w:cs="Times New Roman"/>
      <w:i/>
      <w:kern w:val="0"/>
      <w:sz w:val="18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Props1.xml><?xml version="1.0" encoding="utf-8"?>
<ds:datastoreItem xmlns:ds="http://schemas.openxmlformats.org/officeDocument/2006/customXml" ds:itemID="{A0A5DD9E-F947-49D4-9F72-503564BE8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BF256-36DC-4FA4-9152-707422B8E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3480E-96F3-47C7-9349-5BF03788BEB6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Skoczová - SSRZ Havířov</dc:creator>
  <cp:keywords/>
  <dc:description/>
  <cp:lastModifiedBy>Kateřina Lusková - SSRZ Havířov</cp:lastModifiedBy>
  <cp:revision>3</cp:revision>
  <cp:lastPrinted>2025-01-30T09:59:00Z</cp:lastPrinted>
  <dcterms:created xsi:type="dcterms:W3CDTF">2025-02-03T13:00:00Z</dcterms:created>
  <dcterms:modified xsi:type="dcterms:W3CDTF">2025-02-03T13:15:00Z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