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C9F1" w14:textId="47CCD038" w:rsidR="002D6603" w:rsidRPr="002D6603" w:rsidRDefault="68C5CACA" w:rsidP="002D6603">
      <w:pPr>
        <w:pStyle w:val="Nadpis1"/>
      </w:pPr>
      <w:r>
        <w:t xml:space="preserve"> </w:t>
      </w:r>
      <w:r w:rsidR="002D6603">
        <w:t>SPECIFIKACE EXPOZICE </w:t>
      </w:r>
    </w:p>
    <w:p w14:paraId="7FAB20A7" w14:textId="0E3C9377" w:rsidR="002D6603" w:rsidRDefault="002D6603" w:rsidP="002D6603">
      <w:pPr>
        <w:pStyle w:val="Podnadpis"/>
      </w:pPr>
      <w:r w:rsidRPr="002D6603">
        <w:t>ITB BERLÍN 2025 </w:t>
      </w:r>
    </w:p>
    <w:p w14:paraId="44F1E60A" w14:textId="77777777" w:rsidR="002D6603" w:rsidRDefault="002D6603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>
        <w:br w:type="page"/>
      </w:r>
    </w:p>
    <w:p w14:paraId="6263157F" w14:textId="77777777" w:rsidR="002D6603" w:rsidRPr="002D6603" w:rsidRDefault="002D6603" w:rsidP="002D6603">
      <w:pPr>
        <w:pStyle w:val="Podnadpis"/>
      </w:pPr>
    </w:p>
    <w:p w14:paraId="6D986A3D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ROZMĚRY EXPOZICE </w:t>
      </w:r>
    </w:p>
    <w:p w14:paraId="0B309D00" w14:textId="2641F09A" w:rsidR="002D6603" w:rsidRPr="002D6603" w:rsidRDefault="002D6603" w:rsidP="002D6603">
      <w:r w:rsidRPr="002D6603">
        <w:t>Plocha expozice je pro ITB Berlín stanovena na 9 000 mm x 17</w:t>
      </w:r>
      <w:r w:rsidRPr="002D6603">
        <w:rPr>
          <w:rFonts w:ascii="Arial" w:hAnsi="Arial" w:cs="Arial"/>
        </w:rPr>
        <w:t> </w:t>
      </w:r>
      <w:r w:rsidRPr="002D6603">
        <w:t>000 mm, tedy 153 m2. Základní rovinu tvoří jednací pulty a bloky zázemí expozice. Zázemí expozice dosahuje výšky 5 000 mm. Ve výstavních prostorách ITB Berlín je výškové omezení do 6 m.  </w:t>
      </w:r>
    </w:p>
    <w:p w14:paraId="6303BFC5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POPIS SPOLEČNÝCH PRVKŮ </w:t>
      </w:r>
    </w:p>
    <w:p w14:paraId="21E0E04E" w14:textId="77777777" w:rsidR="002D6603" w:rsidRPr="002D6603" w:rsidRDefault="002D6603" w:rsidP="002D6603">
      <w:r w:rsidRPr="002D6603">
        <w:t>Společné prvky expozice jsou </w:t>
      </w:r>
    </w:p>
    <w:p w14:paraId="4B09CDDA" w14:textId="77777777" w:rsidR="002D6603" w:rsidRPr="002D6603" w:rsidRDefault="002D6603" w:rsidP="002D6603">
      <w:pPr>
        <w:numPr>
          <w:ilvl w:val="0"/>
          <w:numId w:val="1"/>
        </w:numPr>
      </w:pPr>
      <w:r w:rsidRPr="002D6603">
        <w:t>Závěsný trussový systém </w:t>
      </w:r>
    </w:p>
    <w:p w14:paraId="522B02E7" w14:textId="77777777" w:rsidR="002D6603" w:rsidRPr="002D6603" w:rsidRDefault="002D6603" w:rsidP="002D6603">
      <w:pPr>
        <w:numPr>
          <w:ilvl w:val="0"/>
          <w:numId w:val="2"/>
        </w:numPr>
      </w:pPr>
      <w:r w:rsidRPr="002D6603">
        <w:t>Světelné nápisy </w:t>
      </w:r>
    </w:p>
    <w:p w14:paraId="571B4889" w14:textId="77777777" w:rsidR="002D6603" w:rsidRPr="002D6603" w:rsidRDefault="002D6603" w:rsidP="002D6603">
      <w:pPr>
        <w:numPr>
          <w:ilvl w:val="0"/>
          <w:numId w:val="3"/>
        </w:numPr>
      </w:pPr>
      <w:r w:rsidRPr="002D6603">
        <w:t>Osvětlení </w:t>
      </w:r>
    </w:p>
    <w:p w14:paraId="4CBA89D5" w14:textId="77777777" w:rsidR="002D6603" w:rsidRPr="002D6603" w:rsidRDefault="002D6603" w:rsidP="002D6603">
      <w:pPr>
        <w:numPr>
          <w:ilvl w:val="0"/>
          <w:numId w:val="4"/>
        </w:numPr>
      </w:pPr>
      <w:r w:rsidRPr="002D6603">
        <w:t>Velkoformátový displej nebo LED stěna a ozvučení </w:t>
      </w:r>
    </w:p>
    <w:p w14:paraId="2B4696F5" w14:textId="77777777" w:rsidR="002D6603" w:rsidRPr="002D6603" w:rsidRDefault="002D6603" w:rsidP="002D6603">
      <w:pPr>
        <w:numPr>
          <w:ilvl w:val="0"/>
          <w:numId w:val="5"/>
        </w:numPr>
      </w:pPr>
      <w:r w:rsidRPr="002D6603">
        <w:t>Zvýšená podlaha (sokl) </w:t>
      </w:r>
    </w:p>
    <w:p w14:paraId="4E1A0208" w14:textId="77777777" w:rsidR="002D6603" w:rsidRPr="002D6603" w:rsidRDefault="002D6603" w:rsidP="002D6603">
      <w:pPr>
        <w:numPr>
          <w:ilvl w:val="0"/>
          <w:numId w:val="6"/>
        </w:numPr>
      </w:pPr>
      <w:r w:rsidRPr="002D6603">
        <w:t>Grafika </w:t>
      </w:r>
    </w:p>
    <w:p w14:paraId="56CCBC41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I. Závěsný trussový systém </w:t>
      </w:r>
    </w:p>
    <w:p w14:paraId="075EF12B" w14:textId="77777777" w:rsidR="002D6603" w:rsidRPr="002D6603" w:rsidRDefault="002D6603" w:rsidP="002D6603">
      <w:r w:rsidRPr="002D6603">
        <w:t>Nad expozicí bude umístěn obvodový trussový systém pro instalaci osvětlení, ozvučení i světelných nápisů označujících expozici.  </w:t>
      </w:r>
    </w:p>
    <w:p w14:paraId="6056B325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II. Světelné nápisy </w:t>
      </w:r>
    </w:p>
    <w:p w14:paraId="792378F1" w14:textId="4A3E242F" w:rsidR="002D6603" w:rsidRPr="002D6603" w:rsidRDefault="002D6603" w:rsidP="002D6603">
      <w:r w:rsidRPr="002D6603">
        <w:t>Zadavatel má v majetku dva světelné nápisy. Dodavatel jako součást dodávky zajistí: </w:t>
      </w:r>
    </w:p>
    <w:p w14:paraId="60E3A1F8" w14:textId="1B22C1B9" w:rsidR="002D6603" w:rsidRPr="002D6603" w:rsidRDefault="002D6603" w:rsidP="002D6603">
      <w:pPr>
        <w:numPr>
          <w:ilvl w:val="0"/>
          <w:numId w:val="7"/>
        </w:numPr>
      </w:pPr>
      <w:r w:rsidRPr="002D6603">
        <w:t>vyzvednutí nápisů v zabaleném stavu v</w:t>
      </w:r>
      <w:r w:rsidR="00CE3968">
        <w:t xml:space="preserve">e skladu </w:t>
      </w:r>
      <w:proofErr w:type="spellStart"/>
      <w:r w:rsidR="00CE3968">
        <w:t>CzT</w:t>
      </w:r>
      <w:proofErr w:type="spellEnd"/>
      <w:r w:rsidR="00CE3968">
        <w:t xml:space="preserve"> v blízkosti Prahy (Kozomín)</w:t>
      </w:r>
    </w:p>
    <w:p w14:paraId="17C9A101" w14:textId="77777777" w:rsidR="002D6603" w:rsidRPr="002D6603" w:rsidRDefault="002D6603" w:rsidP="002D6603">
      <w:pPr>
        <w:numPr>
          <w:ilvl w:val="0"/>
          <w:numId w:val="8"/>
        </w:numPr>
      </w:pPr>
      <w:r w:rsidRPr="002D6603">
        <w:t>dopravu na ITB Berlín, případné bezpečné uskladnění před instalací </w:t>
      </w:r>
    </w:p>
    <w:p w14:paraId="2D326B25" w14:textId="77777777" w:rsidR="002D6603" w:rsidRPr="002D6603" w:rsidRDefault="002D6603" w:rsidP="002D6603">
      <w:pPr>
        <w:numPr>
          <w:ilvl w:val="0"/>
          <w:numId w:val="9"/>
        </w:numPr>
      </w:pPr>
      <w:r w:rsidRPr="002D6603">
        <w:t>instalaci na trussový systém </w:t>
      </w:r>
    </w:p>
    <w:p w14:paraId="024544BC" w14:textId="77777777" w:rsidR="002D6603" w:rsidRPr="002D6603" w:rsidRDefault="002D6603" w:rsidP="002D6603">
      <w:pPr>
        <w:numPr>
          <w:ilvl w:val="0"/>
          <w:numId w:val="10"/>
        </w:numPr>
      </w:pPr>
      <w:r w:rsidRPr="002D6603">
        <w:t>demontáž po skončení veletrh, případné bezpečné uskladnění před dopravou zpět </w:t>
      </w:r>
    </w:p>
    <w:p w14:paraId="366A8F0E" w14:textId="77777777" w:rsidR="002D6603" w:rsidRPr="002D6603" w:rsidRDefault="002D6603" w:rsidP="002D6603">
      <w:pPr>
        <w:numPr>
          <w:ilvl w:val="0"/>
          <w:numId w:val="11"/>
        </w:numPr>
      </w:pPr>
      <w:r w:rsidRPr="002D6603">
        <w:t>doprava zpět do skladu Zadavatele v Praze </w:t>
      </w:r>
    </w:p>
    <w:p w14:paraId="30FECCC1" w14:textId="77777777" w:rsidR="002D6603" w:rsidRPr="002D6603" w:rsidRDefault="002D6603" w:rsidP="002D6603">
      <w:r w:rsidRPr="002D6603">
        <w:t> </w:t>
      </w:r>
    </w:p>
    <w:p w14:paraId="7CC50081" w14:textId="3F4626F7" w:rsidR="002D6603" w:rsidRPr="002D6603" w:rsidRDefault="002D6603" w:rsidP="70AFD8D4">
      <w:pPr>
        <w:rPr>
          <w:i/>
          <w:iCs/>
        </w:rPr>
      </w:pPr>
      <w:r>
        <w:t>Světeln</w:t>
      </w:r>
      <w:r w:rsidR="68E9C35A">
        <w:t>ý</w:t>
      </w:r>
      <w:r>
        <w:t xml:space="preserve"> nápis m</w:t>
      </w:r>
      <w:r w:rsidR="4236BAD6">
        <w:t>á</w:t>
      </w:r>
      <w:r>
        <w:t xml:space="preserve"> v </w:t>
      </w:r>
      <w:r w:rsidR="12C9A983">
        <w:t xml:space="preserve">rozloženém </w:t>
      </w:r>
      <w:r>
        <w:t xml:space="preserve">stavu rozměry a váhy: </w:t>
      </w:r>
      <w:r w:rsidR="39D04DD1">
        <w:t>2</w:t>
      </w:r>
      <w:r w:rsidR="009A5A4D">
        <w:t xml:space="preserve"> díly</w:t>
      </w:r>
      <w:r w:rsidR="39D04DD1">
        <w:t>, každý 800</w:t>
      </w:r>
      <w:r w:rsidR="283DD29D">
        <w:t xml:space="preserve"> </w:t>
      </w:r>
      <w:r w:rsidR="39D04DD1">
        <w:t xml:space="preserve">mm x </w:t>
      </w:r>
      <w:r w:rsidR="525268DC">
        <w:t>2400 mm</w:t>
      </w:r>
      <w:r w:rsidR="39D04DD1">
        <w:t>, váha 25</w:t>
      </w:r>
      <w:r w:rsidR="33B30AA8">
        <w:t xml:space="preserve"> </w:t>
      </w:r>
      <w:r w:rsidR="39D04DD1">
        <w:t xml:space="preserve">kg každý </w:t>
      </w:r>
      <w:r w:rsidR="4FC3B1EE">
        <w:t>díl</w:t>
      </w:r>
      <w:r w:rsidR="224B2597">
        <w:t xml:space="preserve">. Děleno mezi slovy </w:t>
      </w:r>
      <w:r w:rsidR="224B2597" w:rsidRPr="70AFD8D4">
        <w:rPr>
          <w:i/>
          <w:iCs/>
        </w:rPr>
        <w:t xml:space="preserve">Visit </w:t>
      </w:r>
      <w:r w:rsidR="224B2597">
        <w:t xml:space="preserve">a </w:t>
      </w:r>
      <w:r w:rsidR="224B2597" w:rsidRPr="70AFD8D4">
        <w:rPr>
          <w:i/>
          <w:iCs/>
        </w:rPr>
        <w:t>Czechia</w:t>
      </w:r>
    </w:p>
    <w:p w14:paraId="3A01C93A" w14:textId="542B0E4A" w:rsidR="002D6603" w:rsidRPr="002D6603" w:rsidRDefault="224B2597" w:rsidP="002D6603">
      <w:r>
        <w:t>Z</w:t>
      </w:r>
      <w:r w:rsidR="5F68C0AF">
        <w:t xml:space="preserve">a </w:t>
      </w:r>
      <w:r w:rsidR="44E51030">
        <w:t>oba</w:t>
      </w:r>
      <w:r w:rsidR="5F68C0AF">
        <w:t xml:space="preserve"> </w:t>
      </w:r>
      <w:r w:rsidR="6660B2F7">
        <w:t xml:space="preserve">dva </w:t>
      </w:r>
      <w:r w:rsidR="5F68C0AF">
        <w:t>nápisy tedy rozloženo na 4ks v celkové váze 100</w:t>
      </w:r>
      <w:r w:rsidR="47DADE74">
        <w:t xml:space="preserve"> </w:t>
      </w:r>
      <w:r w:rsidR="5F68C0AF">
        <w:t>kg</w:t>
      </w:r>
    </w:p>
    <w:p w14:paraId="719189FD" w14:textId="22A3AAEA" w:rsidR="002D6603" w:rsidRPr="002D6603" w:rsidRDefault="002D6603" w:rsidP="70AFD8D4">
      <w:r>
        <w:lastRenderedPageBreak/>
        <w:t xml:space="preserve">Světelné nápisy mají v instalovaném stavu rozměry a váhy: </w:t>
      </w:r>
      <w:r w:rsidR="1FC6DDC6">
        <w:t>800</w:t>
      </w:r>
      <w:r w:rsidR="48C0A06B">
        <w:t xml:space="preserve"> </w:t>
      </w:r>
      <w:r w:rsidR="70AFD8D4">
        <w:t>m</w:t>
      </w:r>
      <w:r w:rsidR="48C0A06B">
        <w:t>m x 4800 mm</w:t>
      </w:r>
      <w:r w:rsidR="4403A5BE">
        <w:t>, 50 kg každý</w:t>
      </w:r>
      <w:r w:rsidR="5D03EA76">
        <w:rPr>
          <w:noProof/>
        </w:rPr>
        <w:drawing>
          <wp:inline distT="0" distB="0" distL="0" distR="0" wp14:anchorId="5ADF14FB" wp14:editId="00A50B23">
            <wp:extent cx="5762626" cy="1600200"/>
            <wp:effectExtent l="0" t="0" r="0" b="0"/>
            <wp:docPr id="2094380441" name="Obrázek 209438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9988" w14:textId="77777777" w:rsidR="002D6603" w:rsidRPr="002D6603" w:rsidRDefault="002D6603" w:rsidP="002D6603">
      <w:r w:rsidRPr="002D6603">
        <w:t>Konstrukci je nutné kotvit na minimálně 3 body. </w:t>
      </w:r>
    </w:p>
    <w:p w14:paraId="5C79E287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III. Osvětlení </w:t>
      </w:r>
    </w:p>
    <w:p w14:paraId="4AF43314" w14:textId="77777777" w:rsidR="002D6603" w:rsidRPr="002D6603" w:rsidRDefault="002D6603" w:rsidP="002D6603">
      <w:r w:rsidRPr="002D6603">
        <w:t>Plocha expozice bude osvětlena LED svítidly zavěšenými na trussové konstrukci nad expozicí.  </w:t>
      </w:r>
    </w:p>
    <w:p w14:paraId="15585E89" w14:textId="77777777" w:rsidR="002D6603" w:rsidRPr="002D6603" w:rsidRDefault="002D6603" w:rsidP="002D6603">
      <w:r w:rsidRPr="002D6603">
        <w:t>Dodavatel navrhne dostatečný počet svítidel, dostatečného výkonu, které bude možné stmívat. </w:t>
      </w:r>
    </w:p>
    <w:p w14:paraId="7A2F6031" w14:textId="77777777" w:rsidR="002D6603" w:rsidRPr="002D6603" w:rsidRDefault="002D6603" w:rsidP="002D6603">
      <w:r w:rsidRPr="002D6603">
        <w:t>Boční stěny zázemí, opatřené grafikou, povrch prostoru pro pohyb osob a všechny pracovní plochy budou nasvíceny minimálně na 300 lux. Barevná teplota bude 4 000 K. Čelní strany výstavních pultů vystavovatelů a infostánku budou buď prosvícené light boxy nebo bude grafika na nich osvícena též minimálně na 300 lux z pohledové strany (mimo expoziční prostor). </w:t>
      </w:r>
    </w:p>
    <w:p w14:paraId="068A415F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IV. Velkoformátový displej nebo LED stěna a ozvučení </w:t>
      </w:r>
    </w:p>
    <w:p w14:paraId="00FA9FE0" w14:textId="4F46E581" w:rsidR="002D6603" w:rsidRPr="002D6603" w:rsidRDefault="002D6603" w:rsidP="002D6603">
      <w:r>
        <w:t>Na stěně zázemí bude umístěn buď velkoformátový displej 90” o minimálním rozlišení FullHD (1920x1080px)</w:t>
      </w:r>
      <w:r w:rsidR="3341CF97">
        <w:t xml:space="preserve"> </w:t>
      </w:r>
      <w:r w:rsidR="00203AE4">
        <w:t>(</w:t>
      </w:r>
      <w:r w:rsidR="00CE3968">
        <w:t>nebo LED stěna</w:t>
      </w:r>
      <w:r w:rsidR="00203AE4">
        <w:t xml:space="preserve">) </w:t>
      </w:r>
      <w:r w:rsidR="3341CF97">
        <w:t>orientovaný směrem ke hlavnímu koridoru veletrhu (mimo expozici CzT)</w:t>
      </w:r>
      <w:r>
        <w:t>. Propojené směrové reproduktory budou umístěny na trussovém systému a budou ozvučovat okolí obrazu . </w:t>
      </w:r>
    </w:p>
    <w:p w14:paraId="29D3F6FE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V. Zvýšená podlaha (sokl) </w:t>
      </w:r>
    </w:p>
    <w:p w14:paraId="43B744F7" w14:textId="77777777" w:rsidR="002D6603" w:rsidRPr="002D6603" w:rsidRDefault="002D6603" w:rsidP="002D6603">
      <w:r w:rsidRPr="002D6603">
        <w:t>Pod celou expozicí se nachází vyvýšený sokl. Převýšení cca 30 mm dle potřeb instalace infrastruktury. V konstrukci soklu je vedena el. energie a síťové kabely k jednotlivým stolkům, voda, odpad atd. Sokl expozice zároveň citlivě vymezuje parcelu a celým svým obvodem vytváří okopový sokl pro jednotlivé výstavní pulty. </w:t>
      </w:r>
    </w:p>
    <w:p w14:paraId="68DDA323" w14:textId="77777777" w:rsidR="002D6603" w:rsidRPr="002D6603" w:rsidRDefault="002D6603" w:rsidP="002D6603">
      <w:r w:rsidRPr="002D6603">
        <w:t>Podlaha je po celém obvodu zabezpečena přechodovými lištami. </w:t>
      </w:r>
    </w:p>
    <w:p w14:paraId="19C87159" w14:textId="554E5485" w:rsidR="002D6603" w:rsidRPr="002D6603" w:rsidRDefault="002D6603" w:rsidP="002D6603">
      <w:r>
        <w:t>Na podlahu ved</w:t>
      </w:r>
      <w:r w:rsidR="3A3475BD">
        <w:t xml:space="preserve">e </w:t>
      </w:r>
      <w:r>
        <w:t>ramp</w:t>
      </w:r>
      <w:r w:rsidR="0FB725A7">
        <w:t>a</w:t>
      </w:r>
      <w:r>
        <w:t xml:space="preserve"> o šířce 1 000 mm. </w:t>
      </w:r>
    </w:p>
    <w:p w14:paraId="39B131EF" w14:textId="77777777" w:rsidR="002D6603" w:rsidRPr="002D6603" w:rsidRDefault="002D6603" w:rsidP="002D6603">
      <w:r w:rsidRPr="002D6603">
        <w:t>Podlahou jsou vedeny všechny silno, slabo proudé rozvody, stejně jako rozvody vody a odpadu. </w:t>
      </w:r>
    </w:p>
    <w:p w14:paraId="5DD5660E" w14:textId="77777777" w:rsidR="002D6603" w:rsidRPr="002D6603" w:rsidRDefault="002D6603" w:rsidP="002D6603">
      <w:r w:rsidRPr="002D6603">
        <w:lastRenderedPageBreak/>
        <w:t>Podlaha soklu je kryta kobercem k zajištění dostatečného pohodlí vystavovatelů. Barevné provedení koberce: jednobarevné – světle šedá barva. Barva koberce bude finálně určena Zadavatelem na konkrétních předložených vzorcích.  </w:t>
      </w:r>
    </w:p>
    <w:p w14:paraId="5EB904D2" w14:textId="77777777" w:rsidR="002D6603" w:rsidRPr="002D6603" w:rsidRDefault="002D6603" w:rsidP="002D6603">
      <w:r w:rsidRPr="002D6603">
        <w:t xml:space="preserve">Typ koberce: </w:t>
      </w:r>
      <w:r w:rsidRPr="002D6603">
        <w:tab/>
      </w:r>
      <w:r w:rsidRPr="002D6603">
        <w:tab/>
        <w:t>zátěžový koberec určený pro veřejné využití Materiál: 100 %PP </w:t>
      </w:r>
    </w:p>
    <w:p w14:paraId="7AFACF0B" w14:textId="77777777" w:rsidR="002D6603" w:rsidRPr="002D6603" w:rsidRDefault="002D6603" w:rsidP="002D6603">
      <w:r w:rsidRPr="002D6603">
        <w:t xml:space="preserve">Výška vlasu: </w:t>
      </w:r>
      <w:r w:rsidRPr="002D6603">
        <w:tab/>
      </w:r>
      <w:r w:rsidRPr="002D6603">
        <w:tab/>
        <w:t>cca 3 mm</w:t>
      </w:r>
      <w:r w:rsidRPr="002D6603">
        <w:tab/>
        <w:t> </w:t>
      </w:r>
    </w:p>
    <w:p w14:paraId="02E5C246" w14:textId="54E825EE" w:rsidR="002D6603" w:rsidRPr="002D6603" w:rsidRDefault="002D6603" w:rsidP="002D6603">
      <w:r>
        <w:t xml:space="preserve">Celková </w:t>
      </w:r>
      <w:r w:rsidR="75E05802">
        <w:t>váha:</w:t>
      </w:r>
      <w:r>
        <w:tab/>
        <w:t>cca 700 g/m2 </w:t>
      </w:r>
    </w:p>
    <w:p w14:paraId="435AB2D9" w14:textId="6F44C1C5" w:rsidR="002D6603" w:rsidRPr="002D6603" w:rsidRDefault="002D6603" w:rsidP="002D6603">
      <w:r>
        <w:t>Celková výška:</w:t>
      </w:r>
      <w:r>
        <w:tab/>
        <w:t>cca 5 mm  </w:t>
      </w:r>
    </w:p>
    <w:p w14:paraId="098C0A40" w14:textId="77777777" w:rsidR="002D6603" w:rsidRPr="002D6603" w:rsidRDefault="002D6603" w:rsidP="002D6603">
      <w:r w:rsidRPr="002D6603">
        <w:t xml:space="preserve">Klasifikace na oheň </w:t>
      </w:r>
      <w:r w:rsidRPr="002D6603">
        <w:tab/>
        <w:t>ČSN EN 135-01 Bfl-s1  </w:t>
      </w:r>
    </w:p>
    <w:p w14:paraId="5C71F471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VI. Grafika </w:t>
      </w:r>
    </w:p>
    <w:p w14:paraId="1ABB7FED" w14:textId="0CB9637F" w:rsidR="002D6603" w:rsidRPr="002D6603" w:rsidRDefault="002D6603" w:rsidP="002D6603">
      <w:r>
        <w:t>Zadavatel dodá tisková data</w:t>
      </w:r>
      <w:r w:rsidR="236A0A23">
        <w:t xml:space="preserve"> pro všechny polepové nebo light boxové plochy</w:t>
      </w:r>
      <w:r>
        <w:t>. Dodavatel jako součást dodávky zajistí tisk i polep příslušných ploch.  </w:t>
      </w:r>
    </w:p>
    <w:p w14:paraId="262757A7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POPIS ZÓN A JEJICH PRVKŮ </w:t>
      </w:r>
    </w:p>
    <w:p w14:paraId="4E5A701E" w14:textId="77777777" w:rsidR="002D6603" w:rsidRPr="002D6603" w:rsidRDefault="002D6603" w:rsidP="002D6603">
      <w:r w:rsidRPr="002D6603">
        <w:t>Expozice bude dělena do těchto zón: </w:t>
      </w:r>
    </w:p>
    <w:p w14:paraId="7E8C0F8D" w14:textId="77777777" w:rsidR="002D6603" w:rsidRPr="002D6603" w:rsidRDefault="002D6603" w:rsidP="002D6603">
      <w:pPr>
        <w:numPr>
          <w:ilvl w:val="0"/>
          <w:numId w:val="12"/>
        </w:numPr>
      </w:pPr>
      <w:r w:rsidRPr="002D6603">
        <w:t>Zázemí </w:t>
      </w:r>
    </w:p>
    <w:p w14:paraId="5E3DA090" w14:textId="77777777" w:rsidR="002D6603" w:rsidRPr="002D6603" w:rsidRDefault="002D6603" w:rsidP="002D6603">
      <w:pPr>
        <w:numPr>
          <w:ilvl w:val="0"/>
          <w:numId w:val="13"/>
        </w:numPr>
      </w:pPr>
      <w:r w:rsidRPr="002D6603">
        <w:t>Vystavovatelé (prezentace a ústní jednání) </w:t>
      </w:r>
    </w:p>
    <w:p w14:paraId="7D459664" w14:textId="77777777" w:rsidR="002D6603" w:rsidRPr="002D6603" w:rsidRDefault="002D6603" w:rsidP="002D6603">
      <w:pPr>
        <w:numPr>
          <w:ilvl w:val="0"/>
          <w:numId w:val="14"/>
        </w:numPr>
      </w:pPr>
      <w:r w:rsidRPr="002D6603">
        <w:t>Info point CzT </w:t>
      </w:r>
    </w:p>
    <w:p w14:paraId="71A7719C" w14:textId="77777777" w:rsidR="002D6603" w:rsidRPr="002D6603" w:rsidRDefault="002D6603" w:rsidP="002D6603">
      <w:pPr>
        <w:numPr>
          <w:ilvl w:val="0"/>
          <w:numId w:val="15"/>
        </w:numPr>
      </w:pPr>
      <w:r w:rsidRPr="002D6603">
        <w:t>Občerstvení vystavovatelů </w:t>
      </w:r>
    </w:p>
    <w:p w14:paraId="0886F0BF" w14:textId="2BBAF023" w:rsidR="002D6603" w:rsidRPr="002D6603" w:rsidRDefault="002D6603" w:rsidP="48B1F7DE">
      <w:pPr>
        <w:numPr>
          <w:ilvl w:val="0"/>
          <w:numId w:val="16"/>
        </w:numPr>
      </w:pPr>
      <w:r>
        <w:t>Doprovodný program </w:t>
      </w:r>
    </w:p>
    <w:p w14:paraId="20E59106" w14:textId="4E737119" w:rsidR="00E211C4" w:rsidRPr="00E211C4" w:rsidRDefault="00E211C4" w:rsidP="00E211C4">
      <w:r>
        <w:t>Veletržní s</w:t>
      </w:r>
      <w:r w:rsidRPr="00E211C4">
        <w:t xml:space="preserve">tánek </w:t>
      </w:r>
      <w:r>
        <w:t>bude</w:t>
      </w:r>
      <w:r w:rsidRPr="00E211C4">
        <w:t xml:space="preserve"> v hale 11.2, č. stánku 104. </w:t>
      </w:r>
      <w:r w:rsidR="00101322">
        <w:t>R</w:t>
      </w:r>
      <w:r w:rsidRPr="00E211C4">
        <w:t>ozměry plochy: šíře 17m, hloubka 9m. Celkem 153 m2.</w:t>
      </w:r>
    </w:p>
    <w:p w14:paraId="3BCE7800" w14:textId="67B44DED" w:rsidR="002D6603" w:rsidRPr="002D6603" w:rsidRDefault="002D6603" w:rsidP="002D6603">
      <w:r w:rsidRPr="002D6603">
        <w:t>Dodavatel může navrhnout alternativní řešení prostoru, ale musí zachovat plochu definovanou pro jednotlivé zóny. Musí umožnit pohodlný pohyb po prostoru a množství vybavení specifikovaného níže. </w:t>
      </w:r>
    </w:p>
    <w:p w14:paraId="7ADE5CB5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A. Zázemí </w:t>
      </w:r>
    </w:p>
    <w:p w14:paraId="3F977B3F" w14:textId="390A4859" w:rsidR="002D6603" w:rsidRPr="002D6603" w:rsidRDefault="002D6603" w:rsidP="717E9FA8">
      <w:r>
        <w:t xml:space="preserve">Zázemí je uvažováno jako univerzální modulární konstrukce, na jejíž povrch </w:t>
      </w:r>
      <w:r w:rsidR="523E7E6F">
        <w:t>budou</w:t>
      </w:r>
      <w:r>
        <w:t xml:space="preserve"> umíst</w:t>
      </w:r>
      <w:r w:rsidR="5AB582E4">
        <w:t>ěny</w:t>
      </w:r>
      <w:r>
        <w:t xml:space="preserve"> velkoformátové obrazy fotografické navozující potřebnou atmosféru v kombinaci s plochami určenými pro doprovodnou grafiku či doprovodný program. Uvnitř je navrženo potřebné zázemí rozdělené podle funkcí – prostor pro zázemí cateringu (kuchyňku) o velikosti min. 12 m2, a pro sklad potřebného materiálu, šatnu, uložení potřebného prezentačního materiálu pro všechny vystavovatele</w:t>
      </w:r>
      <w:r w:rsidR="042486BA">
        <w:t xml:space="preserve"> (včetně </w:t>
      </w:r>
      <w:r w:rsidR="5BE3378A">
        <w:t>kuchyňky</w:t>
      </w:r>
      <w:r w:rsidR="042486BA">
        <w:t xml:space="preserve"> minimálně 18</w:t>
      </w:r>
      <w:r w:rsidR="679E9A94">
        <w:t xml:space="preserve"> </w:t>
      </w:r>
      <w:r w:rsidR="042486BA">
        <w:t>m2</w:t>
      </w:r>
      <w:r w:rsidR="5451879A">
        <w:t xml:space="preserve"> z celkových 153m2 výměry expozice</w:t>
      </w:r>
      <w:r w:rsidR="042486BA">
        <w:t>)</w:t>
      </w:r>
      <w:r>
        <w:t>.  </w:t>
      </w:r>
    </w:p>
    <w:p w14:paraId="31600484" w14:textId="6A0798C3" w:rsidR="002D6603" w:rsidRPr="002D6603" w:rsidRDefault="002D6603" w:rsidP="002D6603">
      <w:r>
        <w:lastRenderedPageBreak/>
        <w:t>Na jedné stěně bude umístěna velkoformátový displej pro prezentaci. Displej bude umístěn ve výšce dostatečné pro pozorování i z větší dálky, rozměry spolu s detaily provedení budou dohodnuty a schváleny Zadavatelem.  </w:t>
      </w:r>
    </w:p>
    <w:p w14:paraId="4B9A139E" w14:textId="4ECCE530" w:rsidR="002D6603" w:rsidRPr="002D6603" w:rsidRDefault="002D6603" w:rsidP="002D6603">
      <w:r>
        <w:t>Konstrukce: předpokládá se typová montovaná konstrukce certifikovaná pro daný účel opláštěná z vnějšku i z vnitřku zázemí. Venkovní stěny budou opláštěny materiálem vhodným pro polep velkoformátovou grafikou</w:t>
      </w:r>
      <w:r w:rsidR="3B1B6072">
        <w:t xml:space="preserve"> i jako pohledové </w:t>
      </w:r>
      <w:r w:rsidR="00947025">
        <w:t>z</w:t>
      </w:r>
      <w:r w:rsidR="3B1B6072">
        <w:t xml:space="preserve"> kvalitních ušlechtilých materiálů v případě, že by část plochy nebyla opatřena polepem.</w:t>
      </w:r>
      <w:r>
        <w:t xml:space="preserve"> Dveře do zázemí budou kryty stejným materiálem, budou osazeny do roviny s pláštěm zázemí a budou uzamykatelné. Zázemí bude konstrukčně fixováno k podlaze tak, aby bylo dostatečně stabilní</w:t>
      </w:r>
      <w:r w:rsidR="00316A46">
        <w:t xml:space="preserve"> a bezpečné pro všechny účastníky stánku</w:t>
      </w:r>
      <w:r>
        <w:t>. Vnitřní stěny zázemí budou opláštěny deskovinou s omyvatelným povrchem (typ lamino či podobné). </w:t>
      </w:r>
    </w:p>
    <w:p w14:paraId="70EF822A" w14:textId="77777777" w:rsidR="002D6603" w:rsidRPr="002D6603" w:rsidRDefault="002D6603" w:rsidP="002D6603">
      <w:r w:rsidRPr="002D6603">
        <w:t>Nábytek a vestavěný mobiliář zázemí bude vyroben z deskoviny s povrchovou úpravou lamino nebo podobné. Veškeré slabo a silno proudé instalace budou provedeny dle platných norem příslušných zemí a pravidel daného výstaviště. </w:t>
      </w:r>
    </w:p>
    <w:p w14:paraId="2F61896F" w14:textId="4D8D4A1B" w:rsidR="002D6603" w:rsidRPr="002D6603" w:rsidRDefault="002D6603" w:rsidP="002D6603">
      <w:r w:rsidRPr="002D6603">
        <w:t xml:space="preserve">Kuchyně bude vybavena do takové míry, aby byl dodavatel schopen splnit závazky Zadavatele. Předpokládá se vybavení lednicí, </w:t>
      </w:r>
      <w:r w:rsidR="004A00D3">
        <w:t xml:space="preserve">myčkou, </w:t>
      </w:r>
      <w:r w:rsidRPr="002D6603">
        <w:t>dřezem (včetně studené a teplé vody a odpadu) a pracovní plochou. Šatna a sklad budou vybaveny systémovými policemi dostatečné kapacity, integrovanými věšáky, lavicemi a zrcadlem. </w:t>
      </w:r>
    </w:p>
    <w:p w14:paraId="4BE22AAF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B. Vystavovatelé (prezentace a ústní jednání) </w:t>
      </w:r>
    </w:p>
    <w:p w14:paraId="3E8C60BA" w14:textId="77777777" w:rsidR="002D6603" w:rsidRPr="002D6603" w:rsidRDefault="002D6603" w:rsidP="002D6603">
      <w:r w:rsidRPr="002D6603">
        <w:t>Sektor jednoho vystavovatele pracuje s plochou 5 m2. Jeden sektor obsahuje: </w:t>
      </w:r>
    </w:p>
    <w:p w14:paraId="2A67A1A7" w14:textId="711D8C49" w:rsidR="002D6603" w:rsidRPr="002D6603" w:rsidRDefault="002D6603" w:rsidP="002D6603">
      <w:pPr>
        <w:numPr>
          <w:ilvl w:val="0"/>
          <w:numId w:val="17"/>
        </w:numPr>
      </w:pPr>
      <w:r>
        <w:t>Výstavní pult </w:t>
      </w:r>
    </w:p>
    <w:p w14:paraId="64B15497" w14:textId="77777777" w:rsidR="002D6603" w:rsidRPr="002D6603" w:rsidRDefault="002D6603" w:rsidP="002D6603">
      <w:pPr>
        <w:numPr>
          <w:ilvl w:val="0"/>
          <w:numId w:val="18"/>
        </w:numPr>
      </w:pPr>
      <w:r w:rsidRPr="002D6603">
        <w:t>Stojan pro propagační materiály </w:t>
      </w:r>
    </w:p>
    <w:p w14:paraId="463DE2ED" w14:textId="1DB98893" w:rsidR="18A9D1A9" w:rsidRDefault="002D6603" w:rsidP="48B1F7DE">
      <w:pPr>
        <w:numPr>
          <w:ilvl w:val="0"/>
          <w:numId w:val="19"/>
        </w:numPr>
        <w:rPr>
          <w:lang w:val="en-US"/>
        </w:rPr>
      </w:pPr>
      <w:r>
        <w:t>Jednací místo</w:t>
      </w:r>
    </w:p>
    <w:p w14:paraId="005E5704" w14:textId="7CF7A0E1" w:rsidR="002D6603" w:rsidRPr="002D6603" w:rsidRDefault="002D6603" w:rsidP="002D6603">
      <w:r>
        <w:t> Mimo to je součástí každého sektoru jednoho vystavovatele přívod el. energie (zásuvka) s max odběrem 1,5 kW, a zároveň také uzamykatelný příruční prostor pro uložení tištěných propagačních materiálů o velikosti min. 0,5 m3. </w:t>
      </w:r>
    </w:p>
    <w:p w14:paraId="3E3CEDEC" w14:textId="7878F518" w:rsidR="002D6603" w:rsidRPr="002D6603" w:rsidRDefault="002D6603" w:rsidP="002D6603">
      <w:r>
        <w:t>Expozice musí umožnit umístění 1</w:t>
      </w:r>
      <w:r w:rsidR="004A00D3">
        <w:t>6</w:t>
      </w:r>
      <w:r>
        <w:t xml:space="preserve"> </w:t>
      </w:r>
      <w:r w:rsidR="5E97687E">
        <w:t>výstavních sektorů</w:t>
      </w:r>
      <w:r>
        <w:t xml:space="preserve"> , </w:t>
      </w:r>
      <w:r w:rsidR="1791545D">
        <w:t xml:space="preserve">z toho </w:t>
      </w:r>
      <w:r w:rsidR="004A00D3">
        <w:t>7</w:t>
      </w:r>
      <w:r w:rsidR="1791545D">
        <w:t xml:space="preserve"> sdílen</w:t>
      </w:r>
      <w:r w:rsidR="004A00D3">
        <w:t xml:space="preserve">ých sektorů se </w:t>
      </w:r>
      <w:r w:rsidR="1791545D">
        <w:t xml:space="preserve"> </w:t>
      </w:r>
      <w:r w:rsidR="562990E9">
        <w:t>dvěma</w:t>
      </w:r>
      <w:r w:rsidR="1791545D">
        <w:t xml:space="preserve"> vystavovateli</w:t>
      </w:r>
      <w:r w:rsidR="5D3B2DA7">
        <w:t xml:space="preserve">, tedy celkem </w:t>
      </w:r>
      <w:r w:rsidR="004A00D3">
        <w:t>23</w:t>
      </w:r>
      <w:r w:rsidR="5D3B2DA7">
        <w:t xml:space="preserve"> vystavovatelů</w:t>
      </w:r>
      <w:r w:rsidR="1791545D">
        <w:t>.</w:t>
      </w:r>
      <w:r>
        <w:t xml:space="preserve"> 1</w:t>
      </w:r>
      <w:r w:rsidR="004A00D3">
        <w:t>6</w:t>
      </w:r>
      <w:r>
        <w:t xml:space="preserve"> sektorů</w:t>
      </w:r>
      <w:r w:rsidR="27697466">
        <w:t xml:space="preserve"> o celkové výměře </w:t>
      </w:r>
      <w:r w:rsidR="004A00D3">
        <w:t>80</w:t>
      </w:r>
      <w:r w:rsidR="27697466">
        <w:t>m2</w:t>
      </w:r>
      <w:r w:rsidR="1ED5FAC0">
        <w:t xml:space="preserve"> z celkových 153m2 výměry expozice</w:t>
      </w:r>
      <w:r>
        <w:t>. </w:t>
      </w:r>
      <w:r w:rsidR="004A00D3">
        <w:t xml:space="preserve">Zadavatel si vyhrazuje právo počet vystavovatelů změnit. </w:t>
      </w:r>
    </w:p>
    <w:p w14:paraId="42805CCA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Výstavní pult </w:t>
      </w:r>
    </w:p>
    <w:p w14:paraId="51748261" w14:textId="2E963C3C" w:rsidR="002D6603" w:rsidRPr="002D6603" w:rsidRDefault="002D6603" w:rsidP="002D6603">
      <w:r>
        <w:t xml:space="preserve">Na své ploše nabízí místo pro instalaci </w:t>
      </w:r>
      <w:r w:rsidR="22E7479A">
        <w:t>řezané</w:t>
      </w:r>
      <w:r>
        <w:t xml:space="preserve"> grafiky</w:t>
      </w:r>
      <w:r w:rsidR="2CEBC95A">
        <w:t xml:space="preserve"> a označení vystavovatele</w:t>
      </w:r>
      <w:r>
        <w:t>. Horní pracovní deska je navržena z odolného ušlechtilého materiálu (kompaktní deska bílá s bílým jádrem). Výstavní pult je doplněn o 2 místa k sezení</w:t>
      </w:r>
      <w:r w:rsidR="653ACCAE">
        <w:t xml:space="preserve"> a prezentační displej s přehrávačem pro spuštění video smyčky s prezentací.</w:t>
      </w:r>
    </w:p>
    <w:p w14:paraId="7DBAAAA3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lastRenderedPageBreak/>
        <w:t>Stojan pro propagační materiály </w:t>
      </w:r>
    </w:p>
    <w:p w14:paraId="7D312287" w14:textId="18E21F44" w:rsidR="002D6603" w:rsidRPr="002D6603" w:rsidRDefault="002D6603" w:rsidP="002D6603">
      <w:r>
        <w:t xml:space="preserve">Součástí výstavního pultu bude stojan na propagační materiál nebo prostor pro prezentaci takového materiálu v rámci výstavního pultu, opatřen přihrádkami pro umístění materiálů. </w:t>
      </w:r>
      <w:r w:rsidR="20B5415A">
        <w:t>B</w:t>
      </w:r>
      <w:r w:rsidR="11F226B9">
        <w:t xml:space="preserve">ude </w:t>
      </w:r>
      <w:r w:rsidR="1F42070B">
        <w:t>v souladu</w:t>
      </w:r>
      <w:r w:rsidR="11F226B9">
        <w:t xml:space="preserve"> s výstavním pultem, též z ušlechtilých materiálů.</w:t>
      </w:r>
    </w:p>
    <w:p w14:paraId="610683DC" w14:textId="77777777" w:rsidR="002D6603" w:rsidRPr="002D6603" w:rsidRDefault="002D6603" w:rsidP="002D6603">
      <w:r w:rsidRPr="002D6603">
        <w:t>Maximální velikost letáku je A4 </w:t>
      </w:r>
    </w:p>
    <w:p w14:paraId="51FD81A3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Jednací místo </w:t>
      </w:r>
    </w:p>
    <w:p w14:paraId="05632794" w14:textId="535F859D" w:rsidR="002D6603" w:rsidRPr="002D6603" w:rsidRDefault="002D6603" w:rsidP="002D6603">
      <w:r>
        <w:t xml:space="preserve">Jednací místo bude představovat jednací stůl a </w:t>
      </w:r>
      <w:r w:rsidR="37D77251">
        <w:t xml:space="preserve">min. 3 </w:t>
      </w:r>
      <w:r>
        <w:t>místa k sezení. Jednací stoly budou provedeny z bílé kompaktní desky s bílým jádrem. Jednací židle budou v bílém provedení. </w:t>
      </w:r>
    </w:p>
    <w:p w14:paraId="7A749CD8" w14:textId="6C1EDCEE" w:rsidR="2D8FE959" w:rsidRDefault="2D8FE959">
      <w:r>
        <w:t xml:space="preserve">Jednací místa budou </w:t>
      </w:r>
      <w:r w:rsidR="449CE07A">
        <w:t>opatřena</w:t>
      </w:r>
      <w:r>
        <w:t xml:space="preserve"> řezanou grafikou označující vystavovatele, pro snazší orientaci.</w:t>
      </w:r>
    </w:p>
    <w:p w14:paraId="47F218AE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C. Info point CzT </w:t>
      </w:r>
    </w:p>
    <w:p w14:paraId="2DA9A2BB" w14:textId="77777777" w:rsidR="002D6603" w:rsidRPr="002D6603" w:rsidRDefault="002D6603" w:rsidP="002D6603">
      <w:pPr>
        <w:rPr>
          <w:lang w:val="en-US"/>
        </w:rPr>
      </w:pPr>
      <w:r w:rsidRPr="002D6603">
        <w:t>Prostor pro prezentaci zadavatele bude vybaven následovně:</w:t>
      </w:r>
      <w:r w:rsidRPr="002D6603">
        <w:rPr>
          <w:lang w:val="en-US"/>
        </w:rPr>
        <w:t> </w:t>
      </w:r>
    </w:p>
    <w:p w14:paraId="5FD49967" w14:textId="77777777" w:rsidR="002D6603" w:rsidRPr="002D6603" w:rsidRDefault="002D6603" w:rsidP="002D6603">
      <w:pPr>
        <w:numPr>
          <w:ilvl w:val="0"/>
          <w:numId w:val="20"/>
        </w:numPr>
      </w:pPr>
      <w:r w:rsidRPr="002D6603">
        <w:t>Výstavní pult info pointu </w:t>
      </w:r>
    </w:p>
    <w:p w14:paraId="7A0DEA78" w14:textId="77777777" w:rsidR="002D6603" w:rsidRPr="002D6603" w:rsidRDefault="002D6603" w:rsidP="002D6603">
      <w:pPr>
        <w:numPr>
          <w:ilvl w:val="0"/>
          <w:numId w:val="21"/>
        </w:numPr>
      </w:pPr>
      <w:r w:rsidRPr="002D6603">
        <w:t>Stojan pro propagační materiály </w:t>
      </w:r>
    </w:p>
    <w:p w14:paraId="02E8E693" w14:textId="77457F71" w:rsidR="002D6603" w:rsidRPr="002D6603" w:rsidRDefault="6859373D" w:rsidP="002D6603">
      <w:pPr>
        <w:numPr>
          <w:ilvl w:val="0"/>
          <w:numId w:val="22"/>
        </w:numPr>
        <w:rPr>
          <w:lang w:val="en-US"/>
        </w:rPr>
      </w:pPr>
      <w:r>
        <w:t>2</w:t>
      </w:r>
      <w:r w:rsidR="002D6603">
        <w:t>x jednací místo</w:t>
      </w:r>
      <w:r w:rsidR="002D6603" w:rsidRPr="717E9FA8">
        <w:rPr>
          <w:lang w:val="en-US"/>
        </w:rPr>
        <w:t> </w:t>
      </w:r>
    </w:p>
    <w:p w14:paraId="3BE234F3" w14:textId="77777777" w:rsidR="002D6603" w:rsidRPr="002D6603" w:rsidRDefault="002D6603" w:rsidP="002D6603">
      <w:pPr>
        <w:numPr>
          <w:ilvl w:val="0"/>
          <w:numId w:val="23"/>
        </w:numPr>
        <w:rPr>
          <w:lang w:val="en-US"/>
        </w:rPr>
      </w:pPr>
      <w:r>
        <w:t>Informačním panelem</w:t>
      </w:r>
      <w:r w:rsidRPr="48B1F7DE">
        <w:rPr>
          <w:lang w:val="en-US"/>
        </w:rPr>
        <w:t> </w:t>
      </w:r>
    </w:p>
    <w:p w14:paraId="5777CCF7" w14:textId="4E57830D" w:rsidR="79CAD682" w:rsidRDefault="79CAD682" w:rsidP="717E9FA8">
      <w:r w:rsidRPr="717E9FA8">
        <w:t>Celková výměra sektoru pro Info point CzT je minimálně 12</w:t>
      </w:r>
      <w:r w:rsidR="731C1933" w:rsidRPr="717E9FA8">
        <w:t xml:space="preserve"> </w:t>
      </w:r>
      <w:r w:rsidRPr="717E9FA8">
        <w:t>m2</w:t>
      </w:r>
      <w:r w:rsidR="14631E1A">
        <w:t xml:space="preserve"> z celkových 153m2 výměry expozice</w:t>
      </w:r>
      <w:r w:rsidR="7C3C0233" w:rsidRPr="717E9FA8">
        <w:t>.</w:t>
      </w:r>
    </w:p>
    <w:p w14:paraId="701613CF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Výstavní pult info pointu </w:t>
      </w:r>
    </w:p>
    <w:p w14:paraId="1A02F2A0" w14:textId="54941032" w:rsidR="002D6603" w:rsidRPr="002D6603" w:rsidRDefault="002D6603" w:rsidP="002D6603">
      <w:r>
        <w:t>Jedná se o výstavní pult obdobný pultu u vystavovatelů akorát v jiných rozměrech a se 3 místy k sezení.  </w:t>
      </w:r>
      <w:r w:rsidR="2E946DD4">
        <w:t xml:space="preserve">Pult by měl obsahovat </w:t>
      </w:r>
      <w:r w:rsidR="4EB22F93">
        <w:t>úložný</w:t>
      </w:r>
      <w:r w:rsidR="67C513C1">
        <w:t xml:space="preserve"> zavírací </w:t>
      </w:r>
      <w:r w:rsidR="2E946DD4">
        <w:t xml:space="preserve">prostor </w:t>
      </w:r>
      <w:r w:rsidR="562A5640">
        <w:t xml:space="preserve">sloužící pro odkládání </w:t>
      </w:r>
      <w:r w:rsidR="1D9C0D88">
        <w:t>propagační</w:t>
      </w:r>
      <w:r w:rsidR="004A00D3">
        <w:t>ch</w:t>
      </w:r>
      <w:r w:rsidR="1D9C0D88">
        <w:t xml:space="preserve"> materiál</w:t>
      </w:r>
      <w:r w:rsidR="004A00D3">
        <w:t>ů</w:t>
      </w:r>
      <w:r w:rsidR="1D9C0D88">
        <w:t xml:space="preserve"> a drobn</w:t>
      </w:r>
      <w:r w:rsidR="004A00D3">
        <w:t>ých</w:t>
      </w:r>
      <w:r w:rsidR="1D9C0D88">
        <w:t xml:space="preserve"> p</w:t>
      </w:r>
      <w:r w:rsidR="004A00D3">
        <w:t>ředmětů</w:t>
      </w:r>
      <w:r w:rsidR="600D29FA">
        <w:t xml:space="preserve"> minimálně o objemu 0,5 m3</w:t>
      </w:r>
      <w:r w:rsidR="2252AF03">
        <w:t>.</w:t>
      </w:r>
    </w:p>
    <w:p w14:paraId="7E229281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Stojan pro propagační materiály </w:t>
      </w:r>
    </w:p>
    <w:p w14:paraId="0F5B496A" w14:textId="77777777" w:rsidR="002D6603" w:rsidRPr="00947025" w:rsidRDefault="002D6603" w:rsidP="002D6603">
      <w:pPr>
        <w:rPr>
          <w:lang w:val="pl-PL"/>
        </w:rPr>
      </w:pPr>
      <w:r w:rsidRPr="002D6603">
        <w:t>Jedná se o totožný stojan jako u vystavovatelů</w:t>
      </w:r>
      <w:r w:rsidRPr="00947025">
        <w:rPr>
          <w:lang w:val="pl-PL"/>
        </w:rPr>
        <w:t> </w:t>
      </w:r>
    </w:p>
    <w:p w14:paraId="3C1C2660" w14:textId="697B4330" w:rsidR="002D6603" w:rsidRPr="002D6603" w:rsidRDefault="34C94C39" w:rsidP="002D6603">
      <w:pPr>
        <w:rPr>
          <w:b/>
          <w:bCs/>
        </w:rPr>
      </w:pPr>
      <w:r w:rsidRPr="717E9FA8">
        <w:rPr>
          <w:b/>
          <w:bCs/>
        </w:rPr>
        <w:t>2</w:t>
      </w:r>
      <w:r w:rsidR="002D6603" w:rsidRPr="717E9FA8">
        <w:rPr>
          <w:b/>
          <w:bCs/>
        </w:rPr>
        <w:t>x jednací místo </w:t>
      </w:r>
    </w:p>
    <w:p w14:paraId="1EF8F390" w14:textId="4E432600" w:rsidR="002D6603" w:rsidRPr="002D6603" w:rsidRDefault="002D6603" w:rsidP="002D6603">
      <w:r>
        <w:t>Jedná se o totožné jednací místo jako u vystavovatelů. </w:t>
      </w:r>
      <w:r w:rsidR="268173A4">
        <w:t xml:space="preserve"> Jednací místa mají být umisťována primárně do klidnější středové části expozice.</w:t>
      </w:r>
    </w:p>
    <w:p w14:paraId="4FA4A81D" w14:textId="77777777" w:rsidR="002D6603" w:rsidRPr="00947025" w:rsidRDefault="002D6603" w:rsidP="002D6603">
      <w:pPr>
        <w:rPr>
          <w:b/>
          <w:bCs/>
        </w:rPr>
      </w:pPr>
      <w:r w:rsidRPr="002D6603">
        <w:rPr>
          <w:b/>
          <w:bCs/>
        </w:rPr>
        <w:t>Informační panel</w:t>
      </w:r>
      <w:r w:rsidRPr="00947025">
        <w:rPr>
          <w:b/>
          <w:bCs/>
        </w:rPr>
        <w:t> </w:t>
      </w:r>
    </w:p>
    <w:p w14:paraId="7AD24157" w14:textId="77777777" w:rsidR="002D6603" w:rsidRPr="002D6603" w:rsidRDefault="002D6603" w:rsidP="002D6603">
      <w:r w:rsidRPr="002D6603">
        <w:lastRenderedPageBreak/>
        <w:t>Vertikální informační panel s integrovaným osvětlením (schéma výstavní plochy – orientační plán) - light box. Data pro grafický polep dodá Zadavatel. K panelu bude přiveden el. kabel.  </w:t>
      </w:r>
    </w:p>
    <w:p w14:paraId="6F219A84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D. Občerstvení vystavovatelů </w:t>
      </w:r>
    </w:p>
    <w:p w14:paraId="7731BA27" w14:textId="1A8520DD" w:rsidR="002D6603" w:rsidRPr="002D6603" w:rsidRDefault="00F00085" w:rsidP="002D6603">
      <w:r>
        <w:t>Dodavatel</w:t>
      </w:r>
      <w:r w:rsidR="00947025">
        <w:t xml:space="preserve"> zajistí</w:t>
      </w:r>
      <w:r w:rsidR="002D6603">
        <w:t xml:space="preserve"> catering pro vystavovatele</w:t>
      </w:r>
      <w:r w:rsidR="00947025">
        <w:t xml:space="preserve"> v dále vymezeném rozsahu</w:t>
      </w:r>
      <w:r w:rsidR="002D6603">
        <w:t xml:space="preserve">. Pro odbavení cateringu je nutné zajistit vybavení kuchyňky (specifikováno výše) a barovým pultem </w:t>
      </w:r>
      <w:r w:rsidR="2AEB6399">
        <w:t xml:space="preserve">a </w:t>
      </w:r>
      <w:r w:rsidR="002D6603">
        <w:t>s prostorem pro konzumaci vystavovatelů</w:t>
      </w:r>
      <w:r w:rsidR="32287A32">
        <w:t xml:space="preserve"> (2 stoly, každý </w:t>
      </w:r>
      <w:r w:rsidR="004A00D3">
        <w:t xml:space="preserve">se </w:t>
      </w:r>
      <w:r w:rsidR="32287A32">
        <w:t>3</w:t>
      </w:r>
      <w:r w:rsidR="004A00D3">
        <w:t>-mi</w:t>
      </w:r>
      <w:r w:rsidR="32287A32">
        <w:t xml:space="preserve"> židle</w:t>
      </w:r>
      <w:r w:rsidR="004A00D3">
        <w:t>mi</w:t>
      </w:r>
      <w:r w:rsidR="32287A32">
        <w:t>)</w:t>
      </w:r>
      <w:r w:rsidR="002D6603">
        <w:t>. Barový pult slouží jako styčná plocha mezi vystavovateli a obsluhou. Pult neslouží k přípravě, pouze k servírování. Pult bude vybaven vlastním uzamykatelným zázemím (skříňka). </w:t>
      </w:r>
      <w:r w:rsidR="00CD1603" w:rsidRPr="00F00085">
        <w:t xml:space="preserve">Dodavatel zajistí </w:t>
      </w:r>
      <w:r w:rsidR="00CD1603">
        <w:t xml:space="preserve">minimálně následující </w:t>
      </w:r>
      <w:r w:rsidR="00CD1603" w:rsidRPr="00F00085">
        <w:t>vybavení kuchyně a obecně vybavení pro catering: pípa, kávovar, myčka, lednice a další vybavení a přístroje pro přípravu cateringu.</w:t>
      </w:r>
      <w:r w:rsidR="00CD1603">
        <w:t xml:space="preserve"> </w:t>
      </w:r>
      <w:r w:rsidR="00CD1603" w:rsidRPr="00F00085">
        <w:t>V kuchyňce bude zajištěn dostatečný počet utěrek a čistících prostředků, dále odpadkový koš opatřen víkem.</w:t>
      </w:r>
    </w:p>
    <w:p w14:paraId="49BF6247" w14:textId="77777777" w:rsidR="002D6603" w:rsidRDefault="002D6603" w:rsidP="002D6603">
      <w:r>
        <w:t>Provedení korpusu bílá barva, vysoký lesk. Provedení horní servírovací desky – odolný materiál odolávající vlhkosti – např. vysokopevnostní lesklý plast (plexi bílé). </w:t>
      </w:r>
    </w:p>
    <w:p w14:paraId="5974384A" w14:textId="77777777" w:rsidR="00CD1603" w:rsidRPr="002D6603" w:rsidRDefault="00CD1603" w:rsidP="002D6603"/>
    <w:p w14:paraId="5535E0D0" w14:textId="3D9B88CC" w:rsidR="2165F036" w:rsidRDefault="2165F036" w:rsidP="48B1F7DE">
      <w:r>
        <w:t xml:space="preserve">Celková výměra pro zónu </w:t>
      </w:r>
      <w:r w:rsidR="5C7D4E4B">
        <w:t xml:space="preserve">občerstvení </w:t>
      </w:r>
      <w:r>
        <w:t>vystavovatelů je minimálně 5 m2</w:t>
      </w:r>
      <w:r w:rsidR="28BC6F82">
        <w:t xml:space="preserve"> z celkových 153m2 výměry expozice</w:t>
      </w:r>
    </w:p>
    <w:p w14:paraId="4E2A1E3A" w14:textId="77777777" w:rsidR="002D6603" w:rsidRPr="002D6603" w:rsidRDefault="002D6603" w:rsidP="002D6603">
      <w:pPr>
        <w:rPr>
          <w:b/>
          <w:bCs/>
        </w:rPr>
      </w:pPr>
      <w:r w:rsidRPr="002D6603">
        <w:rPr>
          <w:b/>
          <w:bCs/>
        </w:rPr>
        <w:t>Ad E. Doprovodný program </w:t>
      </w:r>
    </w:p>
    <w:p w14:paraId="40D66825" w14:textId="6CDCA257" w:rsidR="002D6603" w:rsidRPr="002D6603" w:rsidRDefault="002D6603" w:rsidP="48B1F7DE">
      <w:r>
        <w:t xml:space="preserve">Doprovodným programem bude servírování piva Pilsner Urquell. Obsluha včetně vybavení bude dodána externě Zadavatelem. Dodavatel zajistí přípravu pro možnost odbavení programu. Přípravou se rozumí pracovní plocha </w:t>
      </w:r>
      <w:r w:rsidR="02C7CF5D">
        <w:t xml:space="preserve">s čepovacím zařízením </w:t>
      </w:r>
      <w:r>
        <w:t xml:space="preserve">ve standardní výšce kuchyňské desky a servírovací plocha ve výšce baru. Do prostoru musí být vedena voda, odpad, el. proud pro </w:t>
      </w:r>
      <w:r w:rsidR="6A0E9AA8">
        <w:t>napáje</w:t>
      </w:r>
      <w:r>
        <w:t>ní pípy. Provedení mobiliářového prvku ve vysokém lesku (bílá barva), boční i čelní stěny opatřeny grafickým polepem. </w:t>
      </w:r>
    </w:p>
    <w:p w14:paraId="2DFAB1DD" w14:textId="7190ABA6" w:rsidR="009024C3" w:rsidRDefault="12DA5D8C" w:rsidP="48B1F7DE">
      <w:r>
        <w:t>Celková výměra pro doprovodný program je minimálně 1</w:t>
      </w:r>
      <w:r w:rsidR="55D5DDDE">
        <w:t>0</w:t>
      </w:r>
      <w:r>
        <w:t xml:space="preserve"> m2</w:t>
      </w:r>
      <w:r w:rsidR="47236908">
        <w:t xml:space="preserve"> z celkových 153m2 výměry expozice</w:t>
      </w:r>
      <w:r>
        <w:t>.</w:t>
      </w:r>
      <w:r w:rsidR="19976A2A">
        <w:t xml:space="preserve"> </w:t>
      </w:r>
    </w:p>
    <w:p w14:paraId="51145203" w14:textId="7EEA87FB" w:rsidR="009024C3" w:rsidRDefault="3B71837C" w:rsidP="48B1F7DE">
      <w:r>
        <w:t xml:space="preserve">Zóna pro doprovodný program spolu s info pointem musí být umístěna na kraji nebo rohu vymezené </w:t>
      </w:r>
      <w:r w:rsidR="008E7B93">
        <w:t xml:space="preserve">plochy </w:t>
      </w:r>
      <w:r>
        <w:t xml:space="preserve">pro expozici směrem do nejvíce frekventovaného koridoru veletrhu (orientace </w:t>
      </w:r>
      <w:r w:rsidR="008E7B93">
        <w:t xml:space="preserve">plochy </w:t>
      </w:r>
      <w:r>
        <w:t>není v současnosti známa, tudíž musí být možné případně přeskupení vyřešit ad hoc).</w:t>
      </w:r>
    </w:p>
    <w:p w14:paraId="4BDDE8E2" w14:textId="1DF009A8" w:rsidR="009024C3" w:rsidRDefault="009024C3" w:rsidP="48B1F7DE"/>
    <w:p w14:paraId="1CCC0CE8" w14:textId="31C30A89" w:rsidR="009024C3" w:rsidRDefault="3B71837C" w:rsidP="48B1F7DE">
      <w:pPr>
        <w:rPr>
          <w:b/>
          <w:bCs/>
        </w:rPr>
      </w:pPr>
      <w:r w:rsidRPr="48B1F7DE">
        <w:rPr>
          <w:b/>
          <w:bCs/>
        </w:rPr>
        <w:t>OBECNĚ K MOBILIÁŘI A MATERIÁLŮM</w:t>
      </w:r>
    </w:p>
    <w:p w14:paraId="2EA43D04" w14:textId="05D39248" w:rsidR="009024C3" w:rsidRDefault="21CE692C" w:rsidP="48B1F7DE">
      <w:r>
        <w:lastRenderedPageBreak/>
        <w:t xml:space="preserve">Expozice slouží pro reprezentativní účely </w:t>
      </w:r>
      <w:r w:rsidR="3A518674">
        <w:t>Česka</w:t>
      </w:r>
      <w:r>
        <w:t xml:space="preserve"> zastoupen</w:t>
      </w:r>
      <w:r w:rsidR="352C91B6">
        <w:t>é</w:t>
      </w:r>
      <w:r>
        <w:t xml:space="preserve"> agenturou CzechTourism</w:t>
      </w:r>
      <w:r w:rsidR="008E7B93">
        <w:t xml:space="preserve"> </w:t>
      </w:r>
      <w:r>
        <w:t xml:space="preserve">a </w:t>
      </w:r>
      <w:r w:rsidR="0B980B85">
        <w:t>jejích partnerů z řad vystavovatelů. Z těchto důvodů je potřeba dbát na robustní kvalitní zpracování mobiliáře a výběr materiál</w:t>
      </w:r>
      <w:r w:rsidR="4EC572C0">
        <w:t xml:space="preserve">ů, které budou </w:t>
      </w:r>
      <w:r w:rsidR="0B980B85">
        <w:t>kvalitní</w:t>
      </w:r>
      <w:r w:rsidR="7403F815">
        <w:t xml:space="preserve"> jak</w:t>
      </w:r>
      <w:r w:rsidR="0B980B85">
        <w:t xml:space="preserve"> funkčně</w:t>
      </w:r>
      <w:r w:rsidR="10564B13">
        <w:t xml:space="preserve">, tak i </w:t>
      </w:r>
      <w:r w:rsidR="0B980B85">
        <w:t>esteticky</w:t>
      </w:r>
      <w:r w:rsidR="1C62C103">
        <w:t xml:space="preserve">. </w:t>
      </w:r>
    </w:p>
    <w:p w14:paraId="02342775" w14:textId="1B2AE2A7" w:rsidR="48B1F7DE" w:rsidRDefault="48B1F7DE" w:rsidP="48B1F7DE"/>
    <w:p w14:paraId="4FB27A10" w14:textId="16DCA58C" w:rsidR="00F00085" w:rsidRDefault="00F00085" w:rsidP="48B1F7DE">
      <w:pPr>
        <w:rPr>
          <w:b/>
          <w:bCs/>
        </w:rPr>
      </w:pPr>
      <w:r>
        <w:rPr>
          <w:b/>
          <w:bCs/>
        </w:rPr>
        <w:t>DOPROVODNÉ SLUŽBY</w:t>
      </w:r>
    </w:p>
    <w:p w14:paraId="65544FE7" w14:textId="5B406465" w:rsidR="00F00085" w:rsidRDefault="00F00085" w:rsidP="00392AD0">
      <w:pPr>
        <w:pStyle w:val="Odstavecseseznamem"/>
        <w:numPr>
          <w:ilvl w:val="2"/>
          <w:numId w:val="22"/>
        </w:numPr>
        <w:ind w:left="426" w:hanging="426"/>
      </w:pPr>
      <w:r>
        <w:t>Zajištění úklidu</w:t>
      </w:r>
    </w:p>
    <w:p w14:paraId="541E07F5" w14:textId="4978AA94" w:rsidR="00F00085" w:rsidRDefault="00F00085" w:rsidP="00392AD0">
      <w:pPr>
        <w:pStyle w:val="Odstavecseseznamem"/>
        <w:numPr>
          <w:ilvl w:val="2"/>
          <w:numId w:val="22"/>
        </w:numPr>
        <w:ind w:left="426" w:hanging="426"/>
      </w:pPr>
      <w:r>
        <w:t>Cateringové služby</w:t>
      </w:r>
    </w:p>
    <w:p w14:paraId="5D8B4910" w14:textId="77777777" w:rsidR="00F00085" w:rsidRDefault="00F00085" w:rsidP="00F00085">
      <w:pPr>
        <w:pStyle w:val="Odstavecseseznamem"/>
        <w:ind w:left="2160"/>
      </w:pPr>
    </w:p>
    <w:p w14:paraId="67EF28DF" w14:textId="4D9D6337" w:rsidR="00F00085" w:rsidRPr="00392AD0" w:rsidRDefault="00F00085" w:rsidP="00392AD0">
      <w:pPr>
        <w:pStyle w:val="Odstavecseseznamem"/>
        <w:ind w:left="0"/>
        <w:rPr>
          <w:b/>
          <w:bCs/>
        </w:rPr>
      </w:pPr>
      <w:r w:rsidRPr="00392AD0">
        <w:rPr>
          <w:b/>
          <w:bCs/>
        </w:rPr>
        <w:t>Ad A. Zajištění úklidu</w:t>
      </w:r>
    </w:p>
    <w:p w14:paraId="6C2630D9" w14:textId="2752D990" w:rsidR="00F00085" w:rsidRDefault="00F00085" w:rsidP="00F00085">
      <w:r>
        <w:t>D</w:t>
      </w:r>
      <w:r w:rsidRPr="00F00085">
        <w:t>odavatel zajist</w:t>
      </w:r>
      <w:r>
        <w:t>í</w:t>
      </w:r>
      <w:r w:rsidRPr="00F00085">
        <w:t xml:space="preserve"> pravidelný </w:t>
      </w:r>
      <w:r>
        <w:t xml:space="preserve">a průběžný </w:t>
      </w:r>
      <w:r w:rsidRPr="00F00085">
        <w:t>úklid celé expozice (vysávání koberce, stírání prachu, sklízení použitého nádobí na jednacích stolech v</w:t>
      </w:r>
      <w:r w:rsidRPr="00F00085">
        <w:rPr>
          <w:rFonts w:ascii="Arial" w:hAnsi="Arial" w:cs="Arial"/>
        </w:rPr>
        <w:t> </w:t>
      </w:r>
      <w:r w:rsidRPr="00F00085">
        <w:t>pr</w:t>
      </w:r>
      <w:r w:rsidRPr="00F00085">
        <w:rPr>
          <w:rFonts w:ascii="Aptos" w:hAnsi="Aptos" w:cs="Aptos"/>
        </w:rPr>
        <w:t>ů</w:t>
      </w:r>
      <w:r w:rsidRPr="00F00085">
        <w:t>b</w:t>
      </w:r>
      <w:r w:rsidRPr="00F00085">
        <w:rPr>
          <w:rFonts w:ascii="Aptos" w:hAnsi="Aptos" w:cs="Aptos"/>
        </w:rPr>
        <w:t>ě</w:t>
      </w:r>
      <w:r w:rsidRPr="00F00085">
        <w:t xml:space="preserve">hu veletrhu a jejich </w:t>
      </w:r>
      <w:r w:rsidRPr="00F00085">
        <w:rPr>
          <w:rFonts w:ascii="Aptos" w:hAnsi="Aptos" w:cs="Aptos"/>
        </w:rPr>
        <w:t>ú</w:t>
      </w:r>
      <w:r w:rsidRPr="00F00085">
        <w:t>dr</w:t>
      </w:r>
      <w:r w:rsidRPr="00F00085">
        <w:rPr>
          <w:rFonts w:ascii="Aptos" w:hAnsi="Aptos" w:cs="Aptos"/>
        </w:rPr>
        <w:t>ž</w:t>
      </w:r>
      <w:r w:rsidRPr="00F00085">
        <w:t>bu v</w:t>
      </w:r>
      <w:r w:rsidRPr="00F00085">
        <w:rPr>
          <w:rFonts w:ascii="Arial" w:hAnsi="Arial" w:cs="Arial"/>
        </w:rPr>
        <w:t> </w:t>
      </w:r>
      <w:r w:rsidRPr="00F00085">
        <w:rPr>
          <w:rFonts w:ascii="Aptos" w:hAnsi="Aptos" w:cs="Aptos"/>
        </w:rPr>
        <w:t>č</w:t>
      </w:r>
      <w:r w:rsidRPr="00F00085">
        <w:t>ist</w:t>
      </w:r>
      <w:r w:rsidRPr="00F00085">
        <w:rPr>
          <w:rFonts w:ascii="Aptos" w:hAnsi="Aptos" w:cs="Aptos"/>
        </w:rPr>
        <w:t>é</w:t>
      </w:r>
      <w:r w:rsidRPr="00F00085">
        <w:t>m stavu, v</w:t>
      </w:r>
      <w:r w:rsidRPr="00F00085">
        <w:rPr>
          <w:rFonts w:ascii="Aptos" w:hAnsi="Aptos" w:cs="Aptos"/>
        </w:rPr>
        <w:t>ý</w:t>
      </w:r>
      <w:r w:rsidRPr="00F00085">
        <w:t>syp odpadkov</w:t>
      </w:r>
      <w:r w:rsidRPr="00F00085">
        <w:rPr>
          <w:rFonts w:ascii="Aptos" w:hAnsi="Aptos" w:cs="Aptos"/>
        </w:rPr>
        <w:t>ý</w:t>
      </w:r>
      <w:r w:rsidRPr="00F00085">
        <w:t>ch ko</w:t>
      </w:r>
      <w:r w:rsidRPr="00F00085">
        <w:rPr>
          <w:rFonts w:ascii="Aptos" w:hAnsi="Aptos" w:cs="Aptos"/>
        </w:rPr>
        <w:t>šů</w:t>
      </w:r>
      <w:r w:rsidRPr="00F00085">
        <w:t>, p</w:t>
      </w:r>
      <w:r w:rsidRPr="00F00085">
        <w:rPr>
          <w:rFonts w:ascii="Aptos" w:hAnsi="Aptos" w:cs="Aptos"/>
        </w:rPr>
        <w:t>ří</w:t>
      </w:r>
      <w:r w:rsidRPr="00F00085">
        <w:t>p. odstran</w:t>
      </w:r>
      <w:r w:rsidRPr="00F00085">
        <w:rPr>
          <w:rFonts w:ascii="Aptos" w:hAnsi="Aptos" w:cs="Aptos"/>
        </w:rPr>
        <w:t>ě</w:t>
      </w:r>
      <w:r w:rsidRPr="00F00085">
        <w:t>n</w:t>
      </w:r>
      <w:r w:rsidRPr="00F00085">
        <w:rPr>
          <w:rFonts w:ascii="Aptos" w:hAnsi="Aptos" w:cs="Aptos"/>
        </w:rPr>
        <w:t>í</w:t>
      </w:r>
      <w:r w:rsidRPr="00F00085">
        <w:t xml:space="preserve"> dal</w:t>
      </w:r>
      <w:r w:rsidRPr="00F00085">
        <w:rPr>
          <w:rFonts w:ascii="Aptos" w:hAnsi="Aptos" w:cs="Aptos"/>
        </w:rPr>
        <w:t>ší</w:t>
      </w:r>
      <w:r w:rsidRPr="00F00085">
        <w:t xml:space="preserve">ho odpadu </w:t>
      </w:r>
      <w:r w:rsidRPr="00F00085">
        <w:rPr>
          <w:rFonts w:ascii="Aptos" w:hAnsi="Aptos" w:cs="Aptos"/>
        </w:rPr>
        <w:t>–</w:t>
      </w:r>
      <w:r w:rsidRPr="00F00085">
        <w:t xml:space="preserve"> pr</w:t>
      </w:r>
      <w:r w:rsidRPr="00F00085">
        <w:rPr>
          <w:rFonts w:ascii="Aptos" w:hAnsi="Aptos" w:cs="Aptos"/>
        </w:rPr>
        <w:t>ů</w:t>
      </w:r>
      <w:r w:rsidRPr="00F00085">
        <w:t>b</w:t>
      </w:r>
      <w:r w:rsidRPr="00F00085">
        <w:rPr>
          <w:rFonts w:ascii="Aptos" w:hAnsi="Aptos" w:cs="Aptos"/>
        </w:rPr>
        <w:t>ěž</w:t>
      </w:r>
      <w:r w:rsidRPr="00F00085">
        <w:t>n</w:t>
      </w:r>
      <w:r w:rsidRPr="00F00085">
        <w:rPr>
          <w:rFonts w:ascii="Aptos" w:hAnsi="Aptos" w:cs="Aptos"/>
        </w:rPr>
        <w:t>ě</w:t>
      </w:r>
      <w:r w:rsidRPr="00F00085">
        <w:t xml:space="preserve"> po celou dobu veletrhu dle pot</w:t>
      </w:r>
      <w:r w:rsidRPr="00F00085">
        <w:rPr>
          <w:rFonts w:ascii="Aptos" w:hAnsi="Aptos" w:cs="Aptos"/>
        </w:rPr>
        <w:t>ř</w:t>
      </w:r>
      <w:r w:rsidRPr="00F00085">
        <w:t>eby, min. v</w:t>
      </w:r>
      <w:r w:rsidRPr="00F00085">
        <w:rPr>
          <w:rFonts w:ascii="Aptos" w:hAnsi="Aptos" w:cs="Aptos"/>
        </w:rPr>
        <w:t>š</w:t>
      </w:r>
      <w:r w:rsidRPr="00F00085">
        <w:t>ak 1x denn</w:t>
      </w:r>
      <w:r w:rsidRPr="00F00085">
        <w:rPr>
          <w:rFonts w:ascii="Aptos" w:hAnsi="Aptos" w:cs="Aptos"/>
        </w:rPr>
        <w:t>ě</w:t>
      </w:r>
      <w:r w:rsidRPr="00F00085">
        <w:t>), a to v</w:t>
      </w:r>
      <w:r w:rsidRPr="00F00085">
        <w:rPr>
          <w:rFonts w:ascii="Aptos" w:hAnsi="Aptos" w:cs="Aptos"/>
        </w:rPr>
        <w:t>č</w:t>
      </w:r>
      <w:r w:rsidRPr="00F00085">
        <w:t>etn</w:t>
      </w:r>
      <w:r w:rsidRPr="00F00085">
        <w:rPr>
          <w:rFonts w:ascii="Aptos" w:hAnsi="Aptos" w:cs="Aptos"/>
        </w:rPr>
        <w:t>ě</w:t>
      </w:r>
      <w:r w:rsidRPr="00F00085">
        <w:t xml:space="preserve"> zaji</w:t>
      </w:r>
      <w:r w:rsidRPr="00F00085">
        <w:rPr>
          <w:rFonts w:ascii="Aptos" w:hAnsi="Aptos" w:cs="Aptos"/>
        </w:rPr>
        <w:t>š</w:t>
      </w:r>
      <w:r w:rsidRPr="00F00085">
        <w:t>t</w:t>
      </w:r>
      <w:r w:rsidRPr="00F00085">
        <w:rPr>
          <w:rFonts w:ascii="Aptos" w:hAnsi="Aptos" w:cs="Aptos"/>
        </w:rPr>
        <w:t>ě</w:t>
      </w:r>
      <w:r w:rsidRPr="00F00085">
        <w:t>n</w:t>
      </w:r>
      <w:r w:rsidRPr="00F00085">
        <w:rPr>
          <w:rFonts w:ascii="Aptos" w:hAnsi="Aptos" w:cs="Aptos"/>
        </w:rPr>
        <w:t>í</w:t>
      </w:r>
      <w:r w:rsidRPr="00F00085">
        <w:t xml:space="preserve"> odvozu odpadu.</w:t>
      </w:r>
      <w:r w:rsidRPr="00F00085">
        <w:rPr>
          <w:rFonts w:ascii="Aptos" w:hAnsi="Aptos" w:cs="Aptos"/>
        </w:rPr>
        <w:t>  </w:t>
      </w:r>
      <w:r>
        <w:rPr>
          <w:rFonts w:ascii="Aptos" w:hAnsi="Aptos" w:cs="Aptos"/>
        </w:rPr>
        <w:t>Dodavatel zajistí rovněž g</w:t>
      </w:r>
      <w:r w:rsidRPr="00F00085">
        <w:t>ener</w:t>
      </w:r>
      <w:r w:rsidRPr="00F00085">
        <w:rPr>
          <w:rFonts w:ascii="Aptos" w:hAnsi="Aptos" w:cs="Aptos"/>
        </w:rPr>
        <w:t>á</w:t>
      </w:r>
      <w:r w:rsidRPr="00F00085">
        <w:t>ln</w:t>
      </w:r>
      <w:r w:rsidRPr="00F00085">
        <w:rPr>
          <w:rFonts w:ascii="Aptos" w:hAnsi="Aptos" w:cs="Aptos"/>
        </w:rPr>
        <w:t>í</w:t>
      </w:r>
      <w:r w:rsidRPr="00F00085">
        <w:t xml:space="preserve"> </w:t>
      </w:r>
      <w:r w:rsidRPr="00F00085">
        <w:rPr>
          <w:rFonts w:ascii="Aptos" w:hAnsi="Aptos" w:cs="Aptos"/>
        </w:rPr>
        <w:t>ú</w:t>
      </w:r>
      <w:r w:rsidRPr="00F00085">
        <w:t>klid po stavb</w:t>
      </w:r>
      <w:r w:rsidRPr="00F00085">
        <w:rPr>
          <w:rFonts w:ascii="Aptos" w:hAnsi="Aptos" w:cs="Aptos"/>
        </w:rPr>
        <w:t>ě</w:t>
      </w:r>
      <w:r w:rsidRPr="00F00085">
        <w:t xml:space="preserve"> expozice p</w:t>
      </w:r>
      <w:r w:rsidRPr="00F00085">
        <w:rPr>
          <w:rFonts w:ascii="Aptos" w:hAnsi="Aptos" w:cs="Aptos"/>
        </w:rPr>
        <w:t>ř</w:t>
      </w:r>
      <w:r w:rsidRPr="00F00085">
        <w:t>ed</w:t>
      </w:r>
      <w:r>
        <w:t xml:space="preserve"> zahájením</w:t>
      </w:r>
      <w:r w:rsidRPr="00F00085">
        <w:t xml:space="preserve"> veletrhu</w:t>
      </w:r>
      <w:r>
        <w:t>.</w:t>
      </w:r>
    </w:p>
    <w:p w14:paraId="6E1E02EE" w14:textId="1155324D" w:rsidR="00F00085" w:rsidRPr="00392AD0" w:rsidRDefault="00F00085" w:rsidP="00392AD0">
      <w:pPr>
        <w:rPr>
          <w:b/>
          <w:bCs/>
        </w:rPr>
      </w:pPr>
      <w:r w:rsidRPr="00392AD0">
        <w:rPr>
          <w:b/>
          <w:bCs/>
        </w:rPr>
        <w:t>Ad B. Cateringové služby</w:t>
      </w:r>
    </w:p>
    <w:p w14:paraId="6079F327" w14:textId="3F052DC3" w:rsidR="00E013AB" w:rsidRPr="00F00085" w:rsidRDefault="00F00085" w:rsidP="00392AD0">
      <w:r>
        <w:t>Dodavatel zajistí</w:t>
      </w:r>
      <w:r w:rsidRPr="00F00085">
        <w:t xml:space="preserve"> cateringové služby, které budou Zadavateli a</w:t>
      </w:r>
      <w:r w:rsidRPr="00F00085">
        <w:rPr>
          <w:rFonts w:ascii="Arial" w:hAnsi="Arial" w:cs="Arial"/>
        </w:rPr>
        <w:t> </w:t>
      </w:r>
      <w:r w:rsidRPr="00F00085">
        <w:t>v</w:t>
      </w:r>
      <w:r w:rsidRPr="00F00085">
        <w:rPr>
          <w:rFonts w:ascii="Aptos" w:hAnsi="Aptos" w:cs="Aptos"/>
        </w:rPr>
        <w:t>š</w:t>
      </w:r>
      <w:r w:rsidRPr="00F00085">
        <w:t>em vystavovatel</w:t>
      </w:r>
      <w:r w:rsidRPr="00F00085">
        <w:rPr>
          <w:rFonts w:ascii="Aptos" w:hAnsi="Aptos" w:cs="Aptos"/>
        </w:rPr>
        <w:t>ů</w:t>
      </w:r>
      <w:r w:rsidRPr="00F00085">
        <w:t>m zdarma k</w:t>
      </w:r>
      <w:r w:rsidRPr="00F00085">
        <w:rPr>
          <w:rFonts w:ascii="Arial" w:hAnsi="Arial" w:cs="Arial"/>
        </w:rPr>
        <w:t> </w:t>
      </w:r>
      <w:r w:rsidRPr="00F00085">
        <w:t>dispozici po celou dobu kon</w:t>
      </w:r>
      <w:r w:rsidRPr="00F00085">
        <w:rPr>
          <w:rFonts w:ascii="Aptos" w:hAnsi="Aptos" w:cs="Aptos"/>
        </w:rPr>
        <w:t>á</w:t>
      </w:r>
      <w:r w:rsidRPr="00F00085">
        <w:t>n</w:t>
      </w:r>
      <w:r w:rsidRPr="00F00085">
        <w:rPr>
          <w:rFonts w:ascii="Aptos" w:hAnsi="Aptos" w:cs="Aptos"/>
        </w:rPr>
        <w:t>í</w:t>
      </w:r>
      <w:r w:rsidRPr="00F00085">
        <w:t xml:space="preserve"> veletrhu.</w:t>
      </w:r>
      <w:r>
        <w:t xml:space="preserve"> </w:t>
      </w:r>
      <w:r w:rsidRPr="00F00085">
        <w:t>Pro catering musí být dodavatelem zajištěno</w:t>
      </w:r>
      <w:r>
        <w:t xml:space="preserve"> p</w:t>
      </w:r>
      <w:r w:rsidRPr="00F00085">
        <w:t>orcelánové/skleněné nádobí.</w:t>
      </w:r>
      <w:r w:rsidR="00585FA4">
        <w:t xml:space="preserve"> </w:t>
      </w:r>
      <w:r w:rsidR="00585FA4" w:rsidRPr="00F00085">
        <w:t xml:space="preserve">Rozsah cateringu musí být přizpůsoben velikosti expozice </w:t>
      </w:r>
      <w:r w:rsidR="00585FA4">
        <w:t xml:space="preserve">pro ITB Berlin 2025 </w:t>
      </w:r>
      <w:r w:rsidR="00585FA4" w:rsidRPr="00F00085">
        <w:t>a počtu výstavních/jednacích sektorů</w:t>
      </w:r>
      <w:r w:rsidR="00585FA4">
        <w:t xml:space="preserve"> uvedených v této příloze k zadávací dokumentaci.</w:t>
      </w:r>
      <w:r w:rsidR="00E013AB">
        <w:t xml:space="preserve"> </w:t>
      </w:r>
      <w:r w:rsidR="00E013AB" w:rsidRPr="00F00085">
        <w:t>Dodavatel je povinen si zajistit</w:t>
      </w:r>
      <w:r w:rsidR="00E013AB">
        <w:t xml:space="preserve"> veškerá povolení pro zajištění cateringových služeb, tj.</w:t>
      </w:r>
      <w:r w:rsidR="00E013AB" w:rsidRPr="00F00085">
        <w:t xml:space="preserve"> povolení k podávání cateringu externí firmou, které je u většinou veletržních správ vyžadováno</w:t>
      </w:r>
      <w:r w:rsidR="00E013AB">
        <w:t>, pokud bude v daném případě ITB Berlin 2025 veletržní správou vyžadováno</w:t>
      </w:r>
      <w:r w:rsidR="00E013AB" w:rsidRPr="00F00085">
        <w:t>. Stejně tak povolení k podávání alkoholických nápojů, dodržování hygienických předpisů apod.</w:t>
      </w:r>
    </w:p>
    <w:p w14:paraId="18995605" w14:textId="77777777" w:rsidR="00E013AB" w:rsidRDefault="00E013AB" w:rsidP="00F00085">
      <w:pPr>
        <w:rPr>
          <w:b/>
          <w:bCs/>
        </w:rPr>
      </w:pPr>
    </w:p>
    <w:p w14:paraId="2DA00576" w14:textId="5B5CF7C0" w:rsidR="00F00085" w:rsidRPr="00F00085" w:rsidRDefault="00F00085" w:rsidP="00F00085">
      <w:pPr>
        <w:rPr>
          <w:b/>
          <w:bCs/>
        </w:rPr>
      </w:pPr>
      <w:r w:rsidRPr="00F00085">
        <w:rPr>
          <w:b/>
          <w:bCs/>
        </w:rPr>
        <w:t>Cateringovými službami se pro účely této veřejné zakázky rozumí:  </w:t>
      </w:r>
    </w:p>
    <w:p w14:paraId="6EFE3A9C" w14:textId="77777777" w:rsidR="00F00085" w:rsidRPr="00F00085" w:rsidRDefault="00F00085" w:rsidP="00F00085">
      <w:pPr>
        <w:numPr>
          <w:ilvl w:val="0"/>
          <w:numId w:val="25"/>
        </w:numPr>
        <w:rPr>
          <w:b/>
          <w:bCs/>
        </w:rPr>
      </w:pPr>
      <w:r w:rsidRPr="00F00085">
        <w:rPr>
          <w:b/>
          <w:bCs/>
        </w:rPr>
        <w:t>Catering pro vystavovatele:</w:t>
      </w:r>
    </w:p>
    <w:p w14:paraId="76A8F46F" w14:textId="52291C25" w:rsidR="00F00085" w:rsidRPr="00F00085" w:rsidRDefault="00F00085" w:rsidP="00F00085">
      <w:r w:rsidRPr="00F00085">
        <w:rPr>
          <w:b/>
          <w:bCs/>
        </w:rPr>
        <w:t>Nápoje:</w:t>
      </w:r>
      <w:r w:rsidRPr="00F00085">
        <w:t xml:space="preserve"> espresso, čaj (2 druhy), balená perlivá a neperlivá voda, dva druhy džusu, pivo z české produkce, víno bílé a červené z české produkce (víno bude nabízeno jen při jednáních Zadavatele či vystavovatelů s obchodními partnery) a dále občerstvení, které bude k dispozici všem vystavovatelům po celou dobu konání veletrhu v dostatečném množství a bude zahrnovat následující: slané pochutiny (crackery, oříšky, chipsy, různé jiné směsi), jednohubky, čajové pečivo, koláčky, sladké minizákusky, ovoce a zelenina, jehož konzumace by neměla vyžadovat použití příboru.</w:t>
      </w:r>
    </w:p>
    <w:p w14:paraId="4AB63FDC" w14:textId="593943A3" w:rsidR="00F00085" w:rsidRPr="00F00085" w:rsidRDefault="00F00085" w:rsidP="00F00085">
      <w:r w:rsidRPr="00F00085">
        <w:lastRenderedPageBreak/>
        <w:t>V rámci cateringu se nesmí veškerý sortiment občerstvení objevovat ve dvou po sobě jdoucích dnech veletrhu. Servírování/úprava občerstvení by měla zaujmout, být kreativní a nenáročná na konzumaci. Přesný rozpis cateringu na jednotlivé dny bude předložen Zadavateli ke schválení minimálně 1</w:t>
      </w:r>
      <w:r>
        <w:t>4</w:t>
      </w:r>
      <w:r w:rsidRPr="00F00085">
        <w:t xml:space="preserve"> </w:t>
      </w:r>
      <w:r>
        <w:t>dnů</w:t>
      </w:r>
      <w:r w:rsidRPr="00F00085">
        <w:t xml:space="preserve"> před zahájením veletrhu.  </w:t>
      </w:r>
    </w:p>
    <w:p w14:paraId="7C478757" w14:textId="77777777" w:rsidR="00F00085" w:rsidRPr="00F00085" w:rsidRDefault="00F00085" w:rsidP="00F00085">
      <w:pPr>
        <w:numPr>
          <w:ilvl w:val="0"/>
          <w:numId w:val="25"/>
        </w:numPr>
      </w:pPr>
      <w:r w:rsidRPr="00F00085">
        <w:t xml:space="preserve"> </w:t>
      </w:r>
      <w:r w:rsidRPr="00F00085">
        <w:rPr>
          <w:b/>
          <w:bCs/>
        </w:rPr>
        <w:t>Catering pro obchodní partnery vystavovatelů:</w:t>
      </w:r>
    </w:p>
    <w:p w14:paraId="5F2005F8" w14:textId="77777777" w:rsidR="00F00085" w:rsidRPr="00F00085" w:rsidRDefault="00F00085" w:rsidP="00F00085">
      <w:r w:rsidRPr="00F00085">
        <w:t>Pro obchodní partnery vystavovatelů budou zajištěny dva druhy regionálních specialit vycházející z typicky české gastronomie – Czech Specials (1 sladká, 1 slaná), které budou nabízeny partnerům během jednání. Nabízené speciality podléhají schválení Zadavatele. </w:t>
      </w:r>
    </w:p>
    <w:p w14:paraId="16594428" w14:textId="3CF60861" w:rsidR="00585FA4" w:rsidRPr="00392AD0" w:rsidRDefault="00585FA4" w:rsidP="00392AD0">
      <w:pPr>
        <w:pStyle w:val="Odstavecseseznamem"/>
        <w:numPr>
          <w:ilvl w:val="0"/>
          <w:numId w:val="25"/>
        </w:numPr>
        <w:rPr>
          <w:b/>
          <w:bCs/>
        </w:rPr>
      </w:pPr>
      <w:r w:rsidRPr="00392AD0">
        <w:rPr>
          <w:b/>
          <w:bCs/>
        </w:rPr>
        <w:t xml:space="preserve">Zajištění obsluhy cateringu </w:t>
      </w:r>
    </w:p>
    <w:p w14:paraId="7E2A51E8" w14:textId="0DDBE3D9" w:rsidR="00F00085" w:rsidRPr="00F00085" w:rsidRDefault="00585FA4" w:rsidP="00F00085">
      <w:r>
        <w:t>P</w:t>
      </w:r>
      <w:r w:rsidR="00F00085" w:rsidRPr="00F00085">
        <w:t>ro catering</w:t>
      </w:r>
      <w:r>
        <w:t xml:space="preserve"> zajistí Dodavatel</w:t>
      </w:r>
      <w:r w:rsidR="00F00085" w:rsidRPr="00F00085">
        <w:t xml:space="preserve"> kvalifikovan</w:t>
      </w:r>
      <w:r>
        <w:t>ou</w:t>
      </w:r>
      <w:r w:rsidR="00F00085" w:rsidRPr="00F00085">
        <w:t xml:space="preserve"> obsluh</w:t>
      </w:r>
      <w:r>
        <w:t>u</w:t>
      </w:r>
      <w:r w:rsidR="00F00085" w:rsidRPr="00F00085">
        <w:t xml:space="preserve">, kterou se rozumí </w:t>
      </w:r>
      <w:r>
        <w:t>minimálně 3</w:t>
      </w:r>
      <w:r w:rsidR="007F783B">
        <w:t>, ideálně 4</w:t>
      </w:r>
      <w:r>
        <w:t xml:space="preserve"> </w:t>
      </w:r>
      <w:r w:rsidR="00F00085" w:rsidRPr="00F00085">
        <w:t>osoby s odpovídajícím odborným vzděláním, které doloží profesním životopisem a min. 3 letou praxí v oboru gastronomických služeb.</w:t>
      </w:r>
      <w:r>
        <w:t xml:space="preserve"> Osoby k zajištění obsluhy cateringu oznámí Dodavatel Zadavateli minimálně 14 dnů před zahájením veletrhu s doložením profesního životopisu každé z osob, z nichž bude zřejmé splnění výše uvedené podmínky odborného vzdělání a požadované délky praxe.  </w:t>
      </w:r>
      <w:r w:rsidR="00F00085" w:rsidRPr="00F00085">
        <w:t xml:space="preserve">Všichni členové kvalifikované obsluhy musí mít </w:t>
      </w:r>
      <w:r w:rsidR="007C3EAA">
        <w:t xml:space="preserve">buď </w:t>
      </w:r>
      <w:r w:rsidR="00F00085" w:rsidRPr="00F00085">
        <w:t>stejnokroj odsouhlasený Zadavatelem</w:t>
      </w:r>
      <w:r w:rsidR="007C3EAA">
        <w:t xml:space="preserve"> nebo standardní oblečení pro obsluhu cateringu spočívající v černých kalhotách a bílé košili</w:t>
      </w:r>
      <w:r w:rsidR="00F00085" w:rsidRPr="00F00085">
        <w:t>. </w:t>
      </w:r>
    </w:p>
    <w:p w14:paraId="4F0B2E9F" w14:textId="77777777" w:rsidR="00F00085" w:rsidRPr="00F00085" w:rsidRDefault="00F00085" w:rsidP="00392AD0">
      <w:pPr>
        <w:ind w:left="925"/>
      </w:pPr>
    </w:p>
    <w:p w14:paraId="30A71331" w14:textId="77777777" w:rsidR="00F00085" w:rsidRDefault="00F00085" w:rsidP="48B1F7DE"/>
    <w:sectPr w:rsidR="00F0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902"/>
    <w:multiLevelType w:val="multilevel"/>
    <w:tmpl w:val="D6983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752E2"/>
    <w:multiLevelType w:val="multilevel"/>
    <w:tmpl w:val="D32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355DE2"/>
    <w:multiLevelType w:val="multilevel"/>
    <w:tmpl w:val="E4A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297391"/>
    <w:multiLevelType w:val="multilevel"/>
    <w:tmpl w:val="7F1A88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B44A9"/>
    <w:multiLevelType w:val="multilevel"/>
    <w:tmpl w:val="952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54F69"/>
    <w:multiLevelType w:val="multilevel"/>
    <w:tmpl w:val="4A3C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76BCF"/>
    <w:multiLevelType w:val="multilevel"/>
    <w:tmpl w:val="58C4AC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15BB6"/>
    <w:multiLevelType w:val="multilevel"/>
    <w:tmpl w:val="5970B5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135DF"/>
    <w:multiLevelType w:val="multilevel"/>
    <w:tmpl w:val="DC00A3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912BB"/>
    <w:multiLevelType w:val="multilevel"/>
    <w:tmpl w:val="621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9C41F6"/>
    <w:multiLevelType w:val="multilevel"/>
    <w:tmpl w:val="988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5F0E52"/>
    <w:multiLevelType w:val="multilevel"/>
    <w:tmpl w:val="0244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49630E"/>
    <w:multiLevelType w:val="multilevel"/>
    <w:tmpl w:val="D4B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D11043"/>
    <w:multiLevelType w:val="multilevel"/>
    <w:tmpl w:val="017C6E2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B6F5C"/>
    <w:multiLevelType w:val="multilevel"/>
    <w:tmpl w:val="F9F4CD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27153"/>
    <w:multiLevelType w:val="multilevel"/>
    <w:tmpl w:val="BD2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CC67FA"/>
    <w:multiLevelType w:val="multilevel"/>
    <w:tmpl w:val="54A0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63258C"/>
    <w:multiLevelType w:val="multilevel"/>
    <w:tmpl w:val="5F7CADD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26E1D"/>
    <w:multiLevelType w:val="multilevel"/>
    <w:tmpl w:val="CE4A8594"/>
    <w:lvl w:ilvl="0">
      <w:start w:val="1"/>
      <w:numFmt w:val="decimal"/>
      <w:lvlText w:val="%1."/>
      <w:lvlJc w:val="left"/>
      <w:pPr>
        <w:ind w:left="170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5" w:hanging="567"/>
      </w:pPr>
      <w:rPr>
        <w:b w:val="0"/>
        <w:bCs w:val="0"/>
        <w:w w:val="100"/>
        <w:lang w:val="cs-CZ" w:eastAsia="en-US" w:bidi="ar-SA"/>
      </w:rPr>
    </w:lvl>
    <w:lvl w:ilvl="2">
      <w:numFmt w:val="bullet"/>
      <w:lvlText w:val="-"/>
      <w:lvlJc w:val="left"/>
      <w:pPr>
        <w:ind w:left="13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360" w:hanging="567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2529" w:hanging="567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3698" w:hanging="567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037" w:hanging="567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207" w:hanging="567"/>
      </w:pPr>
      <w:rPr>
        <w:lang w:val="cs-CZ" w:eastAsia="en-US" w:bidi="ar-SA"/>
      </w:rPr>
    </w:lvl>
  </w:abstractNum>
  <w:abstractNum w:abstractNumId="19" w15:restartNumberingAfterBreak="0">
    <w:nsid w:val="4A555BF3"/>
    <w:multiLevelType w:val="multilevel"/>
    <w:tmpl w:val="2D5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2170BE"/>
    <w:multiLevelType w:val="hybridMultilevel"/>
    <w:tmpl w:val="59DEEEA2"/>
    <w:lvl w:ilvl="0" w:tplc="7494D1B0">
      <w:start w:val="1"/>
      <w:numFmt w:val="lowerLetter"/>
      <w:lvlText w:val="%1)"/>
      <w:lvlJc w:val="left"/>
      <w:pPr>
        <w:ind w:left="1285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005" w:hanging="360"/>
      </w:pPr>
    </w:lvl>
    <w:lvl w:ilvl="2" w:tplc="0405001B">
      <w:start w:val="1"/>
      <w:numFmt w:val="lowerRoman"/>
      <w:lvlText w:val="%3."/>
      <w:lvlJc w:val="right"/>
      <w:pPr>
        <w:ind w:left="2725" w:hanging="180"/>
      </w:pPr>
    </w:lvl>
    <w:lvl w:ilvl="3" w:tplc="0405000F">
      <w:start w:val="1"/>
      <w:numFmt w:val="decimal"/>
      <w:lvlText w:val="%4."/>
      <w:lvlJc w:val="left"/>
      <w:pPr>
        <w:ind w:left="3445" w:hanging="360"/>
      </w:pPr>
    </w:lvl>
    <w:lvl w:ilvl="4" w:tplc="04050019">
      <w:start w:val="1"/>
      <w:numFmt w:val="lowerLetter"/>
      <w:lvlText w:val="%5."/>
      <w:lvlJc w:val="left"/>
      <w:pPr>
        <w:ind w:left="4165" w:hanging="360"/>
      </w:pPr>
    </w:lvl>
    <w:lvl w:ilvl="5" w:tplc="0405001B">
      <w:start w:val="1"/>
      <w:numFmt w:val="lowerRoman"/>
      <w:lvlText w:val="%6."/>
      <w:lvlJc w:val="right"/>
      <w:pPr>
        <w:ind w:left="4885" w:hanging="180"/>
      </w:pPr>
    </w:lvl>
    <w:lvl w:ilvl="6" w:tplc="0405000F">
      <w:start w:val="1"/>
      <w:numFmt w:val="decimal"/>
      <w:lvlText w:val="%7."/>
      <w:lvlJc w:val="left"/>
      <w:pPr>
        <w:ind w:left="5605" w:hanging="360"/>
      </w:pPr>
    </w:lvl>
    <w:lvl w:ilvl="7" w:tplc="04050019">
      <w:start w:val="1"/>
      <w:numFmt w:val="lowerLetter"/>
      <w:lvlText w:val="%8."/>
      <w:lvlJc w:val="left"/>
      <w:pPr>
        <w:ind w:left="6325" w:hanging="360"/>
      </w:pPr>
    </w:lvl>
    <w:lvl w:ilvl="8" w:tplc="0405001B">
      <w:start w:val="1"/>
      <w:numFmt w:val="lowerRoman"/>
      <w:lvlText w:val="%9."/>
      <w:lvlJc w:val="right"/>
      <w:pPr>
        <w:ind w:left="7045" w:hanging="180"/>
      </w:pPr>
    </w:lvl>
  </w:abstractNum>
  <w:abstractNum w:abstractNumId="21" w15:restartNumberingAfterBreak="0">
    <w:nsid w:val="4B9B4B4B"/>
    <w:multiLevelType w:val="multilevel"/>
    <w:tmpl w:val="66F41B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65BF5"/>
    <w:multiLevelType w:val="multilevel"/>
    <w:tmpl w:val="67824E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207FC"/>
    <w:multiLevelType w:val="multilevel"/>
    <w:tmpl w:val="F914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24F18"/>
    <w:multiLevelType w:val="multilevel"/>
    <w:tmpl w:val="2C44768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DC0D94"/>
    <w:multiLevelType w:val="multilevel"/>
    <w:tmpl w:val="45288C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05816692">
    <w:abstractNumId w:val="0"/>
  </w:num>
  <w:num w:numId="2" w16cid:durableId="174226853">
    <w:abstractNumId w:val="7"/>
  </w:num>
  <w:num w:numId="3" w16cid:durableId="1934361932">
    <w:abstractNumId w:val="25"/>
  </w:num>
  <w:num w:numId="4" w16cid:durableId="719675064">
    <w:abstractNumId w:val="3"/>
  </w:num>
  <w:num w:numId="5" w16cid:durableId="893080365">
    <w:abstractNumId w:val="14"/>
  </w:num>
  <w:num w:numId="6" w16cid:durableId="753279081">
    <w:abstractNumId w:val="24"/>
  </w:num>
  <w:num w:numId="7" w16cid:durableId="170264189">
    <w:abstractNumId w:val="4"/>
  </w:num>
  <w:num w:numId="8" w16cid:durableId="1271666592">
    <w:abstractNumId w:val="10"/>
  </w:num>
  <w:num w:numId="9" w16cid:durableId="246037902">
    <w:abstractNumId w:val="2"/>
  </w:num>
  <w:num w:numId="10" w16cid:durableId="1317033956">
    <w:abstractNumId w:val="16"/>
  </w:num>
  <w:num w:numId="11" w16cid:durableId="856425573">
    <w:abstractNumId w:val="1"/>
  </w:num>
  <w:num w:numId="12" w16cid:durableId="1867062929">
    <w:abstractNumId w:val="21"/>
  </w:num>
  <w:num w:numId="13" w16cid:durableId="1967084776">
    <w:abstractNumId w:val="6"/>
  </w:num>
  <w:num w:numId="14" w16cid:durableId="1407994410">
    <w:abstractNumId w:val="8"/>
  </w:num>
  <w:num w:numId="15" w16cid:durableId="842626357">
    <w:abstractNumId w:val="17"/>
  </w:num>
  <w:num w:numId="16" w16cid:durableId="1810440541">
    <w:abstractNumId w:val="13"/>
  </w:num>
  <w:num w:numId="17" w16cid:durableId="78716889">
    <w:abstractNumId w:val="23"/>
  </w:num>
  <w:num w:numId="18" w16cid:durableId="732121076">
    <w:abstractNumId w:val="15"/>
  </w:num>
  <w:num w:numId="19" w16cid:durableId="3168880">
    <w:abstractNumId w:val="12"/>
  </w:num>
  <w:num w:numId="20" w16cid:durableId="637223766">
    <w:abstractNumId w:val="5"/>
  </w:num>
  <w:num w:numId="21" w16cid:durableId="961959135">
    <w:abstractNumId w:val="9"/>
  </w:num>
  <w:num w:numId="22" w16cid:durableId="174616207">
    <w:abstractNumId w:val="19"/>
  </w:num>
  <w:num w:numId="23" w16cid:durableId="806052455">
    <w:abstractNumId w:val="11"/>
  </w:num>
  <w:num w:numId="24" w16cid:durableId="1231037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48276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28138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3"/>
    <w:rsid w:val="00070FA4"/>
    <w:rsid w:val="000B0C0F"/>
    <w:rsid w:val="00101322"/>
    <w:rsid w:val="001A7BE6"/>
    <w:rsid w:val="00203AE4"/>
    <w:rsid w:val="00252927"/>
    <w:rsid w:val="00272FCD"/>
    <w:rsid w:val="002D6603"/>
    <w:rsid w:val="00316A46"/>
    <w:rsid w:val="00392AD0"/>
    <w:rsid w:val="004A00D3"/>
    <w:rsid w:val="005665C2"/>
    <w:rsid w:val="00585FA4"/>
    <w:rsid w:val="00596C30"/>
    <w:rsid w:val="005A00A4"/>
    <w:rsid w:val="005C4482"/>
    <w:rsid w:val="005E49FC"/>
    <w:rsid w:val="00726ADF"/>
    <w:rsid w:val="007407BB"/>
    <w:rsid w:val="00762F30"/>
    <w:rsid w:val="007A5455"/>
    <w:rsid w:val="007C3EAA"/>
    <w:rsid w:val="007F783B"/>
    <w:rsid w:val="00842CB8"/>
    <w:rsid w:val="0089554F"/>
    <w:rsid w:val="008E7B93"/>
    <w:rsid w:val="009024C3"/>
    <w:rsid w:val="00947025"/>
    <w:rsid w:val="009A5A4D"/>
    <w:rsid w:val="00A45E5B"/>
    <w:rsid w:val="00AE6BD9"/>
    <w:rsid w:val="00BA5287"/>
    <w:rsid w:val="00CC36BC"/>
    <w:rsid w:val="00CD1603"/>
    <w:rsid w:val="00CE3968"/>
    <w:rsid w:val="00DA73C3"/>
    <w:rsid w:val="00E00C36"/>
    <w:rsid w:val="00E013AB"/>
    <w:rsid w:val="00E071AB"/>
    <w:rsid w:val="00E211C4"/>
    <w:rsid w:val="00F00085"/>
    <w:rsid w:val="00FB2E65"/>
    <w:rsid w:val="0111A508"/>
    <w:rsid w:val="015BED7B"/>
    <w:rsid w:val="023245EA"/>
    <w:rsid w:val="02C7CF5D"/>
    <w:rsid w:val="042486BA"/>
    <w:rsid w:val="046AC856"/>
    <w:rsid w:val="05ABF2A6"/>
    <w:rsid w:val="08A4F443"/>
    <w:rsid w:val="092A15C4"/>
    <w:rsid w:val="0A6810A7"/>
    <w:rsid w:val="0B980B85"/>
    <w:rsid w:val="0E49E6BD"/>
    <w:rsid w:val="0FB725A7"/>
    <w:rsid w:val="10564B13"/>
    <w:rsid w:val="10EBE4AA"/>
    <w:rsid w:val="11EA6D8E"/>
    <w:rsid w:val="11F226B9"/>
    <w:rsid w:val="12C9A983"/>
    <w:rsid w:val="12D1B55A"/>
    <w:rsid w:val="12DA5D8C"/>
    <w:rsid w:val="131F5354"/>
    <w:rsid w:val="1397DE6D"/>
    <w:rsid w:val="14631E1A"/>
    <w:rsid w:val="163E4A5A"/>
    <w:rsid w:val="178F79BB"/>
    <w:rsid w:val="1791545D"/>
    <w:rsid w:val="18A9D1A9"/>
    <w:rsid w:val="1901495D"/>
    <w:rsid w:val="19976A2A"/>
    <w:rsid w:val="1A0CE4B5"/>
    <w:rsid w:val="1A1A4A8A"/>
    <w:rsid w:val="1AB1F88C"/>
    <w:rsid w:val="1C62C103"/>
    <w:rsid w:val="1CF014BE"/>
    <w:rsid w:val="1D9C0D88"/>
    <w:rsid w:val="1ED5FAC0"/>
    <w:rsid w:val="1F137F43"/>
    <w:rsid w:val="1F2CF55F"/>
    <w:rsid w:val="1F42070B"/>
    <w:rsid w:val="1FC6DDC6"/>
    <w:rsid w:val="20140252"/>
    <w:rsid w:val="20B5415A"/>
    <w:rsid w:val="2165F036"/>
    <w:rsid w:val="21CE692C"/>
    <w:rsid w:val="2221A1AF"/>
    <w:rsid w:val="224B2597"/>
    <w:rsid w:val="2252AF03"/>
    <w:rsid w:val="22AED300"/>
    <w:rsid w:val="22E7479A"/>
    <w:rsid w:val="236A0A23"/>
    <w:rsid w:val="258E2F4C"/>
    <w:rsid w:val="266B7107"/>
    <w:rsid w:val="268173A4"/>
    <w:rsid w:val="26DFD14F"/>
    <w:rsid w:val="26FF6D2F"/>
    <w:rsid w:val="27697466"/>
    <w:rsid w:val="283DD29D"/>
    <w:rsid w:val="28BACD8C"/>
    <w:rsid w:val="28BC6F82"/>
    <w:rsid w:val="2AEB6399"/>
    <w:rsid w:val="2C29792F"/>
    <w:rsid w:val="2C516034"/>
    <w:rsid w:val="2CEBC95A"/>
    <w:rsid w:val="2D4F18BA"/>
    <w:rsid w:val="2D8FE959"/>
    <w:rsid w:val="2E946DD4"/>
    <w:rsid w:val="32287A32"/>
    <w:rsid w:val="32CDF267"/>
    <w:rsid w:val="3341CF97"/>
    <w:rsid w:val="33B30AA8"/>
    <w:rsid w:val="34C94C39"/>
    <w:rsid w:val="352C91B6"/>
    <w:rsid w:val="35A68DA8"/>
    <w:rsid w:val="36979334"/>
    <w:rsid w:val="37D77251"/>
    <w:rsid w:val="3977E898"/>
    <w:rsid w:val="39D04DD1"/>
    <w:rsid w:val="3A025733"/>
    <w:rsid w:val="3A3475BD"/>
    <w:rsid w:val="3A518674"/>
    <w:rsid w:val="3B1B6072"/>
    <w:rsid w:val="3B71837C"/>
    <w:rsid w:val="3C3DC64B"/>
    <w:rsid w:val="3C92762C"/>
    <w:rsid w:val="3E95ED8F"/>
    <w:rsid w:val="3EEFAF7D"/>
    <w:rsid w:val="3FFD2231"/>
    <w:rsid w:val="4236BAD6"/>
    <w:rsid w:val="4403A5BE"/>
    <w:rsid w:val="449CE07A"/>
    <w:rsid w:val="44E51030"/>
    <w:rsid w:val="45858875"/>
    <w:rsid w:val="46A6E9F8"/>
    <w:rsid w:val="46E7D137"/>
    <w:rsid w:val="47236908"/>
    <w:rsid w:val="47B3F33F"/>
    <w:rsid w:val="47DADE74"/>
    <w:rsid w:val="489E8B1F"/>
    <w:rsid w:val="48B1F7DE"/>
    <w:rsid w:val="48C0A06B"/>
    <w:rsid w:val="48C7E755"/>
    <w:rsid w:val="49AF0DD4"/>
    <w:rsid w:val="4EB22F93"/>
    <w:rsid w:val="4EC572C0"/>
    <w:rsid w:val="4FC3B1EE"/>
    <w:rsid w:val="521C60A1"/>
    <w:rsid w:val="523E7E6F"/>
    <w:rsid w:val="525268DC"/>
    <w:rsid w:val="541C099F"/>
    <w:rsid w:val="543A111C"/>
    <w:rsid w:val="5451879A"/>
    <w:rsid w:val="55D5DDDE"/>
    <w:rsid w:val="5627A05A"/>
    <w:rsid w:val="562990E9"/>
    <w:rsid w:val="562A5640"/>
    <w:rsid w:val="57A6FCAB"/>
    <w:rsid w:val="59F22ACC"/>
    <w:rsid w:val="5AB582E4"/>
    <w:rsid w:val="5B7AF814"/>
    <w:rsid w:val="5BE3378A"/>
    <w:rsid w:val="5BF3A692"/>
    <w:rsid w:val="5C7D4E4B"/>
    <w:rsid w:val="5CBB5D08"/>
    <w:rsid w:val="5CD2008D"/>
    <w:rsid w:val="5D03EA76"/>
    <w:rsid w:val="5D3B2DA7"/>
    <w:rsid w:val="5DD2D997"/>
    <w:rsid w:val="5E97687E"/>
    <w:rsid w:val="5EA391E4"/>
    <w:rsid w:val="5ED7323D"/>
    <w:rsid w:val="5F68C0AF"/>
    <w:rsid w:val="5F867D61"/>
    <w:rsid w:val="600D29FA"/>
    <w:rsid w:val="602A0509"/>
    <w:rsid w:val="6415B1FF"/>
    <w:rsid w:val="645C95B3"/>
    <w:rsid w:val="653ACCAE"/>
    <w:rsid w:val="65CFFB14"/>
    <w:rsid w:val="6660B2F7"/>
    <w:rsid w:val="66D12850"/>
    <w:rsid w:val="66EB156B"/>
    <w:rsid w:val="674A4A91"/>
    <w:rsid w:val="6769F799"/>
    <w:rsid w:val="679E9A94"/>
    <w:rsid w:val="67C513C1"/>
    <w:rsid w:val="6859373D"/>
    <w:rsid w:val="68C5CACA"/>
    <w:rsid w:val="68E9C35A"/>
    <w:rsid w:val="69BDD048"/>
    <w:rsid w:val="69C35B76"/>
    <w:rsid w:val="6A0E9AA8"/>
    <w:rsid w:val="6AFA4DB0"/>
    <w:rsid w:val="6B53ABDE"/>
    <w:rsid w:val="6B8E2D1C"/>
    <w:rsid w:val="6C91B57B"/>
    <w:rsid w:val="6CE1C946"/>
    <w:rsid w:val="6E3F591B"/>
    <w:rsid w:val="707DDECF"/>
    <w:rsid w:val="70AFD8D4"/>
    <w:rsid w:val="717E9FA8"/>
    <w:rsid w:val="731C1933"/>
    <w:rsid w:val="7403F815"/>
    <w:rsid w:val="751BDE99"/>
    <w:rsid w:val="751E9D16"/>
    <w:rsid w:val="75BA3353"/>
    <w:rsid w:val="75E05802"/>
    <w:rsid w:val="76AD20A3"/>
    <w:rsid w:val="76E23106"/>
    <w:rsid w:val="79CAD682"/>
    <w:rsid w:val="7C3C0233"/>
    <w:rsid w:val="7D063CD4"/>
    <w:rsid w:val="7D947CD5"/>
    <w:rsid w:val="7E933015"/>
    <w:rsid w:val="7EDD3281"/>
    <w:rsid w:val="7F8C924B"/>
    <w:rsid w:val="7FD8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EF9A"/>
  <w15:chartTrackingRefBased/>
  <w15:docId w15:val="{386292BD-8420-4910-BE8E-D2E7A1A8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6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6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6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6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6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6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66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66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66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6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660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272FC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00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00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00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0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0A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92A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35D85-4593-450D-867E-D47B20778931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BBC41A55-0994-4FD7-A379-D340FE46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4B581-352A-4522-B16A-0BB70EE2F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Rocek</dc:creator>
  <cp:keywords/>
  <dc:description/>
  <cp:lastModifiedBy>Šebestová Pavla</cp:lastModifiedBy>
  <cp:revision>2</cp:revision>
  <dcterms:created xsi:type="dcterms:W3CDTF">2025-01-16T19:41:00Z</dcterms:created>
  <dcterms:modified xsi:type="dcterms:W3CDTF">2025-01-16T19:41:00Z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