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425/2024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8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zhotovitele: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06-O-2032-15070/24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„Optimalizace vodních poměrů Svitávky v katastrálním území Velenice“- studie</w:t>
        <w:br/>
        <w:t>odtokových poměrů“</w:t>
      </w:r>
    </w:p>
    <w:tbl>
      <w:tblPr>
        <w:tblOverlap w:val="never"/>
        <w:jc w:val="center"/>
        <w:tblLayout w:type="fixed"/>
      </w:tblPr>
      <w:tblGrid>
        <w:gridCol w:w="3667"/>
        <w:gridCol w:w="5462"/>
      </w:tblGrid>
      <w:tr>
        <w:trPr>
          <w:trHeight w:val="20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 70889988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tbl>
      <w:tblPr>
        <w:tblOverlap w:val="never"/>
        <w:jc w:val="center"/>
        <w:tblLayout w:type="fixed"/>
      </w:tblPr>
      <w:tblGrid>
        <w:gridCol w:w="3667"/>
        <w:gridCol w:w="5462"/>
      </w:tblGrid>
      <w:tr>
        <w:trPr>
          <w:trHeight w:val="107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 statutární orgán: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3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Vodohospodářský rozvoj a výstavba a.s.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90/4, 150 00 Praha 5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tbl>
      <w:tblPr>
        <w:tblOverlap w:val="never"/>
        <w:jc w:val="center"/>
        <w:tblLayout w:type="fixed"/>
      </w:tblPr>
      <w:tblGrid>
        <w:gridCol w:w="3667"/>
        <w:gridCol w:w="5462"/>
      </w:tblGrid>
      <w:tr>
        <w:trPr>
          <w:trHeight w:val="12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47116901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CZ47116901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Městského soud v Praze, v oddílu B, vložce č. 1930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86" w:lineRule="auto"/>
        <w:ind w:left="0" w:right="0" w:firstLine="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315" w:left="1394" w:right="1384" w:bottom="142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644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1 k SOD 425/2024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na termínový dodatek vzešel od objednatele, a to z důvodu nepříznivého výsledku zhodnocení ekonomické efektivity navržených opatření. Další pokračování v plnění díla je podmíněno projednáním na investiční komisi objednatele, která rozhodne, v jakém rozsahu se dílo dokončí.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 TERMÍNY PLNĚNÍ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kompletního díla (2 x tištěné + 1 x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31.01.2025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 (3 x tištěné + 2 x elektronicky) po schválení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investiční komisi (dále jen IK PŘ):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investiční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komisi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kompletního díla (2 x tištěné +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28.03.2025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 (3 x tištěné + elektronicky) po schválení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investiční komisi (dále jen IK PŘ):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investiční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komisi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9" w:bottom="1420" w:header="0" w:footer="3" w:gutter="0"/>
          <w:cols w:space="720"/>
          <w:noEndnote/>
          <w:rtlGutter w:val="0"/>
          <w:docGrid w:linePitch="360"/>
        </w:sectPr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tbl>
      <w:tblPr>
        <w:tblOverlap w:val="never"/>
        <w:jc w:val="center"/>
        <w:tblLayout w:type="fixed"/>
      </w:tblPr>
      <w:tblGrid>
        <w:gridCol w:w="4042"/>
        <w:gridCol w:w="5083"/>
      </w:tblGrid>
      <w:tr>
        <w:trPr>
          <w:trHeight w:val="10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Chomutově dne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Praze dne</w:t>
            </w:r>
          </w:p>
        </w:tc>
      </w:tr>
      <w:tr>
        <w:trPr>
          <w:trHeight w:val="18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 investiční ředitel Povodí Ohře, státní podnik (objednatel)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…………………………………….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ředitel divize 06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 s. (zhotovitel)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1027" w:left="1394" w:right="1389" w:bottom="142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4978400</wp:posOffset>
              </wp:positionH>
              <wp:positionV relativeFrom="page">
                <wp:posOffset>435610</wp:posOffset>
              </wp:positionV>
              <wp:extent cx="16827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425/2024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pt;margin-top:34.300000000000004pt;width:132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425/2024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60"/>
      <w:ind w:firstLine="3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