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" w:name="bookmark1"/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Prováděcí smlouva o dílo uzavřená na základě rámcové dohody na</w:t>
        <w:br/>
        <w:t>geodetické služby 2024 - č. 1555/2023 ze dne 30.01.2024</w:t>
      </w:r>
      <w:bookmarkEnd w:id="1"/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64" w:lineRule="auto"/>
        <w:ind w:left="0" w:right="0" w:firstLine="0"/>
        <w:jc w:val="center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368300</wp:posOffset>
                </wp:positionV>
                <wp:extent cx="829310" cy="2527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9310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bookmark0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Název díla: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5pt;margin-top:29.pt;width:65.299999999999997pt;height:19.900000000000002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bookmarkStart w:id="0" w:name="bookmark0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Název díla:</w:t>
                      </w:r>
                      <w:bookmarkEnd w:id="0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objednatele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: 1456/2024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smlouvy zhotovitele: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860" w:line="264" w:lineRule="auto"/>
        <w:ind w:left="0" w:right="0" w:firstLine="0"/>
        <w:jc w:val="center"/>
        <w:rPr>
          <w:sz w:val="24"/>
          <w:szCs w:val="24"/>
        </w:rPr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431800</wp:posOffset>
                </wp:positionV>
                <wp:extent cx="780415" cy="3898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041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5pt;margin-top:34.pt;width:61.450000000000003pt;height:30.69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3384550</wp:posOffset>
                </wp:positionH>
                <wp:positionV relativeFrom="paragraph">
                  <wp:posOffset>431800</wp:posOffset>
                </wp:positionV>
                <wp:extent cx="2225040" cy="38989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Povodí Ohře, státní podnik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66.5pt;margin-top:34.pt;width:175.20000000000002pt;height:30.69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Povodí Ohře, státní podnik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4"/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Kryry – předprojektová příprava“</w:t>
      </w:r>
      <w:bookmarkEnd w:id="4"/>
      <w:bookmarkEnd w:id="5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</w:t>
      </w:r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jednat o věcech technických: zastupuje objednatele: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GEOVIA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Židovice 128, 411 83 Hrobce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27276554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CZ27276554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bankovní spojení: 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zapsána v obchodním rejstříku u Krajského soudu v Ústí nad Labem v oddílu C, vložce č. 22071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8" w:val="left"/>
        </w:tabs>
        <w:bidi w:val="0"/>
        <w:spacing w:before="0" w:after="140" w:line="240" w:lineRule="auto"/>
        <w:ind w:left="0" w:right="0" w:firstLine="0"/>
        <w:jc w:val="center"/>
        <w:rPr>
          <w:sz w:val="22"/>
          <w:szCs w:val="22"/>
        </w:rPr>
      </w:pPr>
      <w:bookmarkStart w:id="10" w:name="bookmark10"/>
      <w:bookmarkStart w:id="11" w:name="bookmark11"/>
      <w:bookmarkStart w:id="8" w:name="bookmark8"/>
      <w:bookmarkStart w:id="9" w:name="bookmark9"/>
      <w:bookmarkEnd w:id="10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Předmět díla</w:t>
      </w:r>
      <w:bookmarkEnd w:id="11"/>
      <w:bookmarkEnd w:id="8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8" w:val="left"/>
        </w:tabs>
        <w:bidi w:val="0"/>
        <w:spacing w:before="0" w:after="140" w:line="240" w:lineRule="auto"/>
        <w:ind w:left="460" w:right="0" w:hanging="46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se zavazuje provést dílo na základě zadání poptávky objednatele ze dne 08.11.2024 a přijetí zakázky dne 11.11.2024. Předmětem veřejné zakázky je realizace dílčího plnění veřejné zakázky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zhotovení geometrického plánu pro oddělení pozemků pro akci: „VD Kryry – předprojektová příprava“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v návaznosti na tuto skutečnost se zhotovitel zavazuje pro objednatele zpracovat v tomto článku uvedené geodetické práce.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8" w:val="left"/>
        </w:tabs>
        <w:bidi w:val="0"/>
        <w:spacing w:before="0" w:after="200" w:line="240" w:lineRule="auto"/>
        <w:ind w:left="460" w:right="0" w:hanging="46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plnění je zhotovení geometrického plánu pro oddělení částí pozemků v k. ú. Kryry, Černčice u Petrohradu, Strojetice u Podbořan pro plánované majetkoprávní vypořádání s dotčenými vlastníky. Vybrané pozemky jsou uvedeny v příloze č. 1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after="140" w:line="240" w:lineRule="auto"/>
        <w:ind w:left="440" w:right="0" w:hanging="44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plnění je Podnikové ředitelství Chomutov – strategické investice, Bezručova 4219, Chomutov.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after="140" w:line="240" w:lineRule="auto"/>
        <w:ind w:left="440" w:right="0" w:hanging="4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Technickou specifikací, která tvoří přílohu č. 1 Rámcové dohody na geodetické služby a v souladu s příslušnými platnými technickými normami a předpisy.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after="140" w:line="240" w:lineRule="auto"/>
        <w:ind w:left="440" w:right="0" w:hanging="44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prohlašuje, že si pečlivě prostudoval veškeré zadávací podklady a že k tomu, aby mohlo být dílo řádně provedeno podle ustanovení této smlouvy, není třeba žádných změn nebo úprav zadání.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after="60" w:line="240" w:lineRule="auto"/>
        <w:ind w:left="440" w:right="0" w:hanging="44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díla bude předán objednateli ke kontrole formální a věcné úplnosti v místě plnění ještě před předáním geometrického plánu k odsouhlasení, a sice emailem na adresu: v elektronické verzi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(e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lektronická verze musí obsahovat zaměření ve formátu pdf a dxf (případně dwg) a seznam souřadnic.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after="60" w:line="240" w:lineRule="auto"/>
        <w:ind w:left="440" w:right="0" w:hanging="44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Úspěšné provedení kontroly je podmínkou podpisu Zjišťovacího protokolu o předání a převzetí díla.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after="60" w:line="240" w:lineRule="auto"/>
        <w:ind w:left="440" w:right="0" w:hanging="44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Ověřený geometrický plán pro výkup pozemků bude zpracován a objednateli předán v tištěné podobě v počtu nezbytně nutném pro vklad do katastru nemovitostí a následné majetkoprávní vypořádání a 1x v elektronické podobě.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after="140" w:line="240" w:lineRule="auto"/>
        <w:ind w:left="440" w:right="0" w:hanging="44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řádně provedené dílo podle ustanovení této smlouvy převzít a zaplatit jeho dohodnutou cenu.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13" w:val="left"/>
        </w:tabs>
        <w:bidi w:val="0"/>
        <w:spacing w:before="0" w:after="140" w:line="240" w:lineRule="auto"/>
        <w:ind w:left="0" w:right="0" w:firstLine="0"/>
        <w:jc w:val="center"/>
        <w:rPr>
          <w:sz w:val="22"/>
          <w:szCs w:val="22"/>
        </w:rPr>
      </w:pPr>
      <w:bookmarkStart w:id="21" w:name="bookmark21"/>
      <w:bookmarkStart w:id="22" w:name="bookmark22"/>
      <w:bookmarkStart w:id="23" w:name="bookmark23"/>
      <w:bookmarkStart w:id="24" w:name="bookmark24"/>
      <w:bookmarkEnd w:id="23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Termíny plnění</w:t>
      </w:r>
      <w:bookmarkEnd w:id="21"/>
      <w:bookmarkEnd w:id="22"/>
      <w:bookmarkEnd w:id="24"/>
    </w:p>
    <w:p>
      <w:pPr>
        <w:pStyle w:val="Style6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13" w:val="left"/>
        </w:tabs>
        <w:bidi w:val="0"/>
        <w:spacing w:before="0" w:after="140" w:line="240" w:lineRule="auto"/>
        <w:ind w:left="0" w:right="0" w:firstLine="0"/>
        <w:jc w:val="both"/>
        <w:rPr>
          <w:sz w:val="22"/>
          <w:szCs w:val="22"/>
        </w:rPr>
      </w:pPr>
      <w:bookmarkStart w:id="25" w:name="bookmark25"/>
      <w:bookmarkStart w:id="26" w:name="bookmark26"/>
      <w:bookmarkStart w:id="27" w:name="bookmark27"/>
      <w:bookmarkStart w:id="28" w:name="bookmark28"/>
      <w:bookmarkEnd w:id="27"/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Dílo bude předáno zhotovitelem objednateli v místě plnění díla v termínu: do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14.03.2025.</w:t>
      </w:r>
      <w:bookmarkEnd w:id="25"/>
      <w:bookmarkEnd w:id="26"/>
      <w:bookmarkEnd w:id="28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13" w:val="left"/>
        </w:tabs>
        <w:bidi w:val="0"/>
        <w:spacing w:before="0" w:after="380" w:line="240" w:lineRule="auto"/>
        <w:ind w:left="440" w:right="0" w:hanging="44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písemný doklad o předání se považuje Protokol o předání a převzetí díla podepsaný zástupcem objednatele, tj.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31" w:val="left"/>
        </w:tabs>
        <w:bidi w:val="0"/>
        <w:spacing w:before="0" w:after="140" w:line="240" w:lineRule="auto"/>
        <w:ind w:left="0" w:right="0" w:firstLine="0"/>
        <w:jc w:val="center"/>
        <w:rPr>
          <w:sz w:val="22"/>
          <w:szCs w:val="22"/>
        </w:rPr>
      </w:pPr>
      <w:bookmarkStart w:id="30" w:name="bookmark30"/>
      <w:bookmarkStart w:id="31" w:name="bookmark31"/>
      <w:bookmarkStart w:id="32" w:name="bookmark32"/>
      <w:bookmarkStart w:id="33" w:name="bookmark33"/>
      <w:bookmarkEnd w:id="32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Cena díla</w:t>
      </w:r>
      <w:bookmarkEnd w:id="30"/>
      <w:bookmarkEnd w:id="31"/>
      <w:bookmarkEnd w:id="33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3" w:val="left"/>
        </w:tabs>
        <w:bidi w:val="0"/>
        <w:spacing w:before="0" w:after="140" w:line="240" w:lineRule="auto"/>
        <w:ind w:left="440" w:right="0" w:hanging="44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za dílo je stanovena na základě ceníku geodetických služeb (verze 2024) – oblast Terezín, který tvoří přílohu č. 2.3 rámcové dohody č. 1555/2023 – položka X. –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37 MJ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Vyhotovení geometrického plánu pro rozdělení pozemků, 1 MJ = 100 m = 5.000 Kč,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tj. celkem 185.000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(slovy: stoosmdesátpěttisíc korun českých). Cena zahrnuje veškeré náklady zhotovitele související s realizací díla. K ceně díla bude připočtena DPH 21 %.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3" w:val="left"/>
        </w:tabs>
        <w:bidi w:val="0"/>
        <w:spacing w:before="0" w:after="140" w:line="240" w:lineRule="auto"/>
        <w:ind w:left="440" w:right="0" w:hanging="44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dílo je dána na základě cenové nabídky zhotovitele a jím předloženého nezávazného rozpočtu zhotovitele a bude uhrazena po provedení díla dle skutečně provedených prací.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3" w:val="left"/>
        </w:tabs>
        <w:bidi w:val="0"/>
        <w:spacing w:before="0" w:after="140" w:line="240" w:lineRule="auto"/>
        <w:ind w:left="440" w:right="0" w:hanging="44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zhotovitele způsobené změnou rozsahu, termínů a dalších náležitostí dodávky rozdílně od uzavřené smlouvy, pokud byly tyto změny objednatelem vyžádány nebo pokud jim byly způsobeny, budou předem vzájemně odsouhlaseny smluvními stranami dodatkem k této smlouvě.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3" w:val="left"/>
        </w:tabs>
        <w:bidi w:val="0"/>
        <w:spacing w:before="0" w:after="380" w:line="240" w:lineRule="auto"/>
        <w:ind w:left="440" w:right="0" w:hanging="44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prohlašují, že touto smlouvou sjednaná cena za provedení díla není považována za skutečnost tvořící obchodní tajemství ve smyslu ustanovení § 504 z. č. 89/2012 Sb. občanský zákoník.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sz w:val="22"/>
          <w:szCs w:val="22"/>
        </w:rPr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IX. Ostatní ujednání</w:t>
      </w:r>
      <w:bookmarkEnd w:id="38"/>
      <w:bookmarkEnd w:id="39"/>
      <w:bookmarkEnd w:id="40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13" w:val="left"/>
        </w:tabs>
        <w:bidi w:val="0"/>
        <w:spacing w:before="0" w:after="140" w:line="240" w:lineRule="auto"/>
        <w:ind w:left="0" w:right="0" w:firstLine="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předmět díla použít k účelům vyplývajícím z této smlouvy bez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jakéhokoliv omezení.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40" w:lineRule="auto"/>
        <w:ind w:left="460" w:right="0" w:hanging="46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poskytne zhotoviteli výchozí podklady pro získání potřebných údajů na katastrálním úřadě.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Případná povolení vstupů na cizí pozemky si zajistí zhotovitel.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7" w:val="left"/>
        </w:tabs>
        <w:bidi w:val="0"/>
        <w:spacing w:before="0" w:line="240" w:lineRule="auto"/>
        <w:ind w:left="460" w:right="0" w:hanging="46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 zahájením geodetických prací vyzve prokazatelně zhotovitel zástupce objednatele k upřesnění předmětu smlouvy v terénu. Požadujeme účast pracovníka Povodí Ohře, s. p.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22"/>
          <w:szCs w:val="22"/>
        </w:rPr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XI. Závěrečná ustanovení</w:t>
      </w:r>
      <w:bookmarkEnd w:id="45"/>
      <w:bookmarkEnd w:id="46"/>
      <w:bookmarkEnd w:id="47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60" w:right="0" w:hanging="46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vztahy (včetně platebních podmínek) se řídí i Rámcovou dohodou č. 1555/2023 uzavřenou dne 30.01.2024. Pokud není ve smlouvě uvedeno jinak, řídí se všechny vztahy mezi smluvními stranami zejména příslušnými ustanoveními občanského zákoníku a zákona o veřejných zakázkách. Veškeré změny a dodatky této smlouvy musí být sepsány písemně formou dodatku. Návrh dodatku ke smlouvě předloží zhotovitel objednateli v elektronické podobě nejpozději 14 dnů před ukončením termínu plnění dle smlouvy. Smluvní vztahy se řídí i Rámcovou dohodou č. 1555/2023 uzavřenou dne 30.01.2024.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60" w:right="0" w:hanging="46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60" w:right="0" w:hanging="46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60" w:right="0" w:hanging="46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odstoupit od smlouvy při podstatném porušení smlouvy zhotovitelem, a to zejména při prodlení zhotovitele se splněním termínu předání díla.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60" w:right="0" w:hanging="46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smlouvy seznámily, s ním souhlasí, neboť tento odpovídá jejich projevené vůli a na důkaz toho připojují svoje podpisy.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60" w:right="0" w:hanging="46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after="1100" w:line="240" w:lineRule="auto"/>
        <w:ind w:left="460" w:right="0" w:hanging="46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 osobnich-udaju/d-1369/p1=1459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966" w:left="1370" w:right="1356" w:bottom="1385" w:header="0" w:footer="3" w:gutter="0"/>
          <w:pgNumType w:start="1"/>
          <w:cols w:space="720"/>
          <w:noEndnote/>
          <w:rtlGutter w:val="0"/>
          <w:docGrid w:linePitch="360"/>
        </w:sectPr>
      </w:pPr>
      <w:bookmarkStart w:id="56" w:name="bookmark56"/>
      <w:bookmarkEnd w:id="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smlouvu. Tato smlouva 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83" w:lineRule="auto"/>
        <w:ind w:left="440" w:right="0" w:firstLine="63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Smlouva č. 1456/2024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vyhotovena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elektronické podobě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(PDF dokument).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Objednatel a zhotovitel obdrží oboustranně podepsanou smlouvu (digitální podpisy) v elektronické podobě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(PDF dokument).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1 - LB_dělení_MPV_2025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60" w:line="240" w:lineRule="auto"/>
        <w:ind w:left="0" w:right="0" w:firstLine="44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4466590</wp:posOffset>
                </wp:positionH>
                <wp:positionV relativeFrom="paragraph">
                  <wp:posOffset>12700</wp:posOffset>
                </wp:positionV>
                <wp:extent cx="1115695" cy="22542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569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Židenicích,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1.69999999999999pt;margin-top:1.pt;width:87.850000000000009pt;height:17.7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Židenicích,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Chomutově,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1150620</wp:posOffset>
                </wp:positionH>
                <wp:positionV relativeFrom="paragraph">
                  <wp:posOffset>12700</wp:posOffset>
                </wp:positionV>
                <wp:extent cx="1161415" cy="387350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6141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 Povodí Ohře, s. p.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90.600000000000009pt;margin-top:1.pt;width:91.450000000000003pt;height:30.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 Povodí Ohře, s. p.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GEOVIA s.r.o.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1909" w:h="16838"/>
      <w:pgMar w:top="533" w:left="1370" w:right="1356" w:bottom="1291" w:header="105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9882505</wp:posOffset>
              </wp:positionV>
              <wp:extent cx="655320" cy="36258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5320" cy="3625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z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1.400000000000006pt;margin-top:778.14999999999998pt;width:51.600000000000001pt;height:28.5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906780</wp:posOffset>
              </wp:positionH>
              <wp:positionV relativeFrom="page">
                <wp:posOffset>9872345</wp:posOffset>
              </wp:positionV>
              <wp:extent cx="655320" cy="36258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55320" cy="3625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z</w:t>
                          </w:r>
                        </w:p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71.400000000000006pt;margin-top:777.35000000000002pt;width:51.600000000000001pt;height:28.5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</w:t>
                    </w:r>
                  </w:p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5167630</wp:posOffset>
              </wp:positionH>
              <wp:positionV relativeFrom="page">
                <wp:posOffset>351155</wp:posOffset>
              </wp:positionV>
              <wp:extent cx="1515110" cy="20701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15110" cy="2070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Smlouva č. 1456/2024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06.90000000000003pt;margin-top:27.650000000000002pt;width:119.3pt;height:16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Smlouva č. 1456/2024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1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Letafkova Jana</dc:creator>
  <cp:keywords/>
</cp:coreProperties>
</file>