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line="425" w:lineRule="exact" w:before="2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5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28"/>
          <w:sz w:val="32"/>
        </w:rPr>
        <w:t> </w:t>
      </w:r>
      <w:r>
        <w:rPr>
          <w:color w:val="808080"/>
          <w:spacing w:val="-2"/>
          <w:sz w:val="32"/>
        </w:rPr>
        <w:t>1190400156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2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Pasečnice</w:t>
      </w:r>
    </w:p>
    <w:p>
      <w:pPr>
        <w:pStyle w:val="BodyText"/>
        <w:tabs>
          <w:tab w:pos="2982" w:val="left" w:leader="none"/>
        </w:tabs>
        <w:ind w:left="102" w:right="887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6"/>
        </w:rPr>
        <w:t> </w:t>
      </w:r>
      <w:r>
        <w:rPr/>
        <w:t>Pasečnice,</w:t>
      </w:r>
      <w:r>
        <w:rPr>
          <w:spacing w:val="-6"/>
        </w:rPr>
        <w:t> </w:t>
      </w:r>
      <w:r>
        <w:rPr/>
        <w:t>Nová</w:t>
      </w:r>
      <w:r>
        <w:rPr>
          <w:spacing w:val="-5"/>
        </w:rPr>
        <w:t> </w:t>
      </w:r>
      <w:r>
        <w:rPr/>
        <w:t>Pasečnice</w:t>
      </w:r>
      <w:r>
        <w:rPr>
          <w:spacing w:val="-4"/>
        </w:rPr>
        <w:t> </w:t>
      </w:r>
      <w:r>
        <w:rPr/>
        <w:t>č.p.</w:t>
      </w:r>
      <w:r>
        <w:rPr>
          <w:spacing w:val="-2"/>
        </w:rPr>
        <w:t> </w:t>
      </w:r>
      <w:r>
        <w:rPr/>
        <w:t>33,</w:t>
      </w:r>
      <w:r>
        <w:rPr>
          <w:spacing w:val="-5"/>
        </w:rPr>
        <w:t> </w:t>
      </w:r>
      <w:r>
        <w:rPr/>
        <w:t>344</w:t>
      </w:r>
      <w:r>
        <w:rPr>
          <w:spacing w:val="-4"/>
        </w:rPr>
        <w:t> </w:t>
      </w:r>
      <w:r>
        <w:rPr/>
        <w:t>01</w:t>
      </w:r>
      <w:r>
        <w:rPr>
          <w:spacing w:val="-6"/>
        </w:rPr>
        <w:t> </w:t>
      </w:r>
      <w:r>
        <w:rPr/>
        <w:t>Domažlice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00572179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3"/>
        </w:rPr>
        <w:t> </w:t>
      </w:r>
      <w:r>
        <w:rPr/>
        <w:t>Marií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v o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starostkou</w:t>
      </w:r>
    </w:p>
    <w:p>
      <w:pPr>
        <w:pStyle w:val="BodyTex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6"/>
        </w:rPr>
        <w:t> </w:t>
      </w:r>
      <w:r>
        <w:rPr/>
        <w:t>1190400156</w:t>
      </w:r>
      <w:r>
        <w:rPr>
          <w:spacing w:val="32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7"/>
        </w:rPr>
        <w:t> </w:t>
      </w:r>
      <w:r>
        <w:rPr/>
        <w:t>prostředí</w:t>
      </w:r>
      <w:r>
        <w:rPr>
          <w:spacing w:val="8"/>
        </w:rPr>
        <w:t> </w:t>
      </w:r>
      <w:r>
        <w:rPr/>
        <w:t>České</w:t>
      </w:r>
      <w:r>
        <w:rPr>
          <w:spacing w:val="7"/>
        </w:rPr>
        <w:t> </w:t>
      </w:r>
      <w:r>
        <w:rPr/>
        <w:t>republiky</w:t>
      </w:r>
      <w:r>
        <w:rPr>
          <w:spacing w:val="7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10"/>
        </w:rPr>
        <w:t> </w:t>
      </w:r>
      <w:r>
        <w:rPr/>
        <w:t>12.</w:t>
      </w:r>
      <w:r>
        <w:rPr>
          <w:spacing w:val="8"/>
        </w:rPr>
        <w:t> </w:t>
      </w:r>
      <w:r>
        <w:rPr/>
        <w:t>4.</w:t>
      </w:r>
      <w:r>
        <w:rPr>
          <w:spacing w:val="8"/>
        </w:rPr>
        <w:t> </w:t>
      </w:r>
      <w:r>
        <w:rPr/>
        <w:t>2021,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znění</w:t>
      </w:r>
      <w:r>
        <w:rPr>
          <w:spacing w:val="7"/>
        </w:rPr>
        <w:t> </w:t>
      </w:r>
      <w:r>
        <w:rPr/>
        <w:t>dodatku</w:t>
      </w:r>
      <w:r>
        <w:rPr>
          <w:spacing w:val="8"/>
        </w:rPr>
        <w:t> </w:t>
      </w:r>
      <w:r>
        <w:rPr/>
        <w:t>č.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10"/>
        </w:rPr>
        <w:t> </w:t>
      </w:r>
      <w:r>
        <w:rPr/>
        <w:t>30.</w:t>
      </w:r>
      <w:r>
        <w:rPr>
          <w:spacing w:val="8"/>
        </w:rPr>
        <w:t> </w:t>
      </w:r>
      <w:r>
        <w:rPr/>
        <w:t>1.</w:t>
      </w:r>
      <w:r>
        <w:rPr>
          <w:spacing w:val="8"/>
        </w:rPr>
        <w:t> </w:t>
      </w:r>
      <w:r>
        <w:rPr/>
        <w:t>2024</w:t>
      </w:r>
      <w:r>
        <w:rPr>
          <w:spacing w:val="10"/>
        </w:rPr>
        <w:t> </w:t>
      </w:r>
      <w:r>
        <w:rPr/>
        <w:t>(dále</w:t>
      </w:r>
      <w:r>
        <w:rPr>
          <w:spacing w:val="6"/>
        </w:rPr>
        <w:t> </w:t>
      </w:r>
      <w:r>
        <w:rPr>
          <w:spacing w:val="-5"/>
        </w:rPr>
        <w:t>jen</w:t>
      </w:r>
    </w:p>
    <w:p>
      <w:pPr>
        <w:pStyle w:val="BodyText"/>
        <w:spacing w:before="1"/>
        <w:ind w:left="102"/>
      </w:pPr>
      <w:r>
        <w:rPr>
          <w:spacing w:val="-2"/>
        </w:rPr>
        <w:t>„Smlouva“):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08" w:hanging="428"/>
        <w:jc w:val="left"/>
        <w:rPr>
          <w:sz w:val="20"/>
        </w:rPr>
      </w:pPr>
      <w:r>
        <w:rPr>
          <w:sz w:val="20"/>
        </w:rPr>
        <w:t>Mění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příloha</w:t>
      </w:r>
      <w:r>
        <w:rPr>
          <w:spacing w:val="-1"/>
          <w:sz w:val="20"/>
        </w:rPr>
        <w:t> </w:t>
      </w:r>
      <w:r>
        <w:rPr>
          <w:sz w:val="20"/>
        </w:rPr>
        <w:t>č. 1</w:t>
      </w:r>
      <w:r>
        <w:rPr>
          <w:spacing w:val="-1"/>
          <w:sz w:val="20"/>
        </w:rPr>
        <w:t> </w:t>
      </w:r>
      <w:r>
        <w:rPr>
          <w:sz w:val="20"/>
        </w:rPr>
        <w:t>Specifické</w:t>
      </w:r>
      <w:r>
        <w:rPr>
          <w:spacing w:val="-2"/>
          <w:sz w:val="20"/>
        </w:rPr>
        <w:t> </w:t>
      </w:r>
      <w:r>
        <w:rPr>
          <w:sz w:val="20"/>
        </w:rPr>
        <w:t>podmínky provozování pro</w:t>
      </w:r>
      <w:r>
        <w:rPr>
          <w:spacing w:val="-1"/>
          <w:sz w:val="20"/>
        </w:rPr>
        <w:t> </w:t>
      </w:r>
      <w:r>
        <w:rPr>
          <w:sz w:val="20"/>
        </w:rPr>
        <w:t>model</w:t>
      </w:r>
      <w:r>
        <w:rPr>
          <w:spacing w:val="-1"/>
          <w:sz w:val="20"/>
        </w:rPr>
        <w:t> </w:t>
      </w:r>
      <w:r>
        <w:rPr>
          <w:sz w:val="20"/>
        </w:rPr>
        <w:t>samostatného provozování</w:t>
      </w:r>
      <w:r>
        <w:rPr>
          <w:spacing w:val="-1"/>
          <w:sz w:val="20"/>
        </w:rPr>
        <w:t> </w:t>
      </w:r>
      <w:r>
        <w:rPr>
          <w:sz w:val="20"/>
        </w:rPr>
        <w:t>Smlouvy č. 1190400156 o poskytnutí podpory ze Státního fondu životního prostředí České republiky (dále jen</w:t>
      </w:r>
    </w:p>
    <w:p>
      <w:pPr>
        <w:pStyle w:val="BodyText"/>
        <w:spacing w:before="1"/>
        <w:ind w:left="529"/>
      </w:pPr>
      <w:r>
        <w:rPr/>
        <w:t>„Smlouva“).</w:t>
      </w:r>
      <w:r>
        <w:rPr>
          <w:spacing w:val="7"/>
        </w:rPr>
        <w:t> </w:t>
      </w:r>
      <w:r>
        <w:rPr/>
        <w:t>Nově</w:t>
      </w:r>
      <w:r>
        <w:rPr>
          <w:spacing w:val="6"/>
        </w:rPr>
        <w:t> </w:t>
      </w:r>
      <w:r>
        <w:rPr/>
        <w:t>jsou</w:t>
      </w:r>
      <w:r>
        <w:rPr>
          <w:spacing w:val="10"/>
        </w:rPr>
        <w:t> </w:t>
      </w:r>
      <w:r>
        <w:rPr/>
        <w:t>přílohou</w:t>
      </w:r>
      <w:r>
        <w:rPr>
          <w:spacing w:val="7"/>
        </w:rPr>
        <w:t> </w:t>
      </w:r>
      <w:r>
        <w:rPr/>
        <w:t>č.</w:t>
      </w:r>
      <w:r>
        <w:rPr>
          <w:spacing w:val="7"/>
        </w:rPr>
        <w:t> </w:t>
      </w:r>
      <w:r>
        <w:rPr/>
        <w:t>1</w:t>
      </w:r>
      <w:r>
        <w:rPr>
          <w:spacing w:val="11"/>
        </w:rPr>
        <w:t> </w:t>
      </w:r>
      <w:r>
        <w:rPr/>
        <w:t>Smlouvy</w:t>
      </w:r>
      <w:r>
        <w:rPr>
          <w:spacing w:val="9"/>
        </w:rPr>
        <w:t> </w:t>
      </w:r>
      <w:r>
        <w:rPr/>
        <w:t>Specifické</w:t>
      </w:r>
      <w:r>
        <w:rPr>
          <w:spacing w:val="6"/>
        </w:rPr>
        <w:t> </w:t>
      </w:r>
      <w:r>
        <w:rPr/>
        <w:t>podmínky</w:t>
      </w:r>
      <w:r>
        <w:rPr>
          <w:spacing w:val="8"/>
        </w:rPr>
        <w:t> </w:t>
      </w:r>
      <w:r>
        <w:rPr/>
        <w:t>provozování</w:t>
      </w:r>
      <w:r>
        <w:rPr>
          <w:spacing w:val="7"/>
        </w:rPr>
        <w:t> </w:t>
      </w:r>
      <w:r>
        <w:rPr/>
        <w:t>pro</w:t>
      </w:r>
      <w:r>
        <w:rPr>
          <w:spacing w:val="8"/>
        </w:rPr>
        <w:t> </w:t>
      </w:r>
      <w:r>
        <w:rPr/>
        <w:t>vlastnický</w:t>
      </w:r>
      <w:r>
        <w:rPr>
          <w:spacing w:val="17"/>
        </w:rPr>
        <w:t> </w:t>
      </w:r>
      <w:r>
        <w:rPr>
          <w:spacing w:val="-2"/>
        </w:rPr>
        <w:t>model</w:t>
      </w:r>
    </w:p>
    <w:p>
      <w:pPr>
        <w:pStyle w:val="BodyText"/>
        <w:ind w:left="529"/>
      </w:pPr>
      <w:r>
        <w:rPr>
          <w:spacing w:val="-2"/>
        </w:rPr>
        <w:t>provozování.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86" w:after="0"/>
        <w:ind w:left="529" w:right="109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spacing w:before="1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2"/>
      </w:pPr>
      <w:r>
        <w:rPr/>
        <w:t>Příloha</w:t>
      </w:r>
      <w:r>
        <w:rPr>
          <w:spacing w:val="-8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2"/>
        </w:rPr>
        <w:t> </w:t>
      </w:r>
      <w:r>
        <w:rPr/>
        <w:t>vlastnický</w:t>
      </w:r>
      <w:r>
        <w:rPr>
          <w:spacing w:val="-6"/>
        </w:rPr>
        <w:t> </w:t>
      </w:r>
      <w:r>
        <w:rPr/>
        <w:t>model</w:t>
      </w:r>
      <w:r>
        <w:rPr>
          <w:spacing w:val="-8"/>
        </w:rPr>
        <w:t> </w:t>
      </w:r>
      <w:r>
        <w:rPr>
          <w:spacing w:val="-2"/>
        </w:rPr>
        <w:t>provozování</w:t>
      </w:r>
    </w:p>
    <w:p>
      <w:pPr>
        <w:spacing w:after="0"/>
        <w:sectPr>
          <w:pgSz w:w="12240" w:h="15840"/>
          <w:pgMar w:header="0" w:footer="957" w:top="1580" w:bottom="1140" w:left="1600" w:right="1020"/>
        </w:sectPr>
      </w:pPr>
    </w:p>
    <w:p>
      <w:pPr>
        <w:pStyle w:val="BodyText"/>
        <w:spacing w:before="79"/>
        <w:ind w:left="10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Dodatek</w:t>
      </w:r>
      <w:r>
        <w:rPr>
          <w:spacing w:val="-4"/>
        </w:rPr>
        <w:t> </w:t>
      </w:r>
      <w:r>
        <w:rPr/>
        <w:t>č.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ke</w:t>
      </w:r>
      <w:r>
        <w:rPr>
          <w:spacing w:val="-4"/>
        </w:rPr>
        <w:t> </w:t>
      </w:r>
      <w:r>
        <w:rPr/>
        <w:t>smlouvě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1190400156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 prostředí České republiky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</w:pPr>
      <w:r>
        <w:rPr/>
        <w:t>Specifické</w:t>
      </w:r>
      <w:r>
        <w:rPr>
          <w:spacing w:val="-9"/>
        </w:rPr>
        <w:t> </w:t>
      </w:r>
      <w:r>
        <w:rPr/>
        <w:t>podmínky</w:t>
      </w:r>
      <w:r>
        <w:rPr>
          <w:spacing w:val="-8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5"/>
        </w:rPr>
        <w:t> </w:t>
      </w:r>
      <w:r>
        <w:rPr/>
        <w:t>vlastnický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rFonts w:ascii="Times New Roman" w:hAnsi="Times New Roman"/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 vlastnického modelu, zejména bude platit, že subjekt zodpovědný za provozování je 100% vlastněn vlastníkem dotčené infrastruktury a případnými dalšími veřejnými vlastníky a infrastrukturu provozuje</w:t>
      </w:r>
      <w:r>
        <w:rPr>
          <w:spacing w:val="76"/>
          <w:sz w:val="20"/>
        </w:rPr>
        <w:t> </w:t>
      </w:r>
      <w:r>
        <w:rPr>
          <w:sz w:val="20"/>
        </w:rPr>
        <w:t>na</w:t>
      </w:r>
      <w:r>
        <w:rPr>
          <w:spacing w:val="77"/>
          <w:sz w:val="20"/>
        </w:rPr>
        <w:t> </w:t>
      </w:r>
      <w:r>
        <w:rPr>
          <w:sz w:val="20"/>
        </w:rPr>
        <w:t>základě</w:t>
      </w:r>
      <w:r>
        <w:rPr>
          <w:spacing w:val="79"/>
          <w:sz w:val="20"/>
        </w:rPr>
        <w:t> </w:t>
      </w:r>
      <w:r>
        <w:rPr>
          <w:sz w:val="20"/>
        </w:rPr>
        <w:t>smlouvy</w:t>
      </w:r>
      <w:r>
        <w:rPr>
          <w:spacing w:val="77"/>
          <w:sz w:val="20"/>
        </w:rPr>
        <w:t> </w:t>
      </w:r>
      <w:r>
        <w:rPr>
          <w:sz w:val="20"/>
        </w:rPr>
        <w:t>nebo</w:t>
      </w:r>
      <w:r>
        <w:rPr>
          <w:spacing w:val="79"/>
          <w:sz w:val="20"/>
        </w:rPr>
        <w:t> </w:t>
      </w:r>
      <w:r>
        <w:rPr>
          <w:sz w:val="20"/>
        </w:rPr>
        <w:t>jiného</w:t>
      </w:r>
      <w:r>
        <w:rPr>
          <w:spacing w:val="79"/>
          <w:sz w:val="20"/>
        </w:rPr>
        <w:t> </w:t>
      </w:r>
      <w:r>
        <w:rPr>
          <w:sz w:val="20"/>
        </w:rPr>
        <w:t>místně</w:t>
      </w:r>
      <w:r>
        <w:rPr>
          <w:spacing w:val="77"/>
          <w:sz w:val="20"/>
        </w:rPr>
        <w:t> </w:t>
      </w:r>
      <w:r>
        <w:rPr>
          <w:sz w:val="20"/>
        </w:rPr>
        <w:t>platného</w:t>
      </w:r>
      <w:r>
        <w:rPr>
          <w:spacing w:val="79"/>
          <w:sz w:val="20"/>
        </w:rPr>
        <w:t> </w:t>
      </w:r>
      <w:r>
        <w:rPr>
          <w:sz w:val="20"/>
        </w:rPr>
        <w:t>pověření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77"/>
          <w:sz w:val="20"/>
        </w:rPr>
        <w:t> </w:t>
      </w:r>
      <w:r>
        <w:rPr>
          <w:sz w:val="20"/>
        </w:rPr>
        <w:t>přímo</w:t>
      </w:r>
      <w:r>
        <w:rPr>
          <w:spacing w:val="78"/>
          <w:sz w:val="20"/>
        </w:rPr>
        <w:t> </w:t>
      </w:r>
      <w:r>
        <w:rPr>
          <w:sz w:val="20"/>
        </w:rPr>
        <w:t>drží</w:t>
      </w:r>
      <w:r>
        <w:rPr>
          <w:spacing w:val="77"/>
          <w:sz w:val="20"/>
        </w:rPr>
        <w:t> </w:t>
      </w:r>
      <w:r>
        <w:rPr>
          <w:sz w:val="20"/>
        </w:rPr>
        <w:t>povolení k</w:t>
      </w:r>
      <w:r>
        <w:rPr>
          <w:spacing w:val="-5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(k</w:t>
      </w:r>
      <w:r>
        <w:rPr>
          <w:spacing w:val="-7"/>
          <w:sz w:val="20"/>
        </w:rPr>
        <w:t> </w:t>
      </w:r>
      <w:r>
        <w:rPr>
          <w:sz w:val="20"/>
        </w:rPr>
        <w:t>modelům</w:t>
      </w:r>
      <w:r>
        <w:rPr>
          <w:spacing w:val="-3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infrastruktury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podmínkám</w:t>
      </w:r>
      <w:r>
        <w:rPr>
          <w:spacing w:val="-4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vlastnický</w:t>
      </w:r>
      <w:r>
        <w:rPr>
          <w:spacing w:val="-7"/>
          <w:sz w:val="20"/>
        </w:rPr>
        <w:t> </w:t>
      </w:r>
      <w:r>
        <w:rPr>
          <w:sz w:val="20"/>
        </w:rPr>
        <w:t>model viz dokument „Metodika pro žadatele rozvádějící podmínky přílohy č. 6 Programového dokumentu OPŽP 2014 – 2020“, dále jen „Metodika“, která je součástí PrŽaP). Pro účely stanovení podmínek </w:t>
      </w:r>
      <w:r>
        <w:rPr>
          <w:w w:val="95"/>
          <w:sz w:val="20"/>
        </w:rPr>
        <w:t>týkajících se provozování vodohospodářské infrastruktury se vodohospodářskou infrastrukturou rozumí </w:t>
      </w:r>
      <w:r>
        <w:rPr>
          <w:sz w:val="20"/>
        </w:rPr>
        <w:t>celá složka infrastruktury pořízené (rekonstruované) s podporou poskytnutou podle této Smlouvy a Rozhodnutí (podpořená infrastruktura) a veškerá další infrastruktura provozovaná v této složce na území relevantní obce (podrobněji viz Metodika) společně s podpořenou infrastrukturou v rámci podpořeného vlastnického modelu provozování.</w:t>
      </w: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240" w:lineRule="auto" w:before="121" w:after="0"/>
        <w:ind w:left="529" w:right="110" w:hanging="428"/>
        <w:jc w:val="both"/>
        <w:rPr>
          <w:sz w:val="20"/>
        </w:rPr>
      </w:pPr>
      <w:r>
        <w:rPr>
          <w:sz w:val="20"/>
        </w:rPr>
        <w:t>Nejméně po dobu 10 let od prvního dne následujícího kalendářního roku po získání posledního kolaudačního souhlasu/rozhodnutí k projektu bude zabezpečena finanční udržitelnost projektu a to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podmínek stanovených Fondem. Změna výše prostředků na obnovu vodovodů a/nebo kanalizací</w:t>
      </w:r>
      <w:r>
        <w:rPr>
          <w:spacing w:val="80"/>
          <w:sz w:val="20"/>
        </w:rPr>
        <w:t> </w:t>
      </w:r>
      <w:r>
        <w:rPr>
          <w:sz w:val="20"/>
        </w:rPr>
        <w:t>je přípustné pouze z důvodu: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240" w:lineRule="auto" w:before="119" w:after="0"/>
        <w:ind w:left="529" w:right="120" w:firstLine="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 a/nebo stočné zveřejňované každoročně Fondem, nebo</w:t>
      </w:r>
    </w:p>
    <w:p>
      <w:pPr>
        <w:pStyle w:val="ListParagraph"/>
        <w:numPr>
          <w:ilvl w:val="1"/>
          <w:numId w:val="2"/>
        </w:numPr>
        <w:tabs>
          <w:tab w:pos="818" w:val="left" w:leader="none"/>
        </w:tabs>
        <w:spacing w:line="240" w:lineRule="auto" w:before="121" w:after="0"/>
        <w:ind w:left="529" w:right="109" w:firstLine="0"/>
        <w:jc w:val="both"/>
        <w:rPr>
          <w:sz w:val="20"/>
        </w:rPr>
      </w:pPr>
      <w:r>
        <w:rPr>
          <w:sz w:val="20"/>
        </w:rPr>
        <w:t>snížení na</w:t>
      </w:r>
      <w:r>
        <w:rPr>
          <w:spacing w:val="-2"/>
          <w:sz w:val="20"/>
        </w:rPr>
        <w:t> </w:t>
      </w:r>
      <w:r>
        <w:rPr>
          <w:sz w:val="20"/>
        </w:rPr>
        <w:t>úroveň, která prokazatelně vytváří zdroje pro správu, obnovu a případné rozšíření vodovodů a</w:t>
      </w:r>
      <w:r>
        <w:rPr>
          <w:spacing w:val="-3"/>
          <w:sz w:val="20"/>
        </w:rPr>
        <w:t> </w:t>
      </w:r>
      <w:r>
        <w:rPr>
          <w:sz w:val="20"/>
        </w:rPr>
        <w:t>kanalizací minimálně ve výši „plných odpisů“. V obou případech je nezbytné, aby Fond navrženou odchylku odsouhlasil.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22" w:after="0"/>
        <w:ind w:left="822" w:right="0" w:hanging="720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57"/>
          <w:sz w:val="20"/>
        </w:rPr>
        <w:t> </w:t>
      </w:r>
      <w:r>
        <w:rPr>
          <w:sz w:val="20"/>
        </w:rPr>
        <w:t>příjem</w:t>
      </w:r>
      <w:r>
        <w:rPr>
          <w:spacing w:val="59"/>
          <w:sz w:val="20"/>
        </w:rPr>
        <w:t> </w:t>
      </w:r>
      <w:r>
        <w:rPr>
          <w:sz w:val="20"/>
        </w:rPr>
        <w:t>(případně</w:t>
      </w:r>
      <w:r>
        <w:rPr>
          <w:spacing w:val="57"/>
          <w:sz w:val="20"/>
        </w:rPr>
        <w:t> </w:t>
      </w:r>
      <w:r>
        <w:rPr>
          <w:sz w:val="20"/>
        </w:rPr>
        <w:t>nájemné)</w:t>
      </w:r>
      <w:r>
        <w:rPr>
          <w:spacing w:val="58"/>
          <w:sz w:val="20"/>
        </w:rPr>
        <w:t> </w:t>
      </w:r>
      <w:r>
        <w:rPr>
          <w:sz w:val="20"/>
        </w:rPr>
        <w:t>z</w:t>
      </w:r>
      <w:r>
        <w:rPr>
          <w:spacing w:val="59"/>
          <w:sz w:val="20"/>
        </w:rPr>
        <w:t> </w:t>
      </w:r>
      <w:r>
        <w:rPr>
          <w:sz w:val="20"/>
        </w:rPr>
        <w:t>provozování</w:t>
      </w:r>
      <w:r>
        <w:rPr>
          <w:spacing w:val="58"/>
          <w:sz w:val="20"/>
        </w:rPr>
        <w:t> </w:t>
      </w:r>
      <w:r>
        <w:rPr>
          <w:sz w:val="20"/>
        </w:rPr>
        <w:t>vodohospodářské</w:t>
      </w:r>
      <w:r>
        <w:rPr>
          <w:spacing w:val="56"/>
          <w:sz w:val="20"/>
        </w:rPr>
        <w:t> </w:t>
      </w:r>
      <w:r>
        <w:rPr>
          <w:sz w:val="20"/>
        </w:rPr>
        <w:t>infrastruktury</w:t>
      </w:r>
      <w:r>
        <w:rPr>
          <w:spacing w:val="58"/>
          <w:sz w:val="20"/>
        </w:rPr>
        <w:t> </w:t>
      </w:r>
      <w:r>
        <w:rPr>
          <w:sz w:val="20"/>
        </w:rPr>
        <w:t>bude</w:t>
      </w:r>
      <w:r>
        <w:rPr>
          <w:spacing w:val="57"/>
          <w:sz w:val="20"/>
        </w:rPr>
        <w:t> </w:t>
      </w:r>
      <w:r>
        <w:rPr>
          <w:spacing w:val="-2"/>
          <w:sz w:val="20"/>
        </w:rPr>
        <w:t>použit</w:t>
      </w:r>
    </w:p>
    <w:p>
      <w:pPr>
        <w:pStyle w:val="BodyText"/>
        <w:ind w:left="529"/>
        <w:jc w:val="both"/>
      </w:pPr>
      <w:r>
        <w:rPr/>
        <w:t>v</w:t>
      </w:r>
      <w:r>
        <w:rPr>
          <w:spacing w:val="-5"/>
        </w:rPr>
        <w:t> </w:t>
      </w:r>
      <w:r>
        <w:rPr/>
        <w:t>souladu</w:t>
      </w:r>
      <w:r>
        <w:rPr>
          <w:spacing w:val="-6"/>
        </w:rPr>
        <w:t> </w:t>
      </w:r>
      <w:r>
        <w:rPr/>
        <w:t>s</w:t>
      </w:r>
      <w:r>
        <w:rPr>
          <w:spacing w:val="-4"/>
        </w:rPr>
        <w:t> </w:t>
      </w:r>
      <w:r>
        <w:rPr/>
        <w:t>principy</w:t>
      </w:r>
      <w:r>
        <w:rPr>
          <w:spacing w:val="-7"/>
        </w:rPr>
        <w:t> </w:t>
      </w:r>
      <w:r>
        <w:rPr/>
        <w:t>péče</w:t>
      </w:r>
      <w:r>
        <w:rPr>
          <w:spacing w:val="-6"/>
        </w:rPr>
        <w:t> </w:t>
      </w:r>
      <w:r>
        <w:rPr/>
        <w:t>řádného</w:t>
      </w:r>
      <w:r>
        <w:rPr>
          <w:spacing w:val="-5"/>
        </w:rPr>
        <w:t> </w:t>
      </w:r>
      <w:r>
        <w:rPr>
          <w:spacing w:val="-2"/>
        </w:rPr>
        <w:t>hospodáře.</w:t>
      </w:r>
    </w:p>
    <w:p>
      <w:pPr>
        <w:pStyle w:val="ListParagraph"/>
        <w:numPr>
          <w:ilvl w:val="0"/>
          <w:numId w:val="2"/>
        </w:numPr>
        <w:tabs>
          <w:tab w:pos="530" w:val="left" w:leader="none"/>
        </w:tabs>
        <w:spacing w:line="240" w:lineRule="auto" w:before="118" w:after="0"/>
        <w:ind w:left="529" w:right="111" w:hanging="4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„související</w:t>
      </w:r>
      <w:r>
        <w:rPr>
          <w:spacing w:val="-9"/>
          <w:sz w:val="20"/>
        </w:rPr>
        <w:t> </w:t>
      </w:r>
      <w:r>
        <w:rPr>
          <w:sz w:val="20"/>
        </w:rPr>
        <w:t>provozní</w:t>
      </w:r>
      <w:r>
        <w:rPr>
          <w:spacing w:val="-9"/>
          <w:sz w:val="20"/>
        </w:rPr>
        <w:t> </w:t>
      </w:r>
      <w:r>
        <w:rPr>
          <w:sz w:val="20"/>
        </w:rPr>
        <w:t>smlouvy“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smyslu</w:t>
      </w:r>
      <w:r>
        <w:rPr>
          <w:spacing w:val="-7"/>
          <w:sz w:val="20"/>
        </w:rPr>
        <w:t> </w:t>
      </w:r>
      <w:r>
        <w:rPr>
          <w:sz w:val="20"/>
        </w:rPr>
        <w:t>Metodiky</w:t>
      </w:r>
      <w:r>
        <w:rPr>
          <w:spacing w:val="-9"/>
          <w:sz w:val="20"/>
        </w:rPr>
        <w:t> </w:t>
      </w:r>
      <w:r>
        <w:rPr>
          <w:sz w:val="20"/>
        </w:rPr>
        <w:t>s tím,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9"/>
          <w:sz w:val="20"/>
        </w:rPr>
        <w:t> </w:t>
      </w:r>
      <w:r>
        <w:rPr>
          <w:sz w:val="20"/>
        </w:rPr>
        <w:t>platnosti související</w:t>
      </w:r>
      <w:r>
        <w:rPr>
          <w:spacing w:val="-12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2"/>
          <w:sz w:val="20"/>
        </w:rPr>
        <w:t> </w:t>
      </w:r>
      <w:r>
        <w:rPr>
          <w:sz w:val="20"/>
        </w:rPr>
        <w:t>související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smlouvy, oprávněn změnit provozní model.</w:t>
      </w:r>
    </w:p>
    <w:sectPr>
      <w:pgSz w:w="12240" w:h="15840"/>
      <w:pgMar w:header="0" w:footer="957" w:top="132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8035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529" w:hanging="428"/>
        <w:jc w:val="left"/>
      </w:pPr>
      <w:rPr>
        <w:rFonts w:hint="default"/>
        <w:w w:val="99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2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2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2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2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2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2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2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right="1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2025-01-13T09:58:41Z</dcterms:created>
  <dcterms:modified xsi:type="dcterms:W3CDTF">2025-01-13T09:58:41Z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2025-01-13T00:00:00Z</vt:filetime>
  </property>
</Properties>
</file>