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E5598BF" w:rsidR="00D859C2" w:rsidRPr="00726B26" w:rsidRDefault="00B1007D" w:rsidP="00D859C2">
      <w:pPr>
        <w:rPr>
          <w:b/>
        </w:rPr>
      </w:pPr>
      <w:r>
        <w:rPr>
          <w:b/>
        </w:rPr>
        <w:t>BTL zdravotnická technika, a.s.</w:t>
      </w:r>
    </w:p>
    <w:p w14:paraId="3DADA2B1" w14:textId="51FC8D41" w:rsidR="00D859C2" w:rsidRDefault="00D859C2" w:rsidP="00D859C2">
      <w:r>
        <w:t xml:space="preserve">IČ: </w:t>
      </w:r>
      <w:r w:rsidR="00B1007D">
        <w:t>26884143</w:t>
      </w:r>
    </w:p>
    <w:p w14:paraId="494735B8" w14:textId="5ADB78C3" w:rsidR="00D859C2" w:rsidRPr="00512AB9" w:rsidRDefault="00D859C2" w:rsidP="00D859C2">
      <w:r>
        <w:t xml:space="preserve">DIČ: </w:t>
      </w:r>
      <w:r w:rsidR="00B1007D">
        <w:t>CZ26884143</w:t>
      </w:r>
    </w:p>
    <w:p w14:paraId="4BE4B061" w14:textId="29E0085D" w:rsidR="00D859C2" w:rsidRPr="00512AB9" w:rsidRDefault="00D859C2" w:rsidP="00D859C2">
      <w:r>
        <w:t xml:space="preserve">se </w:t>
      </w:r>
      <w:r w:rsidR="0082240A">
        <w:t>sídlem</w:t>
      </w:r>
      <w:r w:rsidR="0082240A" w:rsidRPr="00512AB9">
        <w:t>: Makovského</w:t>
      </w:r>
      <w:r w:rsidR="00B1007D">
        <w:t xml:space="preserve"> náměstí 3147/2, 616 00 Brno</w:t>
      </w:r>
    </w:p>
    <w:p w14:paraId="1F4F5F98" w14:textId="1796942B" w:rsidR="00D859C2" w:rsidRPr="00512AB9" w:rsidRDefault="00D859C2" w:rsidP="00D859C2">
      <w:r>
        <w:t>zastoupena</w:t>
      </w:r>
      <w:r w:rsidRPr="00512AB9">
        <w:t xml:space="preserve">: </w:t>
      </w:r>
      <w:r w:rsidR="00B1007D">
        <w:t>Ing. Radovanem Sedlářem, prokuristou</w:t>
      </w:r>
    </w:p>
    <w:p w14:paraId="43130257" w14:textId="6A524EE6" w:rsidR="00D859C2" w:rsidRPr="00512AB9" w:rsidRDefault="00D859C2" w:rsidP="00D859C2">
      <w:r w:rsidRPr="00512AB9">
        <w:t xml:space="preserve">bankovní spojení: </w:t>
      </w:r>
      <w:r w:rsidR="00B1007D">
        <w:t>ČSOB, a.s.</w:t>
      </w:r>
    </w:p>
    <w:p w14:paraId="4B4D9F51" w14:textId="1AA87A23" w:rsidR="00D859C2" w:rsidRPr="00512AB9" w:rsidRDefault="00B1007D" w:rsidP="00D859C2">
      <w:r>
        <w:t xml:space="preserve">číslo účtu: </w:t>
      </w:r>
      <w:r w:rsidRPr="00B1007D">
        <w:t>478546723/0300</w:t>
      </w:r>
      <w:r>
        <w:t xml:space="preserve"> </w:t>
      </w:r>
    </w:p>
    <w:p w14:paraId="7BE5CCD9" w14:textId="3FA7B70F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B1007D">
        <w:t>Krajským</w:t>
      </w:r>
      <w:r>
        <w:t xml:space="preserve"> </w:t>
      </w:r>
      <w:r w:rsidRPr="00652864">
        <w:t>soudem v </w:t>
      </w:r>
      <w:r w:rsidR="00B1007D">
        <w:t>Brně</w:t>
      </w:r>
      <w:r w:rsidRPr="00652864">
        <w:t>, oddíl</w:t>
      </w:r>
      <w:r w:rsidR="00B1007D">
        <w:t xml:space="preserve"> B</w:t>
      </w:r>
      <w:r w:rsidRPr="00652864">
        <w:t xml:space="preserve">, vložka </w:t>
      </w:r>
      <w:r w:rsidR="00B1007D">
        <w:t>3889</w:t>
      </w:r>
    </w:p>
    <w:p w14:paraId="39F0ACA6" w14:textId="1010580D" w:rsidR="00D859C2" w:rsidRPr="002B77A6" w:rsidRDefault="00B1007D" w:rsidP="00B1007D">
      <w:pPr>
        <w:tabs>
          <w:tab w:val="left" w:pos="1490"/>
        </w:tabs>
        <w:rPr>
          <w:rStyle w:val="platne1"/>
        </w:rPr>
      </w:pPr>
      <w:r>
        <w:rPr>
          <w:rStyle w:val="platne1"/>
        </w:rPr>
        <w:tab/>
      </w: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2065D292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4B2600" w:rsidRPr="004B2600">
        <w:rPr>
          <w:rFonts w:eastAsia="Arial"/>
          <w:b/>
        </w:rPr>
        <w:t>„</w:t>
      </w:r>
      <w:r w:rsidR="0000633B">
        <w:rPr>
          <w:rFonts w:eastAsia="Arial"/>
          <w:b/>
        </w:rPr>
        <w:t>Přístroj pro elektroterapii a UZ terapii</w:t>
      </w:r>
      <w:r w:rsidR="719E714E" w:rsidRPr="38690F1A">
        <w:rPr>
          <w:rFonts w:eastAsia="Arial"/>
        </w:rPr>
        <w:t>“</w:t>
      </w:r>
      <w:r>
        <w:t>,</w:t>
      </w:r>
      <w:r w:rsidR="004B2600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  <w:r w:rsidR="008C2D96">
        <w:t xml:space="preserve"> Plnění této smlouvy bude financováno</w:t>
      </w:r>
      <w:r w:rsidR="008C2D96" w:rsidRPr="008C2D96">
        <w:t xml:space="preserve"> z projektu s</w:t>
      </w:r>
      <w:r w:rsidR="005B3940">
        <w:t> </w:t>
      </w:r>
      <w:r w:rsidR="008C2D96" w:rsidRPr="008C2D96">
        <w:t>názvem</w:t>
      </w:r>
      <w:r w:rsidR="005B3940">
        <w:t xml:space="preserve"> </w:t>
      </w:r>
      <w:r w:rsidR="004B2600">
        <w:t>„Zvýšení kvality a dostupnosti rehabilitační péče ve FN Brno</w:t>
      </w:r>
      <w:r w:rsidR="005B3940">
        <w:t xml:space="preserve">“ </w:t>
      </w:r>
      <w:r w:rsidR="008C2D96" w:rsidRPr="008C2D96">
        <w:t>registrační číslo projektu</w:t>
      </w:r>
      <w:r w:rsidR="004B2600">
        <w:t xml:space="preserve"> </w:t>
      </w:r>
      <w:r w:rsidR="005B3940" w:rsidRPr="004B2600">
        <w:t>CZ</w:t>
      </w:r>
      <w:r w:rsidR="004B2600" w:rsidRPr="004B2600">
        <w:t>.31.7.0/0.0/0.0/23_064/0008289</w:t>
      </w:r>
      <w:r w:rsidR="005B3940">
        <w:t xml:space="preserve"> (dále a výše jen „</w:t>
      </w:r>
      <w:r w:rsidR="005B3940">
        <w:rPr>
          <w:b/>
        </w:rPr>
        <w:t>Projekt</w:t>
      </w:r>
      <w:r w:rsidR="005B3940">
        <w:t>“ a „</w:t>
      </w:r>
      <w:r w:rsidR="005B3940">
        <w:rPr>
          <w:b/>
        </w:rPr>
        <w:t>Číslo Projektu</w:t>
      </w:r>
      <w:r w:rsidR="005B3940">
        <w:t>“)</w:t>
      </w:r>
      <w:r w:rsidR="008C2D96" w:rsidRPr="008C2D96">
        <w:t>, který je financován Evropskou unií z „Nástroje pro oživení a odolnost prostřednictvím Národního plánu obnovy ČR“.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1B9B3857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r w:rsidR="001E2240" w:rsidRPr="00D859C2">
        <w:rPr>
          <w:b/>
        </w:rPr>
        <w:t>ZoZP</w:t>
      </w:r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="00BB1834">
        <w:t>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0294DCDD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B1007D">
        <w:t>12</w:t>
      </w:r>
      <w:r w:rsidR="002F4F30" w:rsidRPr="00D859C2">
        <w:t xml:space="preserve"> ks </w:t>
      </w:r>
      <w:r w:rsidR="00B1007D">
        <w:t>přístroje pro elektroterapii a UZ terapii</w:t>
      </w:r>
      <w:r w:rsidR="008645D8" w:rsidRPr="00D859C2">
        <w:rPr>
          <w:b/>
        </w:rPr>
        <w:t>, typ:</w:t>
      </w:r>
      <w:r w:rsidR="00B1007D">
        <w:rPr>
          <w:b/>
        </w:rPr>
        <w:t>BTL-4825S PREMIUM, BTL-VAC II</w:t>
      </w:r>
      <w:r w:rsidR="004453FF" w:rsidRPr="00D859C2">
        <w:rPr>
          <w:b/>
        </w:rPr>
        <w:t xml:space="preserve">, výrobce </w:t>
      </w:r>
      <w:r w:rsidR="00B1007D">
        <w:rPr>
          <w:b/>
        </w:rPr>
        <w:t>BTL Industires Ltd.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09E59322" w:rsidR="003F7B02" w:rsidRDefault="003A1056" w:rsidP="002D7915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4B2600">
        <w:rPr>
          <w:rFonts w:eastAsia="Arial"/>
          <w:b/>
          <w:bCs/>
        </w:rPr>
        <w:t>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0B013DD2" w14:textId="77777777" w:rsidR="00164E25" w:rsidRPr="00164E25" w:rsidRDefault="00164E25" w:rsidP="00164E25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C" w14:textId="12F753E2" w:rsidR="00BE2371" w:rsidRPr="00D859C2" w:rsidRDefault="003F7B02" w:rsidP="00D859C2">
      <w:pPr>
        <w:pStyle w:val="Odstavecsmlouvy"/>
      </w:pPr>
      <w:r>
        <w:t xml:space="preserve">Místem dodání Zboží </w:t>
      </w:r>
      <w:r w:rsidR="004B2600">
        <w:t>je Rehabilitační oddělení, Fakultní nemocnice Brno, Jihlavská 20, 25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3A14946A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004B2600">
        <w:t xml:space="preserve"> </w:t>
      </w:r>
      <w:r w:rsidR="00155142">
        <w:t>XXXXXXXXX</w:t>
      </w:r>
      <w:r w:rsidR="00DE3A3F">
        <w:t xml:space="preserve">, tel.: </w:t>
      </w:r>
      <w:r w:rsidR="00155142">
        <w:t>XXXXXXXXXX</w:t>
      </w:r>
      <w:r w:rsidR="004B2600">
        <w:rPr>
          <w:rFonts w:eastAsia="Arial"/>
          <w:b/>
          <w:bCs/>
        </w:rPr>
        <w:t xml:space="preserve"> </w:t>
      </w:r>
      <w:r w:rsidR="004B2600">
        <w:t xml:space="preserve">a písemně na e-mail: </w:t>
      </w:r>
      <w:r w:rsidR="00155142">
        <w:t>XXXXXXXXX</w:t>
      </w:r>
      <w:r w:rsidR="004B2600" w:rsidRPr="00155142">
        <w:t>@fnbrno.cz</w:t>
      </w:r>
      <w:r w:rsidR="004B2600">
        <w:t xml:space="preserve"> </w:t>
      </w:r>
      <w:r>
        <w:t>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</w:t>
      </w:r>
      <w:r>
        <w:lastRenderedPageBreak/>
        <w:t>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</w:t>
      </w:r>
      <w:r>
        <w:lastRenderedPageBreak/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03"/>
        <w:gridCol w:w="3760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D35A51C" w:rsidR="00D859C2" w:rsidRPr="005B49AA" w:rsidRDefault="00B1007D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1 812 000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1A7E3C7D" w:rsidR="00D859C2" w:rsidRPr="005B49AA" w:rsidRDefault="00D859C2" w:rsidP="00B1007D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B1007D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>%:</w:t>
            </w:r>
          </w:p>
        </w:tc>
        <w:tc>
          <w:tcPr>
            <w:tcW w:w="4253" w:type="dxa"/>
            <w:shd w:val="clear" w:color="auto" w:fill="auto"/>
          </w:tcPr>
          <w:p w14:paraId="44D4CFEA" w14:textId="747DAC40" w:rsidR="00D859C2" w:rsidRPr="005B49AA" w:rsidRDefault="00B1007D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380 520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270A27DF" w:rsidR="00D859C2" w:rsidRPr="005B49AA" w:rsidRDefault="00B1007D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2 192 520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1C76B3E6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164E25">
        <w:t>3</w:t>
      </w:r>
      <w:r w:rsidRPr="00D859C2">
        <w:t xml:space="preserve">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 xml:space="preserve">splňovat veškeré náležitosti daňového a účetního dokladu stanovené právními předpisy, zejména musí splňovat ustanovení </w:t>
      </w:r>
      <w:r w:rsidRPr="00D859C2">
        <w:rPr>
          <w:color w:val="000000"/>
        </w:rPr>
        <w:lastRenderedPageBreak/>
        <w:t>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95312">
        <w:t>, Projekt, Číslo Projektu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</w:t>
      </w:r>
      <w:r w:rsidRPr="00D859C2">
        <w:lastRenderedPageBreak/>
        <w:t xml:space="preserve">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3B663D52" w14:textId="4F1A34B8" w:rsidR="005B3940" w:rsidRDefault="005B3940" w:rsidP="005B3940">
      <w:pPr>
        <w:pStyle w:val="Odstavecsmlouvy"/>
      </w:pPr>
      <w:r>
        <w:t>Nestanoví-li právní předpisy dobu delší, je Prodávající povinen uchovávat veškerou dokumentaci související s realizací Projektu včetně účetních dokladů minimálně do 31. 12. 2036. Nestanoví</w:t>
      </w:r>
      <w:r>
        <w:noBreakHyphen/>
        <w:t xml:space="preserve">li právní předpisy dobu delší, je Prodávající povinen minimálně </w:t>
      </w:r>
      <w:r w:rsidRPr="005B3940">
        <w:t>do 31. 12. 2036 poskytovat požadované informace a dokumentaci (včetně účetních dokladů) související s</w:t>
      </w:r>
      <w:r>
        <w:t> plněním této smlouvy</w:t>
      </w:r>
      <w:r w:rsidRPr="005B3940">
        <w:t xml:space="preserve"> zaměstnancům nebo zmocněncům pověřených orgánů (O</w:t>
      </w:r>
      <w:r>
        <w:t>LAF – Evropského</w:t>
      </w:r>
      <w:r w:rsidRPr="005B3940">
        <w:t xml:space="preserve"> úřad</w:t>
      </w:r>
      <w:r>
        <w:t>u</w:t>
      </w:r>
      <w:r w:rsidRPr="005B3940">
        <w:t xml:space="preserve"> pro boj proti podvodům, Úřad</w:t>
      </w:r>
      <w:r>
        <w:t>u</w:t>
      </w:r>
      <w:r w:rsidRPr="005B3940">
        <w:t xml:space="preserve"> evropského veřejného žalobce, Ministerstva financí ČR, Evropské komise, Evropského účetního dvora, Ministerstva zdravotnictví ČR, Nejvyššího kontrolního úřadu a dalším </w:t>
      </w:r>
      <w:r w:rsidRPr="005B3940">
        <w:lastRenderedPageBreak/>
        <w:t xml:space="preserve">příslušným vnitrostátním orgánům). </w:t>
      </w:r>
      <w:r>
        <w:t>Prodávající</w:t>
      </w:r>
      <w:r w:rsidRPr="005B3940">
        <w:t xml:space="preserve"> se dále zavazuje vytvořit výše uvedeným osobám </w:t>
      </w:r>
      <w:r w:rsidR="00795312">
        <w:t xml:space="preserve">a orgánům </w:t>
      </w:r>
      <w:r w:rsidRPr="005B3940">
        <w:t>podmínky k provedení kontroly vztahující se k</w:t>
      </w:r>
      <w:r w:rsidR="00795312">
        <w:t> plnění této smlouvy</w:t>
      </w:r>
      <w:r w:rsidRPr="005B3940">
        <w:t xml:space="preserve"> a poskytnout jim při provádění kontroly součinnost.</w:t>
      </w:r>
    </w:p>
    <w:p w14:paraId="0A39807E" w14:textId="77777777" w:rsidR="005B3940" w:rsidRDefault="005B3940" w:rsidP="005B3940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C28039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64E25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64E25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1942AC6F" w14:textId="77777777" w:rsidR="004B2600" w:rsidRDefault="004B2600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DDDD33A" w14:textId="77777777" w:rsidR="004B2600" w:rsidRPr="00D859C2" w:rsidRDefault="004B2600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5"/>
        <w:gridCol w:w="999"/>
        <w:gridCol w:w="3791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0B909725" w:rsidR="00094B12" w:rsidRPr="00D722DC" w:rsidRDefault="00094B12" w:rsidP="00B100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B1007D">
              <w:rPr>
                <w:sz w:val="22"/>
                <w:szCs w:val="22"/>
              </w:rPr>
              <w:t xml:space="preserve"> Praze </w:t>
            </w:r>
            <w:r w:rsidRPr="001150C5">
              <w:rPr>
                <w:sz w:val="22"/>
                <w:szCs w:val="22"/>
              </w:rPr>
              <w:t>dne</w:t>
            </w:r>
            <w:r w:rsidR="00B100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6AD41B4" w14:textId="77777777" w:rsidR="000C0132" w:rsidRDefault="000C013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04D64A74" w:rsidR="00094B12" w:rsidRPr="001150C5" w:rsidRDefault="00B1007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BTL zdravotnická technika, a.s.</w:t>
            </w:r>
          </w:p>
          <w:p w14:paraId="17D23793" w14:textId="31825373" w:rsidR="00094B12" w:rsidRPr="00D722DC" w:rsidRDefault="00B1007D" w:rsidP="00B100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Radovan Sedlář, prokurista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6F519080" w:rsidR="00A05D45" w:rsidRDefault="00A05D45" w:rsidP="00994805">
      <w:pPr>
        <w:ind w:left="284" w:hanging="5"/>
      </w:pPr>
    </w:p>
    <w:p w14:paraId="57087D8A" w14:textId="4D52A09E" w:rsidR="00904523" w:rsidRPr="00904523" w:rsidRDefault="00C17390" w:rsidP="009045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Přístroj: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904523" w:rsidRPr="00904523">
        <w:rPr>
          <w:rFonts w:ascii="Calibri" w:hAnsi="Calibri" w:cs="Calibri"/>
          <w:b/>
          <w:sz w:val="20"/>
          <w:szCs w:val="20"/>
        </w:rPr>
        <w:t xml:space="preserve">BTL-4825S PREMIUM </w:t>
      </w:r>
      <w:r w:rsidR="00904523" w:rsidRPr="00904523">
        <w:rPr>
          <w:rFonts w:ascii="Calibri" w:hAnsi="Calibri" w:cs="Calibri"/>
          <w:sz w:val="20"/>
          <w:szCs w:val="20"/>
        </w:rPr>
        <w:t xml:space="preserve">- kombinovaný elektroléčebný přístroj s terapeutickým ultrazvukem </w:t>
      </w:r>
    </w:p>
    <w:p w14:paraId="6BC60DD7" w14:textId="75E8AA4E" w:rsidR="00904523" w:rsidRDefault="00C17390" w:rsidP="009045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904523" w:rsidRPr="00904523">
        <w:rPr>
          <w:rFonts w:ascii="Calibri" w:hAnsi="Calibri" w:cs="Calibri"/>
          <w:b/>
          <w:sz w:val="20"/>
          <w:szCs w:val="20"/>
        </w:rPr>
        <w:t xml:space="preserve">BTL-VAC II </w:t>
      </w:r>
      <w:r w:rsidR="00904523" w:rsidRPr="00904523">
        <w:rPr>
          <w:rFonts w:ascii="Calibri" w:hAnsi="Calibri" w:cs="Calibri"/>
          <w:sz w:val="20"/>
          <w:szCs w:val="20"/>
        </w:rPr>
        <w:t>– vakuová jednotka</w:t>
      </w:r>
      <w:r w:rsidR="00904523" w:rsidRPr="00904523">
        <w:rPr>
          <w:rFonts w:ascii="Calibri" w:hAnsi="Calibri" w:cs="Calibri"/>
          <w:b/>
          <w:sz w:val="20"/>
          <w:szCs w:val="20"/>
        </w:rPr>
        <w:t xml:space="preserve"> </w:t>
      </w:r>
    </w:p>
    <w:p w14:paraId="7EA43405" w14:textId="79DA7B87" w:rsidR="00C17390" w:rsidRPr="00904523" w:rsidRDefault="00C17390" w:rsidP="00C17390">
      <w:pPr>
        <w:autoSpaceDE w:val="0"/>
        <w:autoSpaceDN w:val="0"/>
        <w:adjustRightInd w:val="0"/>
        <w:spacing w:before="240" w:line="240" w:lineRule="auto"/>
        <w:jc w:val="lef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Výrobce: </w:t>
      </w:r>
      <w:r>
        <w:rPr>
          <w:rFonts w:ascii="Calibri" w:hAnsi="Calibri" w:cs="Calibri"/>
          <w:b/>
          <w:sz w:val="20"/>
          <w:szCs w:val="20"/>
        </w:rPr>
        <w:tab/>
        <w:t>BTL Industries Ltd.</w:t>
      </w:r>
    </w:p>
    <w:p w14:paraId="7BC50280" w14:textId="7E229496" w:rsidR="00904523" w:rsidRPr="00904523" w:rsidRDefault="00C17390" w:rsidP="009045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904523">
        <w:rPr>
          <w:rFonts w:ascii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90F864" wp14:editId="5FE04609">
            <wp:simplePos x="0" y="0"/>
            <wp:positionH relativeFrom="column">
              <wp:posOffset>4364355</wp:posOffset>
            </wp:positionH>
            <wp:positionV relativeFrom="paragraph">
              <wp:posOffset>77470</wp:posOffset>
            </wp:positionV>
            <wp:extent cx="1397000" cy="2581910"/>
            <wp:effectExtent l="0" t="0" r="0" b="88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DF3DE" w14:textId="2091E6D6" w:rsidR="00904523" w:rsidRPr="00904523" w:rsidRDefault="00904523" w:rsidP="00904523">
      <w:pPr>
        <w:autoSpaceDE w:val="0"/>
        <w:autoSpaceDN w:val="0"/>
        <w:adjustRightInd w:val="0"/>
        <w:spacing w:line="240" w:lineRule="auto"/>
        <w:jc w:val="left"/>
        <w:rPr>
          <w:rFonts w:ascii="Gotham-Book" w:hAnsi="Gotham-Book" w:cs="Gotham-Book"/>
          <w:b/>
          <w:sz w:val="20"/>
          <w:szCs w:val="20"/>
        </w:rPr>
      </w:pPr>
    </w:p>
    <w:p w14:paraId="765DDB1B" w14:textId="21420E12" w:rsidR="00C17390" w:rsidRDefault="00C17390" w:rsidP="009045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5C815FCB" w14:textId="77777777" w:rsidR="00904523" w:rsidRPr="00904523" w:rsidRDefault="00904523" w:rsidP="009045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904523">
        <w:rPr>
          <w:rFonts w:ascii="Calibri" w:hAnsi="Calibri" w:cs="Calibri"/>
          <w:b/>
          <w:sz w:val="20"/>
          <w:szCs w:val="20"/>
          <w:u w:val="single"/>
        </w:rPr>
        <w:t>Technické parametry:</w:t>
      </w:r>
    </w:p>
    <w:p w14:paraId="6A44C7E9" w14:textId="77777777" w:rsidR="00904523" w:rsidRPr="00904523" w:rsidRDefault="00904523" w:rsidP="00904523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6BB61553" w14:textId="77777777" w:rsidR="00904523" w:rsidRPr="00904523" w:rsidRDefault="00904523" w:rsidP="00904523">
      <w:pPr>
        <w:spacing w:line="240" w:lineRule="auto"/>
        <w:ind w:left="708"/>
        <w:rPr>
          <w:rFonts w:ascii="Calibri" w:hAnsi="Calibri"/>
          <w:b/>
          <w:sz w:val="20"/>
          <w:szCs w:val="24"/>
        </w:rPr>
      </w:pPr>
      <w:r w:rsidRPr="00904523">
        <w:rPr>
          <w:rFonts w:ascii="Calibri" w:hAnsi="Calibri"/>
          <w:b/>
          <w:sz w:val="20"/>
          <w:szCs w:val="24"/>
        </w:rPr>
        <w:t>Obecné parametry přístroje</w:t>
      </w:r>
    </w:p>
    <w:p w14:paraId="435D0FA2" w14:textId="77777777" w:rsidR="00904523" w:rsidRPr="00904523" w:rsidRDefault="00904523" w:rsidP="00904523">
      <w:pPr>
        <w:numPr>
          <w:ilvl w:val="0"/>
          <w:numId w:val="19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Barevný dotykový displej 7"</w:t>
      </w:r>
    </w:p>
    <w:p w14:paraId="642D84B4" w14:textId="77777777" w:rsidR="00904523" w:rsidRPr="00904523" w:rsidRDefault="00904523" w:rsidP="00904523">
      <w:pPr>
        <w:numPr>
          <w:ilvl w:val="0"/>
          <w:numId w:val="19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Možnost kombinované terapie – elektroléčba + ultrazvuk</w:t>
      </w:r>
    </w:p>
    <w:p w14:paraId="4148D8D7" w14:textId="77777777" w:rsidR="00904523" w:rsidRPr="00904523" w:rsidRDefault="00904523" w:rsidP="00904523">
      <w:pPr>
        <w:numPr>
          <w:ilvl w:val="0"/>
          <w:numId w:val="19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Vestavěná uživatelská příručka a nápověda</w:t>
      </w:r>
    </w:p>
    <w:p w14:paraId="22B375B7" w14:textId="77777777" w:rsidR="00904523" w:rsidRPr="00904523" w:rsidRDefault="00904523" w:rsidP="00904523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/>
          <w:sz w:val="20"/>
          <w:szCs w:val="20"/>
        </w:rPr>
      </w:pPr>
      <w:r w:rsidRPr="00904523">
        <w:rPr>
          <w:rFonts w:ascii="Calibri" w:hAnsi="Calibri"/>
          <w:sz w:val="20"/>
          <w:szCs w:val="20"/>
        </w:rPr>
        <w:t>Databáze pacientů</w:t>
      </w:r>
    </w:p>
    <w:p w14:paraId="59B7BD81" w14:textId="77777777" w:rsidR="00904523" w:rsidRPr="00904523" w:rsidRDefault="00904523" w:rsidP="00904523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/>
          <w:sz w:val="20"/>
          <w:szCs w:val="20"/>
        </w:rPr>
      </w:pPr>
      <w:r w:rsidRPr="00904523">
        <w:rPr>
          <w:rFonts w:ascii="Calibri" w:hAnsi="Calibri"/>
          <w:sz w:val="20"/>
          <w:szCs w:val="20"/>
        </w:rPr>
        <w:t>Quick volba – rychlé spouštění nejčastějších programů</w:t>
      </w:r>
    </w:p>
    <w:p w14:paraId="78EDD766" w14:textId="77777777" w:rsidR="00904523" w:rsidRPr="00904523" w:rsidRDefault="00904523" w:rsidP="00904523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/>
          <w:sz w:val="20"/>
          <w:szCs w:val="20"/>
        </w:rPr>
      </w:pPr>
      <w:r w:rsidRPr="00904523">
        <w:rPr>
          <w:rFonts w:ascii="Calibri" w:hAnsi="Calibri"/>
          <w:sz w:val="20"/>
          <w:szCs w:val="20"/>
        </w:rPr>
        <w:t>Anatomická navigace</w:t>
      </w:r>
    </w:p>
    <w:p w14:paraId="576D6694" w14:textId="77777777" w:rsidR="00904523" w:rsidRPr="00904523" w:rsidRDefault="00904523" w:rsidP="00904523">
      <w:pPr>
        <w:numPr>
          <w:ilvl w:val="0"/>
          <w:numId w:val="19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Automatická identifikace a kontrola funkčnosti připojeného příslušenství</w:t>
      </w:r>
    </w:p>
    <w:p w14:paraId="1B0525CB" w14:textId="77777777" w:rsidR="00904523" w:rsidRPr="00904523" w:rsidRDefault="00904523" w:rsidP="00904523">
      <w:pPr>
        <w:numPr>
          <w:ilvl w:val="0"/>
          <w:numId w:val="19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Ovládání přístroje v českém jazyce</w:t>
      </w:r>
    </w:p>
    <w:p w14:paraId="2F87910C" w14:textId="77777777" w:rsidR="00904523" w:rsidRPr="00904523" w:rsidRDefault="00904523" w:rsidP="00904523">
      <w:pPr>
        <w:autoSpaceDE w:val="0"/>
        <w:autoSpaceDN w:val="0"/>
        <w:adjustRightInd w:val="0"/>
        <w:spacing w:line="240" w:lineRule="auto"/>
        <w:rPr>
          <w:rFonts w:ascii="Calibri" w:hAnsi="Calibri" w:cs="Times New Roman"/>
          <w:sz w:val="20"/>
          <w:szCs w:val="20"/>
        </w:rPr>
      </w:pPr>
    </w:p>
    <w:p w14:paraId="7ED44AF4" w14:textId="77777777" w:rsidR="00904523" w:rsidRPr="00904523" w:rsidRDefault="00904523" w:rsidP="00904523">
      <w:pPr>
        <w:autoSpaceDE w:val="0"/>
        <w:autoSpaceDN w:val="0"/>
        <w:adjustRightInd w:val="0"/>
        <w:spacing w:line="240" w:lineRule="auto"/>
        <w:rPr>
          <w:rFonts w:ascii="Calibri" w:hAnsi="Calibri" w:cs="Times New Roman"/>
          <w:b/>
          <w:sz w:val="20"/>
          <w:szCs w:val="20"/>
        </w:rPr>
      </w:pPr>
      <w:r w:rsidRPr="00904523">
        <w:rPr>
          <w:rFonts w:ascii="Calibri" w:hAnsi="Calibri" w:cs="Times New Roman"/>
          <w:sz w:val="20"/>
          <w:szCs w:val="20"/>
        </w:rPr>
        <w:tab/>
      </w:r>
      <w:r w:rsidRPr="00904523">
        <w:rPr>
          <w:rFonts w:ascii="Calibri" w:hAnsi="Calibri" w:cs="Times New Roman"/>
          <w:b/>
          <w:sz w:val="20"/>
          <w:szCs w:val="20"/>
        </w:rPr>
        <w:t>Elektroléčba</w:t>
      </w:r>
    </w:p>
    <w:p w14:paraId="314C6B6D" w14:textId="77777777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</w:rPr>
      </w:pPr>
      <w:r w:rsidRPr="00904523">
        <w:rPr>
          <w:rFonts w:ascii="Calibri" w:hAnsi="Calibri" w:cs="Times New Roman"/>
          <w:sz w:val="20"/>
        </w:rPr>
        <w:t>2-kanálová elektroléčba</w:t>
      </w:r>
    </w:p>
    <w:p w14:paraId="5BC206F1" w14:textId="77777777" w:rsidR="00904523" w:rsidRPr="00904523" w:rsidRDefault="00904523" w:rsidP="00904523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Calibri" w:eastAsia="MS Mincho" w:hAnsi="Calibri"/>
          <w:snapToGrid w:val="0"/>
          <w:sz w:val="20"/>
          <w:szCs w:val="20"/>
          <w:lang w:eastAsia="ja-JP"/>
        </w:rPr>
      </w:pPr>
      <w:r w:rsidRPr="00904523">
        <w:rPr>
          <w:rFonts w:ascii="Calibri" w:eastAsia="MS Mincho" w:hAnsi="Calibri"/>
          <w:snapToGrid w:val="0"/>
          <w:sz w:val="20"/>
          <w:szCs w:val="20"/>
          <w:lang w:eastAsia="ja-JP"/>
        </w:rPr>
        <w:t>Nabídka proudů – TENS, Galvan, Diadynamik, Traebert, faradický, neofaradický, Exponenciální pulsy, pulzy s exponenciálním náběhem, pravoúhlé pulzy, Ruská stimulace, Stimulační pulzy, Lichoběžníkové pulzy, Šikmé pulzy, kombinované pulzy, NPHV, sekvence, 2-pólová interference, 4-pólová interference, izoplanární vektorové pole, přerušované pulzy, Leducův proud, H-vlny, mikroproudy, středofrekvenční proudy, spastická stimulace dle Hufschmidta, spastická stimulace dle Jantsche, HVT, IG pulzy, Modulovaný pulzní proud, VMS proud, Kotzův proud, EPIR – elektrická postizometrická relaxace</w:t>
      </w:r>
    </w:p>
    <w:p w14:paraId="3D913D4B" w14:textId="77777777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3882627" wp14:editId="3D63CA16">
            <wp:simplePos x="0" y="0"/>
            <wp:positionH relativeFrom="column">
              <wp:posOffset>4573270</wp:posOffset>
            </wp:positionH>
            <wp:positionV relativeFrom="paragraph">
              <wp:posOffset>53340</wp:posOffset>
            </wp:positionV>
            <wp:extent cx="1320165" cy="680720"/>
            <wp:effectExtent l="0" t="0" r="0" b="508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523">
        <w:rPr>
          <w:rFonts w:ascii="Calibri" w:hAnsi="Calibri"/>
          <w:bCs/>
          <w:sz w:val="20"/>
          <w:szCs w:val="20"/>
        </w:rPr>
        <w:t>Elektrodiagnostika (I/t křivka, reobáze, chronaxie, akomodační koeficient)</w:t>
      </w:r>
    </w:p>
    <w:p w14:paraId="07E935C0" w14:textId="77777777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HVT (vysokonapěťová terapie)</w:t>
      </w:r>
    </w:p>
    <w:p w14:paraId="18BFAF84" w14:textId="77777777" w:rsid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Test kvality elektrod a pacientských kabelů</w:t>
      </w:r>
    </w:p>
    <w:p w14:paraId="1971E2F7" w14:textId="7AFAD284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Bodová elektroda 6mm + držák</w:t>
      </w:r>
    </w:p>
    <w:p w14:paraId="0CBD073D" w14:textId="77777777" w:rsidR="00904523" w:rsidRPr="00904523" w:rsidRDefault="00904523" w:rsidP="00904523">
      <w:pPr>
        <w:spacing w:line="240" w:lineRule="auto"/>
        <w:ind w:left="720"/>
        <w:rPr>
          <w:rFonts w:ascii="Calibri" w:hAnsi="Calibri"/>
          <w:b/>
          <w:bCs/>
          <w:color w:val="CC3399"/>
          <w:sz w:val="20"/>
          <w:szCs w:val="20"/>
        </w:rPr>
      </w:pPr>
    </w:p>
    <w:p w14:paraId="4ACB700C" w14:textId="77777777" w:rsidR="00904523" w:rsidRPr="00904523" w:rsidRDefault="00904523" w:rsidP="00904523">
      <w:pPr>
        <w:spacing w:line="240" w:lineRule="auto"/>
        <w:ind w:left="720"/>
        <w:rPr>
          <w:rFonts w:ascii="Calibri" w:hAnsi="Calibri"/>
          <w:b/>
          <w:bCs/>
          <w:sz w:val="20"/>
          <w:szCs w:val="20"/>
        </w:rPr>
      </w:pPr>
      <w:r w:rsidRPr="00904523">
        <w:rPr>
          <w:rFonts w:ascii="Calibri" w:hAnsi="Calibri"/>
          <w:b/>
          <w:bCs/>
          <w:sz w:val="20"/>
          <w:szCs w:val="20"/>
        </w:rPr>
        <w:t>Ultrazvuk</w:t>
      </w:r>
    </w:p>
    <w:p w14:paraId="799661BC" w14:textId="5AC451BB" w:rsidR="00904523" w:rsidRPr="00904523" w:rsidRDefault="00904523" w:rsidP="00904523">
      <w:pPr>
        <w:numPr>
          <w:ilvl w:val="0"/>
          <w:numId w:val="18"/>
        </w:numPr>
        <w:spacing w:line="240" w:lineRule="auto"/>
        <w:jc w:val="left"/>
        <w:rPr>
          <w:rFonts w:ascii="Calibri" w:hAnsi="Calibri" w:cs="Times New Roman"/>
          <w:sz w:val="20"/>
        </w:rPr>
      </w:pPr>
      <w:r w:rsidRPr="00904523">
        <w:rPr>
          <w:rFonts w:ascii="Calibri" w:hAnsi="Calibri" w:cs="Times New Roman"/>
          <w:sz w:val="20"/>
        </w:rPr>
        <w:t xml:space="preserve">1-kanálový ultrazvuk se 2 výstupy pro současné připojení 2 aplikátorů </w:t>
      </w:r>
    </w:p>
    <w:p w14:paraId="19306049" w14:textId="38805CCF" w:rsidR="00904523" w:rsidRPr="00904523" w:rsidRDefault="00904523" w:rsidP="00904523">
      <w:pPr>
        <w:numPr>
          <w:ilvl w:val="0"/>
          <w:numId w:val="18"/>
        </w:numPr>
        <w:spacing w:line="240" w:lineRule="auto"/>
        <w:jc w:val="left"/>
        <w:rPr>
          <w:rFonts w:ascii="Calibri" w:hAnsi="Calibri" w:cs="Times New Roman"/>
          <w:sz w:val="20"/>
        </w:rPr>
      </w:pPr>
      <w:r w:rsidRPr="00904523">
        <w:rPr>
          <w:rFonts w:ascii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BBBD874" wp14:editId="269B99E9">
            <wp:simplePos x="0" y="0"/>
            <wp:positionH relativeFrom="column">
              <wp:posOffset>4618355</wp:posOffset>
            </wp:positionH>
            <wp:positionV relativeFrom="paragraph">
              <wp:posOffset>7620</wp:posOffset>
            </wp:positionV>
            <wp:extent cx="1338580" cy="71056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523">
        <w:rPr>
          <w:rFonts w:ascii="Calibri" w:hAnsi="Calibri" w:cs="Times New Roman"/>
          <w:sz w:val="20"/>
        </w:rPr>
        <w:t>Multifrekvenční hlavice (1 MHz a 3 MHz)</w:t>
      </w:r>
    </w:p>
    <w:p w14:paraId="6FEA9514" w14:textId="132FE68F" w:rsidR="00904523" w:rsidRPr="00904523" w:rsidRDefault="00904523" w:rsidP="00904523">
      <w:pPr>
        <w:numPr>
          <w:ilvl w:val="0"/>
          <w:numId w:val="18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Aplikační plocha UZ hlavice 5 cm2</w:t>
      </w:r>
      <w:r>
        <w:rPr>
          <w:rFonts w:ascii="Calibri" w:hAnsi="Calibri"/>
          <w:bCs/>
          <w:sz w:val="20"/>
          <w:szCs w:val="20"/>
        </w:rPr>
        <w:t xml:space="preserve"> </w:t>
      </w:r>
    </w:p>
    <w:p w14:paraId="156601D3" w14:textId="72FAC559" w:rsidR="00904523" w:rsidRPr="00904523" w:rsidRDefault="00904523" w:rsidP="00904523">
      <w:pPr>
        <w:numPr>
          <w:ilvl w:val="0"/>
          <w:numId w:val="18"/>
        </w:numPr>
        <w:spacing w:line="240" w:lineRule="auto"/>
        <w:jc w:val="left"/>
        <w:rPr>
          <w:rFonts w:ascii="Calibri" w:hAnsi="Calibri" w:cs="Times New Roman"/>
          <w:sz w:val="20"/>
        </w:rPr>
      </w:pPr>
      <w:r w:rsidRPr="00904523">
        <w:rPr>
          <w:rFonts w:ascii="Calibri" w:hAnsi="Calibri" w:cs="Times New Roman"/>
          <w:sz w:val="20"/>
        </w:rPr>
        <w:t>Možnost alternující frekvence</w:t>
      </w:r>
      <w:r>
        <w:rPr>
          <w:rFonts w:ascii="Calibri" w:hAnsi="Calibri" w:cs="Times New Roman"/>
          <w:sz w:val="20"/>
        </w:rPr>
        <w:t xml:space="preserve"> - </w:t>
      </w:r>
      <w:r w:rsidRPr="00904523">
        <w:rPr>
          <w:rFonts w:ascii="Calibri" w:hAnsi="Calibri" w:cs="Times New Roman"/>
          <w:sz w:val="20"/>
        </w:rPr>
        <w:t xml:space="preserve">automatické </w:t>
      </w:r>
      <w:r>
        <w:rPr>
          <w:rFonts w:ascii="Calibri" w:hAnsi="Calibri" w:cs="Times New Roman"/>
          <w:sz w:val="20"/>
        </w:rPr>
        <w:t>střídání frekvencí pro 3D efekt</w:t>
      </w:r>
    </w:p>
    <w:p w14:paraId="0560C250" w14:textId="77777777" w:rsidR="00904523" w:rsidRPr="00904523" w:rsidRDefault="00904523" w:rsidP="00904523">
      <w:pPr>
        <w:numPr>
          <w:ilvl w:val="0"/>
          <w:numId w:val="18"/>
        </w:numPr>
        <w:spacing w:line="240" w:lineRule="auto"/>
        <w:jc w:val="left"/>
        <w:rPr>
          <w:rFonts w:ascii="Calibri" w:hAnsi="Calibri" w:cs="Times New Roman"/>
          <w:sz w:val="20"/>
        </w:rPr>
      </w:pPr>
      <w:r w:rsidRPr="00904523">
        <w:rPr>
          <w:rFonts w:ascii="Calibri" w:hAnsi="Calibri" w:cs="Times New Roman"/>
          <w:sz w:val="20"/>
        </w:rPr>
        <w:t>Kontinuální a pulzní UZ režim</w:t>
      </w:r>
    </w:p>
    <w:p w14:paraId="6C0B358D" w14:textId="77777777" w:rsidR="00904523" w:rsidRPr="00904523" w:rsidRDefault="00904523" w:rsidP="00904523">
      <w:pPr>
        <w:numPr>
          <w:ilvl w:val="0"/>
          <w:numId w:val="18"/>
        </w:numPr>
        <w:spacing w:line="240" w:lineRule="auto"/>
        <w:jc w:val="left"/>
        <w:rPr>
          <w:rFonts w:ascii="Calibri" w:hAnsi="Calibri" w:cs="Times New Roman"/>
          <w:sz w:val="20"/>
        </w:rPr>
      </w:pPr>
      <w:r w:rsidRPr="00904523">
        <w:rPr>
          <w:rFonts w:ascii="Calibri" w:hAnsi="Calibri" w:cs="Times New Roman"/>
          <w:sz w:val="20"/>
        </w:rPr>
        <w:t>Předehřívané a vodotěsné ultrazvukové hlavice</w:t>
      </w:r>
    </w:p>
    <w:p w14:paraId="05124ECC" w14:textId="77777777" w:rsidR="00904523" w:rsidRPr="00904523" w:rsidRDefault="00904523" w:rsidP="00904523">
      <w:pPr>
        <w:numPr>
          <w:ilvl w:val="0"/>
          <w:numId w:val="18"/>
        </w:numPr>
        <w:spacing w:line="240" w:lineRule="auto"/>
        <w:jc w:val="left"/>
        <w:rPr>
          <w:rFonts w:ascii="Calibri" w:hAnsi="Calibri" w:cs="Times New Roman"/>
          <w:sz w:val="20"/>
        </w:rPr>
      </w:pPr>
      <w:r w:rsidRPr="00904523">
        <w:rPr>
          <w:rFonts w:ascii="Calibri" w:hAnsi="Calibri" w:cs="Times New Roman"/>
          <w:sz w:val="20"/>
        </w:rPr>
        <w:t>Dvojitý indikátor kontaktu UZ hlavice (na displeji + akustická signalizace)</w:t>
      </w:r>
    </w:p>
    <w:p w14:paraId="2A65A33B" w14:textId="77777777" w:rsidR="00904523" w:rsidRPr="00904523" w:rsidRDefault="00904523" w:rsidP="00904523">
      <w:pPr>
        <w:autoSpaceDE w:val="0"/>
        <w:autoSpaceDN w:val="0"/>
        <w:adjustRightInd w:val="0"/>
        <w:spacing w:line="240" w:lineRule="auto"/>
        <w:ind w:left="720"/>
        <w:jc w:val="left"/>
        <w:rPr>
          <w:rFonts w:ascii="Calibri" w:hAnsi="Calibri"/>
          <w:sz w:val="20"/>
          <w:szCs w:val="20"/>
        </w:rPr>
      </w:pPr>
    </w:p>
    <w:p w14:paraId="1833CDFA" w14:textId="3733F646" w:rsidR="00904523" w:rsidRPr="00904523" w:rsidRDefault="00904523" w:rsidP="00904523">
      <w:pPr>
        <w:spacing w:line="240" w:lineRule="auto"/>
        <w:ind w:left="708"/>
        <w:rPr>
          <w:rFonts w:ascii="Calibri" w:hAnsi="Calibri"/>
          <w:b/>
          <w:sz w:val="20"/>
          <w:szCs w:val="24"/>
        </w:rPr>
      </w:pPr>
      <w:r w:rsidRPr="00904523">
        <w:rPr>
          <w:rFonts w:ascii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969B4F7" wp14:editId="1480A737">
            <wp:simplePos x="0" y="0"/>
            <wp:positionH relativeFrom="column">
              <wp:posOffset>4783455</wp:posOffset>
            </wp:positionH>
            <wp:positionV relativeFrom="paragraph">
              <wp:posOffset>147320</wp:posOffset>
            </wp:positionV>
            <wp:extent cx="898525" cy="61404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523">
        <w:rPr>
          <w:rFonts w:ascii="Calibri" w:hAnsi="Calibri"/>
          <w:b/>
          <w:sz w:val="20"/>
          <w:szCs w:val="24"/>
        </w:rPr>
        <w:t>Vakuová jednotka</w:t>
      </w:r>
    </w:p>
    <w:p w14:paraId="1671A47F" w14:textId="00E39E13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Integrovaná vakuová jednotka do přístrojového stolku</w:t>
      </w:r>
    </w:p>
    <w:p w14:paraId="20C06A37" w14:textId="77777777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Nádobka na kondenzát integrovaná do přístroje</w:t>
      </w:r>
    </w:p>
    <w:p w14:paraId="10B77DCD" w14:textId="77777777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Možnost volby mezi kontinuálním režimem a pulzními režimy</w:t>
      </w:r>
    </w:p>
    <w:p w14:paraId="6A61CF54" w14:textId="77777777" w:rsidR="00904523" w:rsidRPr="00904523" w:rsidRDefault="00904523" w:rsidP="00904523">
      <w:pPr>
        <w:numPr>
          <w:ilvl w:val="0"/>
          <w:numId w:val="17"/>
        </w:numPr>
        <w:spacing w:line="240" w:lineRule="auto"/>
        <w:jc w:val="left"/>
        <w:rPr>
          <w:rFonts w:ascii="Calibri" w:hAnsi="Calibri"/>
          <w:bCs/>
          <w:sz w:val="20"/>
          <w:szCs w:val="20"/>
        </w:rPr>
      </w:pPr>
      <w:r w:rsidRPr="00904523">
        <w:rPr>
          <w:rFonts w:ascii="Calibri" w:hAnsi="Calibri"/>
          <w:bCs/>
          <w:sz w:val="20"/>
          <w:szCs w:val="20"/>
        </w:rPr>
        <w:t>Možnost nastavení intenzity sání</w:t>
      </w:r>
    </w:p>
    <w:p w14:paraId="688820DD" w14:textId="77777777" w:rsidR="00904523" w:rsidRPr="00904523" w:rsidRDefault="00904523" w:rsidP="00904523">
      <w:pPr>
        <w:spacing w:line="240" w:lineRule="auto"/>
        <w:ind w:left="720"/>
        <w:rPr>
          <w:rFonts w:ascii="Calibri" w:hAnsi="Calibri"/>
          <w:bCs/>
          <w:sz w:val="20"/>
          <w:szCs w:val="20"/>
        </w:rPr>
      </w:pPr>
    </w:p>
    <w:p w14:paraId="4961BD23" w14:textId="77777777" w:rsidR="00904523" w:rsidRPr="00904523" w:rsidRDefault="00904523" w:rsidP="00904523">
      <w:pPr>
        <w:spacing w:line="240" w:lineRule="auto"/>
        <w:ind w:left="708"/>
        <w:rPr>
          <w:rFonts w:ascii="Calibri" w:hAnsi="Calibri"/>
          <w:sz w:val="20"/>
          <w:szCs w:val="24"/>
        </w:rPr>
      </w:pPr>
    </w:p>
    <w:p w14:paraId="19355E16" w14:textId="77777777" w:rsidR="00904523" w:rsidRDefault="00904523" w:rsidP="00994805">
      <w:pPr>
        <w:ind w:left="284" w:hanging="5"/>
      </w:pPr>
    </w:p>
    <w:p w14:paraId="470D6AF9" w14:textId="77777777" w:rsidR="00C17390" w:rsidRDefault="00C17390" w:rsidP="00994805">
      <w:pPr>
        <w:ind w:left="284" w:hanging="5"/>
      </w:pPr>
    </w:p>
    <w:p w14:paraId="76B262CE" w14:textId="77777777" w:rsidR="00C17390" w:rsidRDefault="00C17390" w:rsidP="00994805">
      <w:pPr>
        <w:ind w:left="284" w:hanging="5"/>
      </w:pPr>
    </w:p>
    <w:p w14:paraId="34857A8A" w14:textId="77777777" w:rsidR="00C17390" w:rsidRDefault="00C17390" w:rsidP="00994805">
      <w:pPr>
        <w:ind w:left="284" w:hanging="5"/>
      </w:pPr>
    </w:p>
    <w:p w14:paraId="7FBAC3CA" w14:textId="77777777" w:rsidR="00C17390" w:rsidRDefault="00C17390" w:rsidP="00994805">
      <w:pPr>
        <w:ind w:left="284" w:hanging="5"/>
      </w:pPr>
    </w:p>
    <w:p w14:paraId="3AF61D69" w14:textId="77777777" w:rsidR="00C17390" w:rsidRDefault="00C17390" w:rsidP="00994805">
      <w:pPr>
        <w:ind w:left="284" w:hanging="5"/>
      </w:pPr>
    </w:p>
    <w:p w14:paraId="4FC4D41A" w14:textId="77777777" w:rsidR="00C17390" w:rsidRPr="00C17390" w:rsidRDefault="00C17390" w:rsidP="00C17390">
      <w:pPr>
        <w:pBdr>
          <w:bottom w:val="single" w:sz="6" w:space="13" w:color="E0E0E0"/>
        </w:pBdr>
        <w:spacing w:line="240" w:lineRule="auto"/>
        <w:jc w:val="left"/>
        <w:outlineLvl w:val="1"/>
        <w:rPr>
          <w:rFonts w:asciiTheme="minorHAnsi" w:hAnsiTheme="minorHAnsi" w:cstheme="minorHAnsi"/>
          <w:b/>
          <w:caps/>
          <w:color w:val="006498"/>
          <w:szCs w:val="20"/>
        </w:rPr>
      </w:pPr>
      <w:r w:rsidRPr="00C17390">
        <w:rPr>
          <w:rFonts w:asciiTheme="minorHAnsi" w:hAnsiTheme="minorHAnsi" w:cstheme="minorHAnsi"/>
          <w:b/>
          <w:caps/>
          <w:color w:val="006498"/>
          <w:szCs w:val="20"/>
        </w:rPr>
        <w:t>TECHNICKÉ PARAMETRY</w:t>
      </w:r>
    </w:p>
    <w:tbl>
      <w:tblPr>
        <w:tblW w:w="9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4961"/>
      </w:tblGrid>
      <w:tr w:rsidR="00C17390" w:rsidRPr="00C17390" w14:paraId="2FDD738E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D09C934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Displej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B78AEFA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7″ barevný dotykový</w:t>
            </w:r>
          </w:p>
        </w:tc>
      </w:tr>
      <w:tr w:rsidR="00C17390" w:rsidRPr="00C17390" w14:paraId="76FC0131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DA6D40B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Rozměry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4219272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380 × 190 × 260 mm</w:t>
            </w:r>
          </w:p>
        </w:tc>
      </w:tr>
      <w:tr w:rsidR="00C17390" w:rsidRPr="00C17390" w14:paraId="5E00175D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CC6B694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Hmotnost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E571652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max. 3 kg</w:t>
            </w:r>
          </w:p>
        </w:tc>
      </w:tr>
      <w:tr w:rsidR="00C17390" w:rsidRPr="00C17390" w14:paraId="464FBFF7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48D20E1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Napětí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5332643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100–240 V/AC, 50–60 Hz</w:t>
            </w:r>
          </w:p>
        </w:tc>
      </w:tr>
      <w:tr w:rsidR="00C17390" w:rsidRPr="00C17390" w14:paraId="49F9B5D9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C8448A9" w14:textId="77777777" w:rsidR="00C17390" w:rsidRPr="00C17390" w:rsidRDefault="00C17390" w:rsidP="00C17390">
            <w:pPr>
              <w:spacing w:line="240" w:lineRule="auto"/>
              <w:jc w:val="left"/>
              <w:outlineLvl w:val="3"/>
              <w:rPr>
                <w:rFonts w:asciiTheme="minorHAnsi" w:hAnsiTheme="minorHAnsi" w:cstheme="minorHAnsi"/>
                <w:color w:val="006498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006498"/>
                <w:sz w:val="20"/>
                <w:szCs w:val="20"/>
              </w:rPr>
              <w:t>ELEKTROTERAPIE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9E464BE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 </w:t>
            </w:r>
          </w:p>
        </w:tc>
      </w:tr>
      <w:tr w:rsidR="00C17390" w:rsidRPr="00C17390" w14:paraId="3876385C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BC2242C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Kanály elektroterapie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1F25366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2</w:t>
            </w:r>
          </w:p>
        </w:tc>
      </w:tr>
      <w:tr w:rsidR="00C17390" w:rsidRPr="00C17390" w14:paraId="7A35459F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A5D0621" w14:textId="77777777" w:rsidR="00C17390" w:rsidRPr="00C17390" w:rsidRDefault="00C17390" w:rsidP="00C17390">
            <w:pPr>
              <w:spacing w:line="240" w:lineRule="auto"/>
              <w:jc w:val="left"/>
              <w:outlineLvl w:val="3"/>
              <w:rPr>
                <w:rFonts w:asciiTheme="minorHAnsi" w:hAnsiTheme="minorHAnsi" w:cstheme="minorHAnsi"/>
                <w:color w:val="006498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006498"/>
                <w:sz w:val="20"/>
                <w:szCs w:val="20"/>
              </w:rPr>
              <w:t>ULTRAZVUKOVÁ TERAPIE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DC0D842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 </w:t>
            </w:r>
          </w:p>
        </w:tc>
      </w:tr>
      <w:tr w:rsidR="00C17390" w:rsidRPr="00C17390" w14:paraId="2A6E8B57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8BCE94F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Modulární frekvence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24F61FA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10–150 Hz</w:t>
            </w:r>
          </w:p>
        </w:tc>
      </w:tr>
      <w:tr w:rsidR="00C17390" w:rsidRPr="00C17390" w14:paraId="510F51C4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DE44213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Duty faktor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8C7B8F4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5%–100%</w:t>
            </w:r>
          </w:p>
        </w:tc>
      </w:tr>
      <w:tr w:rsidR="00C17390" w:rsidRPr="00C17390" w14:paraId="079A895F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3C09FF9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Max. intenzita v kontinuálním režimu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FC5F025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2 W/cm</w:t>
            </w: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  <w:vertAlign w:val="superscript"/>
              </w:rPr>
              <w:t>2</w:t>
            </w:r>
          </w:p>
        </w:tc>
      </w:tr>
      <w:tr w:rsidR="00C17390" w:rsidRPr="00C17390" w14:paraId="1EC495C5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E94B164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color w:val="5C5C5C"/>
                <w:sz w:val="20"/>
                <w:szCs w:val="20"/>
              </w:rPr>
              <w:t>Max. intenzita v pulzním režimu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96625CA" w14:textId="77777777" w:rsidR="00C17390" w:rsidRPr="00C17390" w:rsidRDefault="00C17390" w:rsidP="00C17390">
            <w:pPr>
              <w:spacing w:line="240" w:lineRule="auto"/>
              <w:jc w:val="left"/>
              <w:rPr>
                <w:rFonts w:asciiTheme="minorHAnsi" w:hAnsiTheme="minorHAnsi" w:cstheme="minorHAnsi"/>
                <w:color w:val="5C5C5C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</w:rPr>
              <w:t>3 W/cm</w:t>
            </w:r>
            <w:r w:rsidRPr="00C17390">
              <w:rPr>
                <w:rFonts w:asciiTheme="minorHAnsi" w:hAnsiTheme="minorHAnsi" w:cstheme="minorHAnsi"/>
                <w:color w:val="5C5C5C"/>
                <w:sz w:val="20"/>
                <w:szCs w:val="20"/>
                <w:vertAlign w:val="superscript"/>
              </w:rPr>
              <w:t>2</w:t>
            </w:r>
          </w:p>
        </w:tc>
      </w:tr>
    </w:tbl>
    <w:p w14:paraId="6560EEBE" w14:textId="667F71FE" w:rsidR="00C17390" w:rsidRDefault="00C17390" w:rsidP="00C17390">
      <w:pPr>
        <w:spacing w:before="240"/>
        <w:ind w:hanging="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6498"/>
          <w:sz w:val="20"/>
          <w:szCs w:val="20"/>
        </w:rPr>
        <w:t>VAKUOVÁ JEDNOTKA</w:t>
      </w:r>
    </w:p>
    <w:tbl>
      <w:tblPr>
        <w:tblW w:w="9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4961"/>
      </w:tblGrid>
      <w:tr w:rsidR="00C17390" w:rsidRPr="00C17390" w14:paraId="5E444AC1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A7CF427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Rozměry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6AF4DB1" w14:textId="77777777" w:rsidR="00C17390" w:rsidRPr="00C17390" w:rsidRDefault="00C17390" w:rsidP="00C17390">
            <w:pPr>
              <w:ind w:right="22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sz w:val="20"/>
                <w:szCs w:val="20"/>
              </w:rPr>
              <w:t>250 × 130 × 209 mm</w:t>
            </w:r>
          </w:p>
        </w:tc>
      </w:tr>
      <w:tr w:rsidR="00C17390" w:rsidRPr="00C17390" w14:paraId="4296F272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CF4A494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Hmotnost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05AB322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sz w:val="20"/>
                <w:szCs w:val="20"/>
              </w:rPr>
              <w:t>1.9 kg</w:t>
            </w:r>
          </w:p>
        </w:tc>
      </w:tr>
      <w:tr w:rsidR="00C17390" w:rsidRPr="00C17390" w14:paraId="1C5D2F50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3DFEA1D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Napětí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0252730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sz w:val="20"/>
                <w:szCs w:val="20"/>
              </w:rPr>
              <w:t>100–240 V/AC, 50–60 Hz</w:t>
            </w:r>
          </w:p>
        </w:tc>
      </w:tr>
      <w:tr w:rsidR="00C17390" w:rsidRPr="00C17390" w14:paraId="1432A022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DECBF7E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 výstupů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E7B1DCA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C17390" w:rsidRPr="00C17390" w14:paraId="3D6036E4" w14:textId="77777777" w:rsidTr="00C17390">
        <w:tc>
          <w:tcPr>
            <w:tcW w:w="4373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535F258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Operační režimy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19F0A70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sz w:val="20"/>
                <w:szCs w:val="20"/>
              </w:rPr>
              <w:t>kontinuální a pulzní</w:t>
            </w:r>
          </w:p>
        </w:tc>
      </w:tr>
      <w:tr w:rsidR="00C17390" w:rsidRPr="00C17390" w14:paraId="359C0556" w14:textId="77777777" w:rsidTr="00C17390">
        <w:tc>
          <w:tcPr>
            <w:tcW w:w="4373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F269841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Pulzní frekvence</w:t>
            </w:r>
          </w:p>
        </w:tc>
        <w:tc>
          <w:tcPr>
            <w:tcW w:w="496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6ABBDC4" w14:textId="77777777" w:rsidR="00C17390" w:rsidRPr="00C17390" w:rsidRDefault="00C17390" w:rsidP="00C17390">
            <w:pPr>
              <w:ind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C17390">
              <w:rPr>
                <w:rFonts w:asciiTheme="minorHAnsi" w:hAnsiTheme="minorHAnsi" w:cstheme="minorHAnsi"/>
                <w:sz w:val="20"/>
                <w:szCs w:val="20"/>
              </w:rPr>
              <w:t>5, 10, 15, 20 pulzů/min</w:t>
            </w:r>
          </w:p>
        </w:tc>
      </w:tr>
    </w:tbl>
    <w:p w14:paraId="52B3D261" w14:textId="77777777" w:rsidR="00C17390" w:rsidRPr="00C17390" w:rsidRDefault="00C17390" w:rsidP="00C17390">
      <w:pPr>
        <w:ind w:hanging="5"/>
        <w:rPr>
          <w:rFonts w:asciiTheme="minorHAnsi" w:hAnsiTheme="minorHAnsi" w:cstheme="minorHAnsi"/>
          <w:sz w:val="20"/>
          <w:szCs w:val="20"/>
        </w:rPr>
      </w:pPr>
    </w:p>
    <w:sectPr w:rsidR="00C17390" w:rsidRPr="00C17390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Gotham-Book">
    <w:altName w:val="Century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8374F" w:rsidRPr="0038374F">
          <w:rPr>
            <w:rFonts w:ascii="Arial" w:hAnsi="Arial"/>
            <w:noProof/>
            <w:sz w:val="20"/>
            <w:lang w:val="cs-CZ"/>
          </w:rPr>
          <w:t>8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6D11"/>
    <w:multiLevelType w:val="hybridMultilevel"/>
    <w:tmpl w:val="F0B6F760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1666BA"/>
    <w:multiLevelType w:val="hybridMultilevel"/>
    <w:tmpl w:val="6BC6F4B6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D4C69"/>
    <w:multiLevelType w:val="hybridMultilevel"/>
    <w:tmpl w:val="22C2E046"/>
    <w:lvl w:ilvl="0" w:tplc="6246B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18839">
    <w:abstractNumId w:val="5"/>
  </w:num>
  <w:num w:numId="2" w16cid:durableId="1561356562">
    <w:abstractNumId w:val="1"/>
  </w:num>
  <w:num w:numId="3" w16cid:durableId="1739404348">
    <w:abstractNumId w:val="8"/>
  </w:num>
  <w:num w:numId="4" w16cid:durableId="624118527">
    <w:abstractNumId w:val="8"/>
  </w:num>
  <w:num w:numId="5" w16cid:durableId="414665196">
    <w:abstractNumId w:val="14"/>
  </w:num>
  <w:num w:numId="6" w16cid:durableId="1577931835">
    <w:abstractNumId w:val="9"/>
  </w:num>
  <w:num w:numId="7" w16cid:durableId="967708041">
    <w:abstractNumId w:val="2"/>
  </w:num>
  <w:num w:numId="8" w16cid:durableId="1953004591">
    <w:abstractNumId w:val="7"/>
  </w:num>
  <w:num w:numId="9" w16cid:durableId="83260952">
    <w:abstractNumId w:val="15"/>
  </w:num>
  <w:num w:numId="10" w16cid:durableId="1031146142">
    <w:abstractNumId w:val="4"/>
  </w:num>
  <w:num w:numId="11" w16cid:durableId="851990011">
    <w:abstractNumId w:val="11"/>
  </w:num>
  <w:num w:numId="12" w16cid:durableId="962612168">
    <w:abstractNumId w:val="13"/>
  </w:num>
  <w:num w:numId="13" w16cid:durableId="1430737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0502048">
    <w:abstractNumId w:val="8"/>
  </w:num>
  <w:num w:numId="15" w16cid:durableId="1589192434">
    <w:abstractNumId w:val="0"/>
  </w:num>
  <w:num w:numId="16" w16cid:durableId="951672307">
    <w:abstractNumId w:val="3"/>
  </w:num>
  <w:num w:numId="17" w16cid:durableId="1163089077">
    <w:abstractNumId w:val="10"/>
  </w:num>
  <w:num w:numId="18" w16cid:durableId="1132557585">
    <w:abstractNumId w:val="12"/>
  </w:num>
  <w:num w:numId="19" w16cid:durableId="143609300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0633B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0132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55142"/>
    <w:rsid w:val="00160D16"/>
    <w:rsid w:val="00164E2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8374F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2600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0838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06BC"/>
    <w:rsid w:val="00656B08"/>
    <w:rsid w:val="00660EC1"/>
    <w:rsid w:val="0067085F"/>
    <w:rsid w:val="00672FA9"/>
    <w:rsid w:val="0067386C"/>
    <w:rsid w:val="006754BE"/>
    <w:rsid w:val="006768E4"/>
    <w:rsid w:val="00676E56"/>
    <w:rsid w:val="00677234"/>
    <w:rsid w:val="00690BB7"/>
    <w:rsid w:val="0069434E"/>
    <w:rsid w:val="006A6647"/>
    <w:rsid w:val="006B095E"/>
    <w:rsid w:val="006B2A54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2240A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0452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13A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007D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D22"/>
    <w:rsid w:val="00BA5EEC"/>
    <w:rsid w:val="00BB16E5"/>
    <w:rsid w:val="00BB1834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17390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171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136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73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73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138F-0254-4BEA-87CF-34259FAC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5026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2025-01-27T08:50:00Z</dcterms:created>
  <dcterms:modified xsi:type="dcterms:W3CDTF">2025-01-27T08:51:00Z</dcterms:modified>
</cp:coreProperties>
</file>