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0017910983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614851378" name="Picture">
</wp:docPr>
                  <a:graphic>
                    <a:graphicData uri="http://schemas.openxmlformats.org/drawingml/2006/picture">
                      <pic:pic>
                        <pic:nvPicPr>
                          <pic:cNvPr id="614851378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60967536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CZ7305284899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Radomír Řezník</w:t>
                    <w:br/>
                    <w:t xml:space="preserve">Černotínská 1523/8</w:t>
                    <w:br/>
                    <w:t xml:space="preserve">104 00 PRAHA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21.08.2017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v. i. - ELI Beamlines, Za Radnicí 835,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Na faktuře musí být uvedeno číslo objednávky, číslo projektu CZ.02.1.01/0.0/0.0/15_008/0000162 a název projektu ELI - EXTREME LIGHT INFRASTRUCTURE - fáze 2. Tato objednávka bude uveřejněna v souladu se zákonem č. 340/2015 Sb., o zvláštních podmínkách účinnosti některých smluv, uveřejňování těchto smluv a o registru smluv, v platném znění.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revize HP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5 350.00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5 350.00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revize PPK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39 960.00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39 960.00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revize PU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85 000.00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85 000.00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revize požárních uzávěrů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15 895.00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15 895.00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nátěry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33 853.05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33 853.05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195 058.05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195 058.05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12.07.2017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