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6C18" w14:textId="446E3CF9" w:rsidR="00CA00CD" w:rsidRDefault="00CA00CD" w:rsidP="00CA00CD">
      <w:pPr>
        <w:spacing w:after="0" w:line="240" w:lineRule="auto"/>
        <w:ind w:left="284" w:right="260"/>
        <w:jc w:val="right"/>
        <w:rPr>
          <w:rFonts w:cs="Arial"/>
          <w:b/>
        </w:rPr>
      </w:pPr>
      <w:r>
        <w:rPr>
          <w:rFonts w:cs="Arial"/>
          <w:b/>
        </w:rPr>
        <w:t xml:space="preserve">20 </w:t>
      </w:r>
      <w:proofErr w:type="spellStart"/>
      <w:r>
        <w:rPr>
          <w:rFonts w:cs="Arial"/>
          <w:b/>
        </w:rPr>
        <w:t>Spr</w:t>
      </w:r>
      <w:proofErr w:type="spellEnd"/>
      <w:r>
        <w:rPr>
          <w:rFonts w:cs="Arial"/>
          <w:b/>
        </w:rPr>
        <w:t xml:space="preserve"> 125/2025</w:t>
      </w:r>
    </w:p>
    <w:p w14:paraId="7B496CE5" w14:textId="2E7D352B"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2B78EC74"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5913F56E" w14:textId="3C54E11F" w:rsidR="00960A36" w:rsidRPr="00EF3CDF" w:rsidRDefault="00960A36" w:rsidP="008B63D9">
      <w:pPr>
        <w:spacing w:after="0" w:line="240" w:lineRule="auto"/>
        <w:ind w:left="284" w:right="260"/>
        <w:jc w:val="both"/>
        <w:rPr>
          <w:rFonts w:cs="Arial"/>
        </w:rPr>
      </w:pPr>
      <w:r w:rsidRPr="00EF3CDF">
        <w:rPr>
          <w:rFonts w:cs="Arial"/>
        </w:rPr>
        <w:t>bankovní spojení:</w:t>
      </w:r>
      <w:r w:rsidR="00A96847">
        <w:rPr>
          <w:rFonts w:cs="Arial"/>
        </w:rPr>
        <w:t xml:space="preserve">                    </w:t>
      </w:r>
      <w:r w:rsidRPr="00EF3CDF">
        <w:rPr>
          <w:rStyle w:val="platne1"/>
          <w:rFonts w:cs="Arial"/>
        </w:rPr>
        <w:t xml:space="preserve">, </w:t>
      </w:r>
      <w:proofErr w:type="spellStart"/>
      <w:r w:rsidRPr="00EF3CDF">
        <w:rPr>
          <w:rStyle w:val="platne1"/>
          <w:rFonts w:cs="Arial"/>
        </w:rPr>
        <w:t>UniCredit</w:t>
      </w:r>
      <w:proofErr w:type="spellEnd"/>
      <w:r w:rsidRPr="00EF3CDF">
        <w:rPr>
          <w:rStyle w:val="platne1"/>
          <w:rFonts w:cs="Arial"/>
        </w:rPr>
        <w:t xml:space="preserve"> Bank Czech Republic, a.s.,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4A817FAA"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5EE04F2" w14:textId="1F637D9F" w:rsidR="00A007AF" w:rsidRDefault="008F2F23" w:rsidP="00A007AF">
      <w:pPr>
        <w:spacing w:before="240" w:after="0"/>
        <w:ind w:left="284" w:right="260"/>
        <w:jc w:val="both"/>
        <w:rPr>
          <w:b/>
        </w:rPr>
      </w:pPr>
      <w:bookmarkStart w:id="0" w:name="jmeno_firmy"/>
      <w:bookmarkEnd w:id="0"/>
      <w:r w:rsidRPr="00CA5875">
        <w:rPr>
          <w:b/>
        </w:rPr>
        <w:t xml:space="preserve">Česká republika </w:t>
      </w:r>
      <w:r w:rsidR="00CA5875" w:rsidRPr="00CA5875">
        <w:rPr>
          <w:b/>
        </w:rPr>
        <w:t>–</w:t>
      </w:r>
      <w:r w:rsidRPr="00CA5875">
        <w:rPr>
          <w:b/>
        </w:rPr>
        <w:t xml:space="preserve"> </w:t>
      </w:r>
      <w:r w:rsidR="00CA5875" w:rsidRPr="00CA5875">
        <w:rPr>
          <w:b/>
        </w:rPr>
        <w:t xml:space="preserve">Okresní </w:t>
      </w:r>
      <w:r w:rsidR="00250A3B" w:rsidRPr="00CA5875">
        <w:rPr>
          <w:b/>
        </w:rPr>
        <w:t>soud v</w:t>
      </w:r>
      <w:r w:rsidR="0040454C">
        <w:rPr>
          <w:b/>
        </w:rPr>
        <w:t> Chrudimi</w:t>
      </w:r>
      <w:r w:rsidR="00A007AF" w:rsidRPr="00CA5875">
        <w:rPr>
          <w:b/>
        </w:rPr>
        <w:t>,</w:t>
      </w:r>
    </w:p>
    <w:p w14:paraId="17406373" w14:textId="5904CCED" w:rsidR="00A007AF" w:rsidRDefault="00A007AF" w:rsidP="00A007AF">
      <w:pPr>
        <w:spacing w:after="0"/>
        <w:ind w:left="284" w:right="260"/>
        <w:jc w:val="both"/>
      </w:pPr>
      <w:r>
        <w:rPr>
          <w:rFonts w:cs="Arial"/>
        </w:rPr>
        <w:t>se sídlem</w:t>
      </w:r>
      <w:r w:rsidR="00CA5875">
        <w:rPr>
          <w:rFonts w:cs="Arial"/>
        </w:rPr>
        <w:t xml:space="preserve"> </w:t>
      </w:r>
      <w:r w:rsidR="0040454C">
        <w:rPr>
          <w:rFonts w:cs="Arial"/>
        </w:rPr>
        <w:t>Všehrdovo náměstí 45, Chrudim</w:t>
      </w:r>
      <w:r>
        <w:rPr>
          <w:rFonts w:cs="Arial"/>
        </w:rPr>
        <w:t>,</w:t>
      </w:r>
      <w:r w:rsidR="00D750F2">
        <w:rPr>
          <w:rFonts w:cs="Arial"/>
        </w:rPr>
        <w:t xml:space="preserve"> PSČ</w:t>
      </w:r>
      <w:r>
        <w:rPr>
          <w:rFonts w:cs="Arial"/>
        </w:rPr>
        <w:t xml:space="preserve"> </w:t>
      </w:r>
      <w:bookmarkStart w:id="1" w:name="psc"/>
      <w:bookmarkEnd w:id="1"/>
      <w:r w:rsidR="00250A3B">
        <w:rPr>
          <w:rFonts w:cs="Arial"/>
        </w:rPr>
        <w:t>5</w:t>
      </w:r>
      <w:r w:rsidR="0040454C">
        <w:rPr>
          <w:rFonts w:cs="Arial"/>
        </w:rPr>
        <w:t>37 21</w:t>
      </w:r>
      <w:r>
        <w:rPr>
          <w:rFonts w:cs="Arial"/>
        </w:rPr>
        <w:t>,</w:t>
      </w:r>
    </w:p>
    <w:p w14:paraId="1C33FAB6" w14:textId="2DE812C8" w:rsidR="00A007AF" w:rsidRDefault="00A007AF" w:rsidP="00A007AF">
      <w:pPr>
        <w:spacing w:after="0"/>
        <w:ind w:left="284" w:right="260"/>
        <w:jc w:val="both"/>
      </w:pPr>
      <w:r>
        <w:rPr>
          <w:rFonts w:cs="Arial"/>
        </w:rPr>
        <w:t xml:space="preserve">IČ: </w:t>
      </w:r>
      <w:bookmarkStart w:id="2" w:name="ico"/>
      <w:bookmarkEnd w:id="2"/>
      <w:r w:rsidR="00250A3B">
        <w:rPr>
          <w:rFonts w:cs="Arial"/>
        </w:rPr>
        <w:t>00</w:t>
      </w:r>
      <w:r w:rsidR="00CA5875">
        <w:rPr>
          <w:rFonts w:cs="Arial"/>
        </w:rPr>
        <w:t>02495</w:t>
      </w:r>
      <w:r w:rsidR="0040454C">
        <w:rPr>
          <w:rFonts w:cs="Arial"/>
        </w:rPr>
        <w:t>3</w:t>
      </w:r>
      <w:r>
        <w:rPr>
          <w:rFonts w:cs="Arial"/>
        </w:rPr>
        <w:t>, DIČ:</w:t>
      </w:r>
      <w:bookmarkStart w:id="3" w:name="dic"/>
      <w:bookmarkEnd w:id="3"/>
      <w:r w:rsidR="00FA4F40">
        <w:t>-</w:t>
      </w:r>
      <w:proofErr w:type="spellStart"/>
      <w:r w:rsidR="00FA4F40">
        <w:t>xxx</w:t>
      </w:r>
      <w:proofErr w:type="spellEnd"/>
      <w:r>
        <w:rPr>
          <w:rFonts w:cs="Arial"/>
        </w:rPr>
        <w:t>,</w:t>
      </w:r>
    </w:p>
    <w:p w14:paraId="1125D9FB" w14:textId="20AEDA49" w:rsidR="00A007AF" w:rsidRDefault="00FA4F40" w:rsidP="00A007AF">
      <w:pPr>
        <w:spacing w:after="0" w:line="240" w:lineRule="auto"/>
        <w:ind w:left="284" w:right="260"/>
        <w:jc w:val="both"/>
        <w:rPr>
          <w:rFonts w:cs="Arial"/>
        </w:rPr>
      </w:pPr>
      <w:r>
        <w:rPr>
          <w:rFonts w:cs="Arial"/>
        </w:rPr>
        <w:t>z</w:t>
      </w:r>
      <w:r w:rsidR="00A007AF">
        <w:rPr>
          <w:rFonts w:cs="Arial"/>
        </w:rPr>
        <w:t>astoupen</w:t>
      </w:r>
      <w:bookmarkStart w:id="4" w:name="osoba"/>
      <w:bookmarkEnd w:id="4"/>
      <w:r>
        <w:rPr>
          <w:rFonts w:cs="Arial"/>
        </w:rPr>
        <w:t xml:space="preserve">a JUDr. Milanem </w:t>
      </w:r>
      <w:proofErr w:type="spellStart"/>
      <w:r>
        <w:rPr>
          <w:rFonts w:cs="Arial"/>
        </w:rPr>
        <w:t>Špryňarem</w:t>
      </w:r>
      <w:proofErr w:type="spellEnd"/>
      <w:r>
        <w:rPr>
          <w:rFonts w:cs="Arial"/>
        </w:rPr>
        <w:t>, předsedou okresního soudu</w:t>
      </w:r>
      <w:r w:rsidR="00A007AF">
        <w:rPr>
          <w:rFonts w:cs="Arial"/>
        </w:rPr>
        <w:t>,</w:t>
      </w:r>
    </w:p>
    <w:p w14:paraId="47080A3A"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1A7D1C94" w14:textId="77777777" w:rsidR="00A007AF" w:rsidRDefault="00A007AF"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6240517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01378249"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498DEB08"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47E7AC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633A218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4825191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27C682CF" w14:textId="77777777" w:rsidR="005A1A1C"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752926D2" w14:textId="1E5608BD"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Za užívání Beck-online se uživatel zavazuje platit poskytovateli odměnu</w:t>
      </w:r>
      <w:r w:rsidR="009F7397">
        <w:rPr>
          <w:rFonts w:cs="Arial"/>
        </w:rPr>
        <w:t>, jejíž výše vychází z aktivity uživatelů v pilotním provozu</w:t>
      </w:r>
      <w:r w:rsidR="00F1791D">
        <w:rPr>
          <w:rFonts w:cs="Arial"/>
        </w:rPr>
        <w:t xml:space="preserve"> užívání Beck-online</w:t>
      </w:r>
      <w:r>
        <w:rPr>
          <w:rFonts w:cs="Arial"/>
        </w:rPr>
        <w:t xml:space="preserve"> (dále jen </w:t>
      </w:r>
      <w:r>
        <w:rPr>
          <w:rFonts w:cs="Arial"/>
          <w:b/>
        </w:rPr>
        <w:t>„odměna“</w:t>
      </w:r>
      <w:r>
        <w:rPr>
          <w:rFonts w:cs="Arial"/>
        </w:rPr>
        <w:t>).</w:t>
      </w:r>
    </w:p>
    <w:p w14:paraId="46C3387B" w14:textId="75FB18CC"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Fakturu na jednotlivá období je poskytovatel oprávněn vystavit nejdříve dva měsíce před začátkem daného období. Elektronická faktura bude zasílána na email</w:t>
      </w:r>
      <w:r w:rsidR="00FA4F40">
        <w:rPr>
          <w:rFonts w:cs="Arial"/>
        </w:rPr>
        <w:t xml:space="preserve">: </w:t>
      </w:r>
      <w:r w:rsidR="00A96847">
        <w:rPr>
          <w:rFonts w:cs="Arial"/>
        </w:rPr>
        <w:t xml:space="preserve">                   </w:t>
      </w:r>
      <w:r w:rsidR="00FA4F40">
        <w:rPr>
          <w:rStyle w:val="Hypertextovodkaz"/>
          <w:rFonts w:cs="Arial"/>
        </w:rPr>
        <w:t>.</w:t>
      </w:r>
      <w:r w:rsidR="008F2F23">
        <w:rPr>
          <w:rFonts w:cs="Arial"/>
        </w:rPr>
        <w:t xml:space="preserve"> </w:t>
      </w:r>
      <w:r>
        <w:rPr>
          <w:rFonts w:cs="Arial"/>
        </w:rPr>
        <w:t xml:space="preserve">O případné změně emailové adresy je uživatel povinen poskytovatele bezodkladně písemnou formou informovat. </w:t>
      </w:r>
    </w:p>
    <w:p w14:paraId="4A5A99A1" w14:textId="241DD026"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5" w:name="splatnost"/>
      <w:bookmarkEnd w:id="5"/>
      <w:r w:rsidR="00250A3B">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7E603B8F"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lastRenderedPageBreak/>
        <w:t>Doba trvání smlouvy</w:t>
      </w:r>
    </w:p>
    <w:p w14:paraId="5D78EDBD" w14:textId="104E2926"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zákon o registru smluv, ve znění pozdějších předpisů</w:t>
      </w:r>
      <w:r>
        <w:rPr>
          <w:rFonts w:cs="Arial"/>
        </w:rPr>
        <w:t>.</w:t>
      </w:r>
    </w:p>
    <w:p w14:paraId="5B371C2F" w14:textId="3524FDD2"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250A3B">
        <w:t>01.0</w:t>
      </w:r>
      <w:r w:rsidR="00BD6239">
        <w:t>2</w:t>
      </w:r>
      <w:r w:rsidR="00250A3B">
        <w:t>.202</w:t>
      </w:r>
      <w:r w:rsidR="00BD6239">
        <w:t>5</w:t>
      </w:r>
      <w:r>
        <w:t xml:space="preserve"> a veškerá svá vzájemná plnění poskytnutá od</w:t>
      </w:r>
      <w:r w:rsidR="00AA192F">
        <w:t xml:space="preserve"> tohoto data </w:t>
      </w:r>
      <w:r>
        <w:t>do dne nabytí účinnosti této smlouvy považují za plnění poskytnutá podle této smlouvy.</w:t>
      </w:r>
    </w:p>
    <w:p w14:paraId="034566FF" w14:textId="4A365B0A"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6" w:name="doba_trvani"/>
      <w:bookmarkEnd w:id="6"/>
      <w:r w:rsidR="00250A3B">
        <w:rPr>
          <w:rFonts w:cs="Arial"/>
          <w:b/>
        </w:rPr>
        <w:t xml:space="preserve">určitou, a to do </w:t>
      </w:r>
      <w:r w:rsidR="00BD6239">
        <w:rPr>
          <w:rFonts w:cs="Arial"/>
          <w:b/>
        </w:rPr>
        <w:t>31.1.2026</w:t>
      </w:r>
      <w:r>
        <w:rPr>
          <w:rFonts w:cs="Arial"/>
        </w:rPr>
        <w:t>. Licence je uživateli udělena na dobu trvání této smlouvy.</w:t>
      </w:r>
    </w:p>
    <w:p w14:paraId="72FA8380"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31296"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298CDBDC"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1BDB58D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8EB3838" w14:textId="401711AD"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5A395CA"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5907D336" w14:textId="3858778B"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je uzavřena písemně ve dvou (2) vyhotoveních, z nichž poskytovatel a uživatel obdrží každý po jednom (1).</w:t>
      </w:r>
      <w:r w:rsidR="00F97D95">
        <w:rPr>
          <w:rFonts w:cs="Arial"/>
        </w:rPr>
        <w:t xml:space="preserve"> Toto ustanovení se </w:t>
      </w:r>
      <w:r w:rsidR="00B71C04">
        <w:rPr>
          <w:rFonts w:cs="Arial"/>
        </w:rPr>
        <w:t>nepoužije,</w:t>
      </w:r>
      <w:r w:rsidR="00F97D95">
        <w:rPr>
          <w:rFonts w:cs="Arial"/>
        </w:rPr>
        <w:t xml:space="preserve"> pokud bude smlouva podepsána elektronicky.</w:t>
      </w:r>
    </w:p>
    <w:p w14:paraId="1C3EACF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2B7F2EB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4930F7C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769E7571" w14:textId="77777777" w:rsidR="007B2A46" w:rsidRDefault="007B2A46" w:rsidP="007B2A46">
      <w:pPr>
        <w:tabs>
          <w:tab w:val="left" w:pos="6096"/>
        </w:tabs>
        <w:spacing w:before="240" w:after="0" w:line="240" w:lineRule="auto"/>
        <w:ind w:left="284" w:right="260"/>
        <w:jc w:val="both"/>
        <w:rPr>
          <w:rFonts w:cs="Arial"/>
        </w:rPr>
      </w:pPr>
    </w:p>
    <w:p w14:paraId="380C5C53" w14:textId="1E553050" w:rsidR="007B2A46" w:rsidRDefault="007B2A46" w:rsidP="007B2A46">
      <w:pPr>
        <w:tabs>
          <w:tab w:val="left" w:pos="5387"/>
        </w:tabs>
        <w:spacing w:before="240" w:after="0" w:line="240" w:lineRule="auto"/>
        <w:ind w:left="284" w:right="260"/>
        <w:jc w:val="both"/>
        <w:rPr>
          <w:rFonts w:cs="Arial"/>
        </w:rPr>
      </w:pPr>
      <w:r>
        <w:rPr>
          <w:rFonts w:cs="Arial"/>
        </w:rPr>
        <w:t xml:space="preserve">V Praze dne </w:t>
      </w:r>
      <w:r w:rsidR="00FA4F40">
        <w:rPr>
          <w:rFonts w:cs="Arial"/>
        </w:rPr>
        <w:t xml:space="preserve">dle </w:t>
      </w:r>
      <w:proofErr w:type="spellStart"/>
      <w:r w:rsidR="00FA4F40">
        <w:rPr>
          <w:rFonts w:cs="Arial"/>
        </w:rPr>
        <w:t>el.podpisu</w:t>
      </w:r>
      <w:proofErr w:type="spellEnd"/>
      <w:r>
        <w:rPr>
          <w:rFonts w:cs="Arial"/>
        </w:rPr>
        <w:tab/>
        <w:t>V</w:t>
      </w:r>
      <w:r w:rsidR="00C513D8">
        <w:rPr>
          <w:rFonts w:cs="Arial"/>
        </w:rPr>
        <w:t> </w:t>
      </w:r>
      <w:bookmarkStart w:id="7" w:name="mesto_firmy1"/>
      <w:bookmarkEnd w:id="7"/>
      <w:r w:rsidR="00C513D8">
        <w:rPr>
          <w:rFonts w:cs="Arial"/>
        </w:rPr>
        <w:t xml:space="preserve">Chrudimi </w:t>
      </w:r>
      <w:r>
        <w:rPr>
          <w:rFonts w:cs="Arial"/>
        </w:rPr>
        <w:t xml:space="preserve">dne </w:t>
      </w:r>
      <w:r w:rsidR="00FA4F40">
        <w:rPr>
          <w:rFonts w:cs="Arial"/>
        </w:rPr>
        <w:t xml:space="preserve">dle </w:t>
      </w:r>
      <w:proofErr w:type="spellStart"/>
      <w:r w:rsidR="00FA4F40">
        <w:rPr>
          <w:rFonts w:cs="Arial"/>
        </w:rPr>
        <w:t>el.podpisu</w:t>
      </w:r>
      <w:proofErr w:type="spellEnd"/>
    </w:p>
    <w:p w14:paraId="4D3EA1C3" w14:textId="77777777" w:rsidR="007B2A46" w:rsidRDefault="007B2A46"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743A28A7" w14:textId="77777777" w:rsidR="00BD6239" w:rsidRDefault="00BD6239" w:rsidP="007B2A46">
      <w:pPr>
        <w:tabs>
          <w:tab w:val="left" w:pos="5387"/>
        </w:tabs>
        <w:spacing w:after="0" w:line="240" w:lineRule="auto"/>
        <w:ind w:left="284" w:right="118"/>
        <w:jc w:val="both"/>
        <w:rPr>
          <w:rFonts w:cs="Arial"/>
        </w:rPr>
      </w:pPr>
    </w:p>
    <w:p w14:paraId="23567251" w14:textId="77777777" w:rsidR="00BD6239" w:rsidRDefault="00BD6239" w:rsidP="007B2A46">
      <w:pPr>
        <w:tabs>
          <w:tab w:val="left" w:pos="5387"/>
        </w:tabs>
        <w:spacing w:after="0" w:line="240" w:lineRule="auto"/>
        <w:ind w:left="284" w:right="118"/>
        <w:jc w:val="both"/>
        <w:rPr>
          <w:rFonts w:cs="Arial"/>
        </w:rPr>
      </w:pPr>
    </w:p>
    <w:p w14:paraId="4436163E" w14:textId="77777777" w:rsidR="00BD6239" w:rsidRDefault="00BD6239" w:rsidP="007B2A46">
      <w:pPr>
        <w:tabs>
          <w:tab w:val="left" w:pos="5387"/>
        </w:tabs>
        <w:spacing w:after="0" w:line="240" w:lineRule="auto"/>
        <w:ind w:left="284" w:right="118"/>
        <w:jc w:val="both"/>
        <w:rPr>
          <w:rFonts w:cs="Arial"/>
        </w:rPr>
      </w:pPr>
    </w:p>
    <w:p w14:paraId="21D15FDB" w14:textId="77777777" w:rsidR="00BD6239" w:rsidRDefault="00BD6239"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72A2E4" w14:textId="23F2C265" w:rsidR="007B2A46" w:rsidRDefault="007B2A46" w:rsidP="007B2A46">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8" w:name="jmeno_firmy2"/>
      <w:bookmarkEnd w:id="8"/>
      <w:r w:rsidR="008F2F23" w:rsidRPr="00CA5875">
        <w:rPr>
          <w:rFonts w:cs="Arial"/>
          <w:b/>
        </w:rPr>
        <w:t xml:space="preserve">Česká republika </w:t>
      </w:r>
      <w:r w:rsidR="00CA5875" w:rsidRPr="00CA5875">
        <w:rPr>
          <w:rFonts w:cs="Arial"/>
          <w:b/>
        </w:rPr>
        <w:t>–</w:t>
      </w:r>
      <w:r w:rsidR="008F2F23">
        <w:rPr>
          <w:rFonts w:cs="Arial"/>
          <w:b/>
        </w:rPr>
        <w:t xml:space="preserve"> </w:t>
      </w:r>
      <w:r w:rsidR="00CA5875">
        <w:rPr>
          <w:rFonts w:cs="Arial"/>
          <w:b/>
        </w:rPr>
        <w:t xml:space="preserve">Okresní </w:t>
      </w:r>
      <w:r w:rsidR="00250A3B">
        <w:rPr>
          <w:rFonts w:cs="Arial"/>
          <w:b/>
        </w:rPr>
        <w:t>soud v</w:t>
      </w:r>
      <w:r w:rsidR="00C513D8">
        <w:rPr>
          <w:rFonts w:cs="Arial"/>
          <w:b/>
        </w:rPr>
        <w:t xml:space="preserve"> Chrudimi </w:t>
      </w:r>
    </w:p>
    <w:p w14:paraId="6886D4AB" w14:textId="4D172391" w:rsidR="00FA4F40" w:rsidRDefault="007B2A46" w:rsidP="00FA4F40">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FA4F40" w:rsidRPr="00FA4F40">
        <w:rPr>
          <w:rFonts w:cs="Arial"/>
        </w:rPr>
        <w:t>JUDr. Milan Špryňar, předseda okresního soudu</w:t>
      </w:r>
    </w:p>
    <w:p w14:paraId="7AF744B2" w14:textId="77777777" w:rsidR="00FA4F40" w:rsidRDefault="00FA4F40" w:rsidP="00FA4F40">
      <w:pPr>
        <w:tabs>
          <w:tab w:val="left" w:pos="5387"/>
        </w:tabs>
        <w:spacing w:after="0" w:line="240" w:lineRule="auto"/>
        <w:ind w:right="118"/>
        <w:jc w:val="both"/>
        <w:rPr>
          <w:rFonts w:cs="Arial"/>
        </w:rPr>
      </w:pPr>
    </w:p>
    <w:p w14:paraId="2DAF420E" w14:textId="77777777" w:rsidR="00FA4F40" w:rsidRDefault="00FA4F40" w:rsidP="00FA4F40">
      <w:pPr>
        <w:tabs>
          <w:tab w:val="left" w:pos="5387"/>
        </w:tabs>
        <w:spacing w:after="0" w:line="240" w:lineRule="auto"/>
        <w:ind w:right="118"/>
        <w:jc w:val="both"/>
        <w:rPr>
          <w:rFonts w:cs="Arial"/>
        </w:rPr>
      </w:pPr>
    </w:p>
    <w:p w14:paraId="254FAF42" w14:textId="77777777" w:rsidR="00FA4F40" w:rsidRDefault="00FA4F40" w:rsidP="00FA4F40">
      <w:pPr>
        <w:tabs>
          <w:tab w:val="left" w:pos="5387"/>
        </w:tabs>
        <w:spacing w:after="0" w:line="240" w:lineRule="auto"/>
        <w:ind w:right="118"/>
        <w:jc w:val="both"/>
        <w:rPr>
          <w:rFonts w:cs="Arial"/>
        </w:rPr>
      </w:pPr>
    </w:p>
    <w:p w14:paraId="00439601" w14:textId="77777777" w:rsidR="00FA4F40" w:rsidRDefault="00FA4F40" w:rsidP="00FA4F40">
      <w:pPr>
        <w:tabs>
          <w:tab w:val="left" w:pos="5387"/>
        </w:tabs>
        <w:spacing w:after="0" w:line="240" w:lineRule="auto"/>
        <w:ind w:right="118"/>
        <w:jc w:val="both"/>
        <w:rPr>
          <w:rFonts w:cs="Arial"/>
        </w:rPr>
      </w:pPr>
    </w:p>
    <w:p w14:paraId="5958C1BF" w14:textId="77777777" w:rsidR="00FA4F40" w:rsidRDefault="00FA4F40" w:rsidP="00FA4F40">
      <w:pPr>
        <w:tabs>
          <w:tab w:val="left" w:pos="5387"/>
        </w:tabs>
        <w:spacing w:after="0" w:line="240" w:lineRule="auto"/>
        <w:ind w:right="118"/>
        <w:jc w:val="both"/>
        <w:rPr>
          <w:rFonts w:cs="Arial"/>
        </w:rPr>
      </w:pPr>
    </w:p>
    <w:p w14:paraId="4FBBA48C" w14:textId="77777777" w:rsidR="00FA4F40" w:rsidRDefault="00FA4F40" w:rsidP="00FA4F40">
      <w:pPr>
        <w:tabs>
          <w:tab w:val="left" w:pos="5387"/>
        </w:tabs>
        <w:spacing w:after="0" w:line="240" w:lineRule="auto"/>
        <w:ind w:right="118"/>
        <w:jc w:val="both"/>
        <w:rPr>
          <w:rFonts w:cs="Arial"/>
        </w:rPr>
      </w:pPr>
    </w:p>
    <w:p w14:paraId="7D98C6EF" w14:textId="77777777" w:rsidR="00FA4F40" w:rsidRDefault="00FA4F40" w:rsidP="00FA4F40">
      <w:pPr>
        <w:tabs>
          <w:tab w:val="left" w:pos="5387"/>
        </w:tabs>
        <w:spacing w:after="0" w:line="240" w:lineRule="auto"/>
        <w:ind w:right="118"/>
        <w:jc w:val="both"/>
        <w:rPr>
          <w:rFonts w:cs="Arial"/>
        </w:rPr>
      </w:pPr>
    </w:p>
    <w:p w14:paraId="4AF8555C" w14:textId="77777777" w:rsidR="00611BA9" w:rsidRDefault="00611BA9" w:rsidP="00FA4F40">
      <w:pPr>
        <w:tabs>
          <w:tab w:val="left" w:pos="5387"/>
        </w:tabs>
        <w:spacing w:after="0" w:line="240" w:lineRule="auto"/>
        <w:ind w:right="118"/>
        <w:jc w:val="both"/>
        <w:rPr>
          <w:rFonts w:cs="Arial"/>
        </w:rPr>
      </w:pPr>
    </w:p>
    <w:p w14:paraId="3120D24E" w14:textId="056CFEA1" w:rsidR="007B2A46" w:rsidRDefault="00FA4F40" w:rsidP="00FA4F40">
      <w:pPr>
        <w:tabs>
          <w:tab w:val="left" w:pos="5387"/>
        </w:tabs>
        <w:spacing w:after="0" w:line="240" w:lineRule="auto"/>
        <w:ind w:right="118"/>
        <w:jc w:val="both"/>
        <w:rPr>
          <w:rFonts w:cs="Arial"/>
          <w:b/>
        </w:rPr>
      </w:pPr>
      <w:r>
        <w:rPr>
          <w:rFonts w:cs="Arial"/>
          <w:b/>
        </w:rPr>
        <w:lastRenderedPageBreak/>
        <w:t xml:space="preserve">    </w:t>
      </w:r>
      <w:r w:rsidR="00611BA9">
        <w:rPr>
          <w:rFonts w:cs="Arial"/>
          <w:b/>
        </w:rPr>
        <w:t xml:space="preserve">  </w:t>
      </w:r>
      <w:r w:rsidR="007B2A46">
        <w:rPr>
          <w:rFonts w:cs="Arial"/>
          <w:b/>
        </w:rPr>
        <w:t>PŘÍLOHA: Rozsah licence</w:t>
      </w:r>
      <w:r w:rsidR="007B2A46">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77777777"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7809D88C" w14:textId="64032472" w:rsidR="007B2A46" w:rsidRPr="00D37C59" w:rsidRDefault="00D37C59" w:rsidP="007B2A46">
      <w:pPr>
        <w:spacing w:after="0" w:line="240" w:lineRule="auto"/>
        <w:ind w:left="709" w:right="260"/>
        <w:jc w:val="both"/>
        <w:rPr>
          <w:rFonts w:cs="Arial"/>
        </w:rPr>
      </w:pPr>
      <w:r w:rsidRPr="00D37C59">
        <w:rPr>
          <w:color w:val="000000"/>
        </w:rPr>
        <w:t>Poskytovatel umožní přístup výlučně do následujících databází (modulů) Beck-online všem oprávněným osobám uživatele prostřednictvím uživatelských účtů na jméno:</w:t>
      </w:r>
    </w:p>
    <w:p w14:paraId="2CC569B2" w14:textId="77777777" w:rsidR="007B2A46" w:rsidRDefault="007B2A46" w:rsidP="007B2A46">
      <w:pPr>
        <w:spacing w:after="0" w:line="240" w:lineRule="auto"/>
        <w:ind w:left="567" w:right="260" w:hanging="426"/>
        <w:contextualSpacing/>
        <w:jc w:val="both"/>
        <w:rPr>
          <w:rFonts w:cs="Arial"/>
          <w:b/>
        </w:rPr>
      </w:pPr>
    </w:p>
    <w:p w14:paraId="2C74AECD"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rsidRPr="00BD6239" w14:paraId="52E2260A" w14:textId="77777777" w:rsidTr="00BD6239">
        <w:trPr>
          <w:trHeight w:val="254"/>
        </w:trPr>
        <w:tc>
          <w:tcPr>
            <w:tcW w:w="4820" w:type="dxa"/>
            <w:tcBorders>
              <w:bottom w:val="nil"/>
            </w:tcBorders>
            <w:hideMark/>
          </w:tcPr>
          <w:p w14:paraId="1362BFD9" w14:textId="77777777" w:rsidR="007B2A46" w:rsidRPr="00BD6239" w:rsidRDefault="007B2A46">
            <w:pPr>
              <w:spacing w:after="0" w:line="240" w:lineRule="auto"/>
              <w:ind w:left="33"/>
              <w:rPr>
                <w:b/>
                <w:bCs/>
              </w:rPr>
            </w:pPr>
            <w:bookmarkStart w:id="9" w:name="sl1"/>
            <w:bookmarkStart w:id="10" w:name="sl3" w:colFirst="1" w:colLast="1"/>
            <w:bookmarkEnd w:id="9"/>
            <w:r w:rsidRPr="00BD6239">
              <w:rPr>
                <w:b/>
                <w:bCs/>
              </w:rPr>
              <w:t>Modul</w:t>
            </w:r>
          </w:p>
        </w:tc>
        <w:tc>
          <w:tcPr>
            <w:tcW w:w="3945" w:type="dxa"/>
            <w:tcBorders>
              <w:bottom w:val="nil"/>
            </w:tcBorders>
          </w:tcPr>
          <w:p w14:paraId="4E66A559" w14:textId="3741689E" w:rsidR="007B2A46" w:rsidRPr="00BD6239" w:rsidRDefault="007B2A46">
            <w:pPr>
              <w:spacing w:after="0" w:line="240" w:lineRule="auto"/>
              <w:rPr>
                <w:b/>
                <w:bCs/>
                <w:color w:val="000000"/>
              </w:rPr>
            </w:pPr>
            <w:bookmarkStart w:id="11" w:name="sl2"/>
            <w:bookmarkEnd w:id="11"/>
          </w:p>
        </w:tc>
      </w:tr>
      <w:tr w:rsidR="00BD6239" w14:paraId="652C35C7" w14:textId="77777777" w:rsidTr="00BD6239">
        <w:trPr>
          <w:trHeight w:val="254"/>
        </w:trPr>
        <w:tc>
          <w:tcPr>
            <w:tcW w:w="4820" w:type="dxa"/>
            <w:tcBorders>
              <w:top w:val="nil"/>
              <w:bottom w:val="nil"/>
            </w:tcBorders>
          </w:tcPr>
          <w:p w14:paraId="0F5F8043" w14:textId="77777777" w:rsidR="00BD6239" w:rsidRPr="00BD6239" w:rsidRDefault="00BD6239">
            <w:pPr>
              <w:spacing w:after="0" w:line="240" w:lineRule="auto"/>
              <w:ind w:left="33"/>
            </w:pPr>
            <w:r w:rsidRPr="00BD6239">
              <w:t>Beck-online PRO</w:t>
            </w:r>
          </w:p>
        </w:tc>
        <w:tc>
          <w:tcPr>
            <w:tcW w:w="3945" w:type="dxa"/>
            <w:tcBorders>
              <w:top w:val="nil"/>
              <w:bottom w:val="nil"/>
            </w:tcBorders>
          </w:tcPr>
          <w:p w14:paraId="5DC8387F" w14:textId="77777777" w:rsidR="00BD6239" w:rsidRDefault="00BD6239">
            <w:pPr>
              <w:spacing w:after="0" w:line="240" w:lineRule="auto"/>
              <w:rPr>
                <w:rFonts w:eastAsia="Times New Roman" w:cs="Arial"/>
                <w:b/>
                <w:bCs/>
                <w:color w:val="000000"/>
              </w:rPr>
            </w:pPr>
          </w:p>
        </w:tc>
      </w:tr>
      <w:tr w:rsidR="00BD6239" w14:paraId="25B22234" w14:textId="77777777" w:rsidTr="00BD6239">
        <w:trPr>
          <w:trHeight w:val="254"/>
        </w:trPr>
        <w:tc>
          <w:tcPr>
            <w:tcW w:w="4820" w:type="dxa"/>
            <w:tcBorders>
              <w:top w:val="nil"/>
              <w:bottom w:val="nil"/>
            </w:tcBorders>
          </w:tcPr>
          <w:p w14:paraId="6C1804BB" w14:textId="77777777" w:rsidR="00BD6239" w:rsidRPr="00BD6239" w:rsidRDefault="00BD6239">
            <w:pPr>
              <w:spacing w:after="0" w:line="240" w:lineRule="auto"/>
              <w:ind w:left="33"/>
            </w:pPr>
            <w:r w:rsidRPr="00BD6239">
              <w:t>Daňové právo</w:t>
            </w:r>
          </w:p>
        </w:tc>
        <w:tc>
          <w:tcPr>
            <w:tcW w:w="3945" w:type="dxa"/>
            <w:tcBorders>
              <w:top w:val="nil"/>
              <w:bottom w:val="nil"/>
            </w:tcBorders>
          </w:tcPr>
          <w:p w14:paraId="707A7A48" w14:textId="77777777" w:rsidR="00BD6239" w:rsidRDefault="00BD6239">
            <w:pPr>
              <w:spacing w:after="0" w:line="240" w:lineRule="auto"/>
              <w:rPr>
                <w:rFonts w:eastAsia="Times New Roman" w:cs="Arial"/>
                <w:b/>
                <w:bCs/>
                <w:color w:val="000000"/>
              </w:rPr>
            </w:pPr>
          </w:p>
        </w:tc>
      </w:tr>
      <w:tr w:rsidR="00BD6239" w14:paraId="582A831A" w14:textId="77777777" w:rsidTr="00BD6239">
        <w:trPr>
          <w:trHeight w:val="254"/>
        </w:trPr>
        <w:tc>
          <w:tcPr>
            <w:tcW w:w="4820" w:type="dxa"/>
            <w:tcBorders>
              <w:top w:val="nil"/>
              <w:bottom w:val="nil"/>
            </w:tcBorders>
          </w:tcPr>
          <w:p w14:paraId="3DD6FD15" w14:textId="77777777" w:rsidR="00BD6239" w:rsidRPr="00BD6239" w:rsidRDefault="00BD6239">
            <w:pPr>
              <w:spacing w:after="0" w:line="240" w:lineRule="auto"/>
              <w:ind w:left="33"/>
            </w:pPr>
            <w:r w:rsidRPr="00BD6239">
              <w:t>Duševní vlastnictví</w:t>
            </w:r>
          </w:p>
        </w:tc>
        <w:tc>
          <w:tcPr>
            <w:tcW w:w="3945" w:type="dxa"/>
            <w:tcBorders>
              <w:top w:val="nil"/>
              <w:bottom w:val="nil"/>
            </w:tcBorders>
          </w:tcPr>
          <w:p w14:paraId="7BB7E073" w14:textId="77777777" w:rsidR="00BD6239" w:rsidRDefault="00BD6239">
            <w:pPr>
              <w:spacing w:after="0" w:line="240" w:lineRule="auto"/>
              <w:rPr>
                <w:rFonts w:eastAsia="Times New Roman" w:cs="Arial"/>
                <w:b/>
                <w:bCs/>
                <w:color w:val="000000"/>
              </w:rPr>
            </w:pPr>
          </w:p>
        </w:tc>
      </w:tr>
      <w:tr w:rsidR="00BD6239" w14:paraId="540DC639" w14:textId="77777777" w:rsidTr="00BD6239">
        <w:trPr>
          <w:trHeight w:val="254"/>
        </w:trPr>
        <w:tc>
          <w:tcPr>
            <w:tcW w:w="4820" w:type="dxa"/>
            <w:tcBorders>
              <w:top w:val="nil"/>
              <w:bottom w:val="nil"/>
            </w:tcBorders>
          </w:tcPr>
          <w:p w14:paraId="71F468DD" w14:textId="77777777" w:rsidR="00BD6239" w:rsidRPr="00BD6239" w:rsidRDefault="00BD6239">
            <w:pPr>
              <w:spacing w:after="0" w:line="240" w:lineRule="auto"/>
              <w:ind w:left="33"/>
            </w:pPr>
            <w:r w:rsidRPr="00BD6239">
              <w:t>Finanční právo</w:t>
            </w:r>
          </w:p>
        </w:tc>
        <w:tc>
          <w:tcPr>
            <w:tcW w:w="3945" w:type="dxa"/>
            <w:tcBorders>
              <w:top w:val="nil"/>
              <w:bottom w:val="nil"/>
            </w:tcBorders>
          </w:tcPr>
          <w:p w14:paraId="4867E01E" w14:textId="77777777" w:rsidR="00BD6239" w:rsidRDefault="00BD6239">
            <w:pPr>
              <w:spacing w:after="0" w:line="240" w:lineRule="auto"/>
              <w:rPr>
                <w:rFonts w:eastAsia="Times New Roman" w:cs="Arial"/>
                <w:b/>
                <w:bCs/>
                <w:color w:val="000000"/>
              </w:rPr>
            </w:pPr>
          </w:p>
        </w:tc>
      </w:tr>
      <w:tr w:rsidR="00BD6239" w14:paraId="2434E3CB" w14:textId="77777777" w:rsidTr="00BD6239">
        <w:trPr>
          <w:trHeight w:val="254"/>
        </w:trPr>
        <w:tc>
          <w:tcPr>
            <w:tcW w:w="4820" w:type="dxa"/>
            <w:tcBorders>
              <w:top w:val="nil"/>
              <w:bottom w:val="nil"/>
            </w:tcBorders>
          </w:tcPr>
          <w:p w14:paraId="2F7A650E" w14:textId="77777777" w:rsidR="00BD6239" w:rsidRPr="00BD6239" w:rsidRDefault="00BD6239">
            <w:pPr>
              <w:spacing w:after="0" w:line="240" w:lineRule="auto"/>
              <w:ind w:left="33"/>
            </w:pPr>
            <w:r w:rsidRPr="00BD6239">
              <w:t>Justiční a procesní právo PLUS</w:t>
            </w:r>
          </w:p>
        </w:tc>
        <w:tc>
          <w:tcPr>
            <w:tcW w:w="3945" w:type="dxa"/>
            <w:tcBorders>
              <w:top w:val="nil"/>
              <w:bottom w:val="nil"/>
            </w:tcBorders>
          </w:tcPr>
          <w:p w14:paraId="05839697" w14:textId="77777777" w:rsidR="00BD6239" w:rsidRDefault="00BD6239">
            <w:pPr>
              <w:spacing w:after="0" w:line="240" w:lineRule="auto"/>
              <w:rPr>
                <w:rFonts w:eastAsia="Times New Roman" w:cs="Arial"/>
                <w:b/>
                <w:bCs/>
                <w:color w:val="000000"/>
              </w:rPr>
            </w:pPr>
          </w:p>
        </w:tc>
      </w:tr>
      <w:tr w:rsidR="00BD6239" w14:paraId="280BBE82" w14:textId="77777777" w:rsidTr="00BD6239">
        <w:trPr>
          <w:trHeight w:val="254"/>
        </w:trPr>
        <w:tc>
          <w:tcPr>
            <w:tcW w:w="4820" w:type="dxa"/>
            <w:tcBorders>
              <w:top w:val="nil"/>
              <w:bottom w:val="nil"/>
            </w:tcBorders>
          </w:tcPr>
          <w:p w14:paraId="1C139A6C" w14:textId="77777777" w:rsidR="00BD6239" w:rsidRPr="00BD6239" w:rsidRDefault="00BD6239">
            <w:pPr>
              <w:spacing w:after="0" w:line="240" w:lineRule="auto"/>
              <w:ind w:left="33"/>
            </w:pPr>
            <w:r w:rsidRPr="00BD6239">
              <w:t>Občanské právo PLUS</w:t>
            </w:r>
          </w:p>
        </w:tc>
        <w:tc>
          <w:tcPr>
            <w:tcW w:w="3945" w:type="dxa"/>
            <w:tcBorders>
              <w:top w:val="nil"/>
              <w:bottom w:val="nil"/>
            </w:tcBorders>
          </w:tcPr>
          <w:p w14:paraId="3717D323" w14:textId="77777777" w:rsidR="00BD6239" w:rsidRDefault="00BD6239">
            <w:pPr>
              <w:spacing w:after="0" w:line="240" w:lineRule="auto"/>
              <w:rPr>
                <w:rFonts w:eastAsia="Times New Roman" w:cs="Arial"/>
                <w:b/>
                <w:bCs/>
                <w:color w:val="000000"/>
              </w:rPr>
            </w:pPr>
          </w:p>
        </w:tc>
      </w:tr>
      <w:tr w:rsidR="00BD6239" w14:paraId="27EC8689" w14:textId="77777777" w:rsidTr="00BD6239">
        <w:trPr>
          <w:trHeight w:val="254"/>
        </w:trPr>
        <w:tc>
          <w:tcPr>
            <w:tcW w:w="4820" w:type="dxa"/>
            <w:tcBorders>
              <w:top w:val="nil"/>
              <w:bottom w:val="nil"/>
            </w:tcBorders>
          </w:tcPr>
          <w:p w14:paraId="65983E11" w14:textId="77777777" w:rsidR="00BD6239" w:rsidRPr="00BD6239" w:rsidRDefault="00BD6239">
            <w:pPr>
              <w:spacing w:after="0" w:line="240" w:lineRule="auto"/>
              <w:ind w:left="33"/>
            </w:pPr>
            <w:r w:rsidRPr="00BD6239">
              <w:t>Obchodní korporace PLUS</w:t>
            </w:r>
          </w:p>
        </w:tc>
        <w:tc>
          <w:tcPr>
            <w:tcW w:w="3945" w:type="dxa"/>
            <w:tcBorders>
              <w:top w:val="nil"/>
              <w:bottom w:val="nil"/>
            </w:tcBorders>
          </w:tcPr>
          <w:p w14:paraId="1C91FEE6" w14:textId="77777777" w:rsidR="00BD6239" w:rsidRDefault="00BD6239">
            <w:pPr>
              <w:spacing w:after="0" w:line="240" w:lineRule="auto"/>
              <w:rPr>
                <w:rFonts w:eastAsia="Times New Roman" w:cs="Arial"/>
                <w:b/>
                <w:bCs/>
                <w:color w:val="000000"/>
              </w:rPr>
            </w:pPr>
          </w:p>
        </w:tc>
      </w:tr>
      <w:tr w:rsidR="00BD6239" w14:paraId="123F9AF4" w14:textId="77777777" w:rsidTr="00BD6239">
        <w:trPr>
          <w:trHeight w:val="254"/>
        </w:trPr>
        <w:tc>
          <w:tcPr>
            <w:tcW w:w="4820" w:type="dxa"/>
            <w:tcBorders>
              <w:top w:val="nil"/>
              <w:bottom w:val="nil"/>
            </w:tcBorders>
          </w:tcPr>
          <w:p w14:paraId="37F20C76" w14:textId="77777777" w:rsidR="00BD6239" w:rsidRPr="00BD6239" w:rsidRDefault="00BD6239">
            <w:pPr>
              <w:spacing w:after="0" w:line="240" w:lineRule="auto"/>
              <w:ind w:left="33"/>
            </w:pPr>
            <w:r w:rsidRPr="00BD6239">
              <w:t>Pracovní a sociální právo PLUS</w:t>
            </w:r>
          </w:p>
        </w:tc>
        <w:tc>
          <w:tcPr>
            <w:tcW w:w="3945" w:type="dxa"/>
            <w:tcBorders>
              <w:top w:val="nil"/>
              <w:bottom w:val="nil"/>
            </w:tcBorders>
          </w:tcPr>
          <w:p w14:paraId="5BD4EAC6" w14:textId="77777777" w:rsidR="00BD6239" w:rsidRDefault="00BD6239">
            <w:pPr>
              <w:spacing w:after="0" w:line="240" w:lineRule="auto"/>
              <w:rPr>
                <w:rFonts w:eastAsia="Times New Roman" w:cs="Arial"/>
                <w:b/>
                <w:bCs/>
                <w:color w:val="000000"/>
              </w:rPr>
            </w:pPr>
          </w:p>
        </w:tc>
      </w:tr>
      <w:tr w:rsidR="00BD6239" w14:paraId="432BFE5B" w14:textId="77777777" w:rsidTr="00BD6239">
        <w:trPr>
          <w:trHeight w:val="254"/>
        </w:trPr>
        <w:tc>
          <w:tcPr>
            <w:tcW w:w="4820" w:type="dxa"/>
            <w:tcBorders>
              <w:top w:val="nil"/>
              <w:bottom w:val="nil"/>
            </w:tcBorders>
          </w:tcPr>
          <w:p w14:paraId="2D284122" w14:textId="77777777" w:rsidR="00BD6239" w:rsidRPr="00BD6239" w:rsidRDefault="00BD6239">
            <w:pPr>
              <w:spacing w:after="0" w:line="240" w:lineRule="auto"/>
              <w:ind w:left="33"/>
            </w:pPr>
            <w:r w:rsidRPr="00BD6239">
              <w:t>Soutěžní právo</w:t>
            </w:r>
          </w:p>
        </w:tc>
        <w:tc>
          <w:tcPr>
            <w:tcW w:w="3945" w:type="dxa"/>
            <w:tcBorders>
              <w:top w:val="nil"/>
              <w:bottom w:val="nil"/>
            </w:tcBorders>
          </w:tcPr>
          <w:p w14:paraId="7C577B8E" w14:textId="77777777" w:rsidR="00BD6239" w:rsidRDefault="00BD6239">
            <w:pPr>
              <w:spacing w:after="0" w:line="240" w:lineRule="auto"/>
              <w:rPr>
                <w:rFonts w:eastAsia="Times New Roman" w:cs="Arial"/>
                <w:b/>
                <w:bCs/>
                <w:color w:val="000000"/>
              </w:rPr>
            </w:pPr>
          </w:p>
        </w:tc>
      </w:tr>
      <w:tr w:rsidR="00BD6239" w14:paraId="2C708207" w14:textId="77777777" w:rsidTr="00BD6239">
        <w:trPr>
          <w:trHeight w:val="254"/>
        </w:trPr>
        <w:tc>
          <w:tcPr>
            <w:tcW w:w="4820" w:type="dxa"/>
            <w:tcBorders>
              <w:top w:val="nil"/>
              <w:bottom w:val="nil"/>
            </w:tcBorders>
          </w:tcPr>
          <w:p w14:paraId="09C9C7FF" w14:textId="77777777" w:rsidR="00BD6239" w:rsidRPr="00BD6239" w:rsidRDefault="00BD6239">
            <w:pPr>
              <w:spacing w:after="0" w:line="240" w:lineRule="auto"/>
              <w:ind w:left="33"/>
            </w:pPr>
            <w:r w:rsidRPr="00BD6239">
              <w:t>Správní a ústavní právo</w:t>
            </w:r>
          </w:p>
        </w:tc>
        <w:tc>
          <w:tcPr>
            <w:tcW w:w="3945" w:type="dxa"/>
            <w:tcBorders>
              <w:top w:val="nil"/>
              <w:bottom w:val="nil"/>
            </w:tcBorders>
          </w:tcPr>
          <w:p w14:paraId="1D0A3A6F" w14:textId="77777777" w:rsidR="00BD6239" w:rsidRDefault="00BD6239">
            <w:pPr>
              <w:spacing w:after="0" w:line="240" w:lineRule="auto"/>
              <w:rPr>
                <w:rFonts w:eastAsia="Times New Roman" w:cs="Arial"/>
                <w:b/>
                <w:bCs/>
                <w:color w:val="000000"/>
              </w:rPr>
            </w:pPr>
          </w:p>
        </w:tc>
      </w:tr>
      <w:tr w:rsidR="00BD6239" w14:paraId="31C411A6" w14:textId="77777777" w:rsidTr="00BD6239">
        <w:trPr>
          <w:trHeight w:val="254"/>
        </w:trPr>
        <w:tc>
          <w:tcPr>
            <w:tcW w:w="4820" w:type="dxa"/>
            <w:tcBorders>
              <w:top w:val="nil"/>
              <w:bottom w:val="nil"/>
            </w:tcBorders>
          </w:tcPr>
          <w:p w14:paraId="733907E1" w14:textId="77777777" w:rsidR="00BD6239" w:rsidRPr="00BD6239" w:rsidRDefault="00BD6239">
            <w:pPr>
              <w:spacing w:after="0" w:line="240" w:lineRule="auto"/>
              <w:ind w:left="33"/>
            </w:pPr>
            <w:r w:rsidRPr="00BD6239">
              <w:t>Správní právo - obce a kraje</w:t>
            </w:r>
          </w:p>
        </w:tc>
        <w:tc>
          <w:tcPr>
            <w:tcW w:w="3945" w:type="dxa"/>
            <w:tcBorders>
              <w:top w:val="nil"/>
              <w:bottom w:val="nil"/>
            </w:tcBorders>
          </w:tcPr>
          <w:p w14:paraId="6DF02B8F" w14:textId="77777777" w:rsidR="00BD6239" w:rsidRDefault="00BD6239">
            <w:pPr>
              <w:spacing w:after="0" w:line="240" w:lineRule="auto"/>
              <w:rPr>
                <w:rFonts w:eastAsia="Times New Roman" w:cs="Arial"/>
                <w:b/>
                <w:bCs/>
                <w:color w:val="000000"/>
              </w:rPr>
            </w:pPr>
          </w:p>
        </w:tc>
      </w:tr>
      <w:tr w:rsidR="00BD6239" w14:paraId="58962B6B" w14:textId="77777777" w:rsidTr="00BD6239">
        <w:trPr>
          <w:trHeight w:val="254"/>
        </w:trPr>
        <w:tc>
          <w:tcPr>
            <w:tcW w:w="4820" w:type="dxa"/>
            <w:tcBorders>
              <w:top w:val="nil"/>
              <w:bottom w:val="nil"/>
            </w:tcBorders>
          </w:tcPr>
          <w:p w14:paraId="49E5DB28" w14:textId="77777777" w:rsidR="00BD6239" w:rsidRPr="00BD6239" w:rsidRDefault="00BD6239">
            <w:pPr>
              <w:spacing w:after="0" w:line="240" w:lineRule="auto"/>
              <w:ind w:left="33"/>
            </w:pPr>
            <w:r w:rsidRPr="00BD6239">
              <w:t>Správní právo - stavební právo</w:t>
            </w:r>
          </w:p>
        </w:tc>
        <w:tc>
          <w:tcPr>
            <w:tcW w:w="3945" w:type="dxa"/>
            <w:tcBorders>
              <w:top w:val="nil"/>
              <w:bottom w:val="nil"/>
            </w:tcBorders>
          </w:tcPr>
          <w:p w14:paraId="12155CCF" w14:textId="77777777" w:rsidR="00BD6239" w:rsidRDefault="00BD6239">
            <w:pPr>
              <w:spacing w:after="0" w:line="240" w:lineRule="auto"/>
              <w:rPr>
                <w:rFonts w:eastAsia="Times New Roman" w:cs="Arial"/>
                <w:b/>
                <w:bCs/>
                <w:color w:val="000000"/>
              </w:rPr>
            </w:pPr>
          </w:p>
        </w:tc>
      </w:tr>
      <w:tr w:rsidR="00BD6239" w14:paraId="5D2E4D3A" w14:textId="77777777" w:rsidTr="00BD6239">
        <w:trPr>
          <w:trHeight w:val="254"/>
        </w:trPr>
        <w:tc>
          <w:tcPr>
            <w:tcW w:w="4820" w:type="dxa"/>
            <w:tcBorders>
              <w:top w:val="nil"/>
              <w:bottom w:val="nil"/>
            </w:tcBorders>
          </w:tcPr>
          <w:p w14:paraId="140C86E2" w14:textId="77777777" w:rsidR="00BD6239" w:rsidRPr="00BD6239" w:rsidRDefault="00BD6239">
            <w:pPr>
              <w:spacing w:after="0" w:line="240" w:lineRule="auto"/>
              <w:ind w:left="33"/>
            </w:pPr>
            <w:r w:rsidRPr="00BD6239">
              <w:t>Správní právo - zvláštní předpisy</w:t>
            </w:r>
          </w:p>
        </w:tc>
        <w:tc>
          <w:tcPr>
            <w:tcW w:w="3945" w:type="dxa"/>
            <w:tcBorders>
              <w:top w:val="nil"/>
              <w:bottom w:val="nil"/>
            </w:tcBorders>
          </w:tcPr>
          <w:p w14:paraId="3F9F4BDE" w14:textId="77777777" w:rsidR="00BD6239" w:rsidRDefault="00BD6239">
            <w:pPr>
              <w:spacing w:after="0" w:line="240" w:lineRule="auto"/>
              <w:rPr>
                <w:rFonts w:eastAsia="Times New Roman" w:cs="Arial"/>
                <w:b/>
                <w:bCs/>
                <w:color w:val="000000"/>
              </w:rPr>
            </w:pPr>
          </w:p>
        </w:tc>
      </w:tr>
      <w:tr w:rsidR="00BD6239" w14:paraId="7F75BB0A" w14:textId="77777777" w:rsidTr="00BD6239">
        <w:trPr>
          <w:trHeight w:val="254"/>
        </w:trPr>
        <w:tc>
          <w:tcPr>
            <w:tcW w:w="4820" w:type="dxa"/>
            <w:tcBorders>
              <w:top w:val="nil"/>
              <w:bottom w:val="nil"/>
            </w:tcBorders>
          </w:tcPr>
          <w:p w14:paraId="54559225" w14:textId="77777777" w:rsidR="00BD6239" w:rsidRPr="00BD6239" w:rsidRDefault="00BD6239">
            <w:pPr>
              <w:spacing w:after="0" w:line="240" w:lineRule="auto"/>
              <w:ind w:left="33"/>
            </w:pPr>
            <w:r w:rsidRPr="00BD6239">
              <w:t>Trestní právo PLUS</w:t>
            </w:r>
          </w:p>
        </w:tc>
        <w:tc>
          <w:tcPr>
            <w:tcW w:w="3945" w:type="dxa"/>
            <w:tcBorders>
              <w:top w:val="nil"/>
              <w:bottom w:val="nil"/>
            </w:tcBorders>
          </w:tcPr>
          <w:p w14:paraId="71D47ABE" w14:textId="77777777" w:rsidR="00BD6239" w:rsidRDefault="00BD6239">
            <w:pPr>
              <w:spacing w:after="0" w:line="240" w:lineRule="auto"/>
              <w:rPr>
                <w:rFonts w:eastAsia="Times New Roman" w:cs="Arial"/>
                <w:b/>
                <w:bCs/>
                <w:color w:val="000000"/>
              </w:rPr>
            </w:pPr>
          </w:p>
        </w:tc>
      </w:tr>
      <w:bookmarkEnd w:id="10"/>
    </w:tbl>
    <w:p w14:paraId="48DA3E40" w14:textId="77777777" w:rsidR="007B2A46" w:rsidRDefault="007B2A46" w:rsidP="007B2A46">
      <w:pPr>
        <w:rPr>
          <w:color w:val="E36C0A"/>
        </w:rPr>
      </w:pPr>
    </w:p>
    <w:p w14:paraId="7792F750" w14:textId="77777777" w:rsidR="007B2A46" w:rsidRDefault="007B2A46" w:rsidP="007B2A46">
      <w:pPr>
        <w:ind w:left="709" w:right="260"/>
        <w:jc w:val="both"/>
        <w:rPr>
          <w:rFonts w:cs="Arial"/>
        </w:rPr>
      </w:pPr>
    </w:p>
    <w:p w14:paraId="5C269EA3" w14:textId="77777777" w:rsidR="007B2A46" w:rsidRDefault="007B2A46" w:rsidP="007B2A46">
      <w:pPr>
        <w:ind w:left="709" w:right="260"/>
        <w:jc w:val="both"/>
        <w:rPr>
          <w:rFonts w:cs="Arial"/>
        </w:rPr>
      </w:pPr>
      <w:r>
        <w:rPr>
          <w:rFonts w:cs="Arial"/>
        </w:rPr>
        <w:t>Užívající osoby jsou součástí společnosti uživatele viz bod 3.2. VOP.</w:t>
      </w:r>
    </w:p>
    <w:p w14:paraId="50A0C6AE" w14:textId="77777777" w:rsidR="007B2A46" w:rsidRDefault="007B2A46" w:rsidP="007B2A46">
      <w:pPr>
        <w:ind w:left="567" w:right="260"/>
        <w:jc w:val="both"/>
        <w:rPr>
          <w:rFonts w:cs="Arial"/>
        </w:rPr>
      </w:pP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1882B42F" w14:textId="77777777" w:rsidR="00D37C59" w:rsidRDefault="007B2A46" w:rsidP="007B2A46">
      <w:pPr>
        <w:pStyle w:val="Odstavecseseznamem"/>
        <w:spacing w:before="120" w:after="0" w:line="240" w:lineRule="auto"/>
        <w:ind w:left="709" w:right="260"/>
        <w:jc w:val="both"/>
        <w:rPr>
          <w:rFonts w:cs="Arial"/>
        </w:rPr>
      </w:pPr>
      <w:r>
        <w:rPr>
          <w:rFonts w:cs="Arial"/>
        </w:rPr>
        <w:t xml:space="preserve">Odměna je sjednána pro období dvanácti po sobě jdoucích kalendářních měsíců (dále jen </w:t>
      </w:r>
      <w:r>
        <w:rPr>
          <w:rFonts w:cs="Arial"/>
          <w:b/>
        </w:rPr>
        <w:t>„období“</w:t>
      </w:r>
      <w:r>
        <w:rPr>
          <w:rFonts w:cs="Arial"/>
        </w:rPr>
        <w:t xml:space="preserve">). </w:t>
      </w:r>
    </w:p>
    <w:p w14:paraId="79433978" w14:textId="4D001DC4" w:rsidR="007B2A46" w:rsidRDefault="00D37C59" w:rsidP="007B2A46">
      <w:pPr>
        <w:pStyle w:val="Odstavecseseznamem"/>
        <w:spacing w:before="120" w:after="0" w:line="240" w:lineRule="auto"/>
        <w:ind w:left="709" w:right="260"/>
        <w:jc w:val="both"/>
        <w:rPr>
          <w:rFonts w:cs="Arial"/>
        </w:rPr>
      </w:pPr>
      <w:r>
        <w:rPr>
          <w:rFonts w:cs="Arial"/>
        </w:rPr>
        <w:t>O</w:t>
      </w:r>
      <w:r w:rsidR="007B2A46">
        <w:rPr>
          <w:rFonts w:cs="Arial"/>
        </w:rPr>
        <w:t>bdobí se sjednává od</w:t>
      </w:r>
      <w:r w:rsidR="007B2A46">
        <w:rPr>
          <w:rFonts w:cs="Arial"/>
          <w:b/>
        </w:rPr>
        <w:t xml:space="preserve"> </w:t>
      </w:r>
      <w:bookmarkStart w:id="12" w:name="datum_od"/>
      <w:bookmarkEnd w:id="12"/>
      <w:r w:rsidR="00250A3B">
        <w:rPr>
          <w:rFonts w:cs="Arial"/>
          <w:b/>
        </w:rPr>
        <w:t xml:space="preserve">1. </w:t>
      </w:r>
      <w:r w:rsidR="00BD6239">
        <w:rPr>
          <w:rFonts w:cs="Arial"/>
          <w:b/>
        </w:rPr>
        <w:t>2</w:t>
      </w:r>
      <w:r w:rsidR="00250A3B">
        <w:rPr>
          <w:rFonts w:cs="Arial"/>
          <w:b/>
        </w:rPr>
        <w:t>. 202</w:t>
      </w:r>
      <w:r w:rsidR="00BD6239">
        <w:rPr>
          <w:rFonts w:cs="Arial"/>
          <w:b/>
        </w:rPr>
        <w:t>5</w:t>
      </w:r>
      <w:r w:rsidR="007B2A46">
        <w:rPr>
          <w:rFonts w:cs="Arial"/>
          <w:b/>
        </w:rPr>
        <w:t xml:space="preserve"> </w:t>
      </w:r>
      <w:r w:rsidR="007B2A46">
        <w:rPr>
          <w:rFonts w:cs="Arial"/>
        </w:rPr>
        <w:t xml:space="preserve">do </w:t>
      </w:r>
      <w:bookmarkStart w:id="13" w:name="datum_do"/>
      <w:bookmarkEnd w:id="13"/>
      <w:r w:rsidR="00250A3B">
        <w:rPr>
          <w:rFonts w:cs="Arial"/>
          <w:b/>
        </w:rPr>
        <w:t>31. 1. 202</w:t>
      </w:r>
      <w:r w:rsidR="00BD6239">
        <w:rPr>
          <w:rFonts w:cs="Arial"/>
          <w:b/>
        </w:rPr>
        <w:t>6</w:t>
      </w:r>
      <w:r w:rsidR="007B2A46">
        <w:rPr>
          <w:rFonts w:cs="Arial"/>
          <w:b/>
        </w:rPr>
        <w:t>.</w:t>
      </w:r>
    </w:p>
    <w:p w14:paraId="1874B9BC" w14:textId="0A560326" w:rsidR="00550BE1" w:rsidRPr="00CA5875" w:rsidRDefault="007B2A46" w:rsidP="007B2A46">
      <w:pPr>
        <w:pStyle w:val="Odstavecseseznamem"/>
        <w:spacing w:before="120" w:after="0" w:line="240" w:lineRule="auto"/>
        <w:ind w:left="709" w:right="260"/>
        <w:jc w:val="both"/>
        <w:rPr>
          <w:rFonts w:cs="Arial"/>
        </w:rPr>
      </w:pPr>
      <w:r>
        <w:rPr>
          <w:rFonts w:cs="Arial"/>
        </w:rPr>
        <w:t>Odměna za období činí</w:t>
      </w:r>
      <w:r>
        <w:rPr>
          <w:rFonts w:cs="Arial"/>
          <w:b/>
        </w:rPr>
        <w:t xml:space="preserve"> </w:t>
      </w:r>
      <w:bookmarkStart w:id="14" w:name="cena"/>
      <w:bookmarkEnd w:id="14"/>
      <w:r w:rsidR="00C513D8">
        <w:rPr>
          <w:rFonts w:cs="Arial"/>
          <w:b/>
        </w:rPr>
        <w:t xml:space="preserve">50 797 </w:t>
      </w:r>
      <w:r w:rsidRPr="00CA5875">
        <w:rPr>
          <w:rFonts w:cs="Arial"/>
          <w:b/>
        </w:rPr>
        <w:t>Kč bez DPH</w:t>
      </w:r>
      <w:r w:rsidRPr="00CA5875">
        <w:rPr>
          <w:rFonts w:cs="Arial"/>
        </w:rPr>
        <w:t xml:space="preserve"> (dále jen </w:t>
      </w:r>
      <w:r w:rsidRPr="00CA5875">
        <w:rPr>
          <w:rFonts w:cs="Arial"/>
          <w:b/>
        </w:rPr>
        <w:t>„odměna“</w:t>
      </w:r>
      <w:r w:rsidRPr="00CA5875">
        <w:rPr>
          <w:rFonts w:cs="Arial"/>
        </w:rPr>
        <w:t>). Uživatel se zavazuje zároveň s odměnou uhradit DPH v zákonné výši</w:t>
      </w:r>
      <w:r w:rsidR="008F2F23" w:rsidRPr="00CA5875">
        <w:rPr>
          <w:rFonts w:cs="Arial"/>
        </w:rPr>
        <w:t>, kter</w:t>
      </w:r>
      <w:r w:rsidR="00A179DE" w:rsidRPr="00CA5875">
        <w:rPr>
          <w:rFonts w:cs="Arial"/>
        </w:rPr>
        <w:t>á</w:t>
      </w:r>
      <w:r w:rsidR="008F2F23" w:rsidRPr="00CA5875">
        <w:rPr>
          <w:rFonts w:cs="Arial"/>
        </w:rPr>
        <w:t xml:space="preserve"> činí </w:t>
      </w:r>
      <w:r w:rsidR="00C513D8">
        <w:rPr>
          <w:rFonts w:cs="Arial"/>
        </w:rPr>
        <w:t>6 096</w:t>
      </w:r>
      <w:r w:rsidR="008F2F23" w:rsidRPr="00CA5875">
        <w:rPr>
          <w:rFonts w:cs="Arial"/>
        </w:rPr>
        <w:t xml:space="preserve"> Kč, tj. odměna včetně DPH činí </w:t>
      </w:r>
      <w:r w:rsidR="00C513D8">
        <w:rPr>
          <w:rFonts w:cs="Arial"/>
        </w:rPr>
        <w:t>56 893</w:t>
      </w:r>
      <w:r w:rsidR="008F2F23" w:rsidRPr="00CA5875">
        <w:rPr>
          <w:rFonts w:cs="Arial"/>
        </w:rPr>
        <w:t xml:space="preserve"> Kč</w:t>
      </w:r>
      <w:r w:rsidRPr="00CA5875">
        <w:rPr>
          <w:rFonts w:cs="Arial"/>
        </w:rPr>
        <w:t xml:space="preserve">. </w:t>
      </w:r>
    </w:p>
    <w:p w14:paraId="2300B239" w14:textId="235BEBE0" w:rsidR="007B2A46" w:rsidRDefault="00550BE1" w:rsidP="007B2A46">
      <w:pPr>
        <w:pStyle w:val="Odstavecseseznamem"/>
        <w:spacing w:before="120" w:after="0" w:line="240" w:lineRule="auto"/>
        <w:ind w:left="709" w:right="260"/>
        <w:jc w:val="both"/>
        <w:rPr>
          <w:rFonts w:cs="Arial"/>
        </w:rPr>
      </w:pPr>
      <w:r w:rsidRPr="00CA5875">
        <w:rPr>
          <w:rFonts w:cs="Arial"/>
        </w:rPr>
        <w:t xml:space="preserve">Výše odměny </w:t>
      </w:r>
      <w:r w:rsidR="009D2036" w:rsidRPr="00CA5875">
        <w:rPr>
          <w:rFonts w:cs="Arial"/>
        </w:rPr>
        <w:t>vychází z aktivity</w:t>
      </w:r>
      <w:r w:rsidR="009D2036">
        <w:rPr>
          <w:rFonts w:cs="Arial"/>
        </w:rPr>
        <w:t xml:space="preserve"> uživatelů v průběhu pilotního provozu</w:t>
      </w:r>
      <w:r>
        <w:rPr>
          <w:rFonts w:cs="Arial"/>
        </w:rPr>
        <w:t xml:space="preserve"> užívání Beck-online.</w:t>
      </w:r>
    </w:p>
    <w:p w14:paraId="6CC1F179" w14:textId="77777777" w:rsidR="007B2A46" w:rsidRDefault="007B2A46" w:rsidP="007B2A46">
      <w:pPr>
        <w:ind w:left="567" w:right="260"/>
        <w:jc w:val="both"/>
        <w:rPr>
          <w:rFonts w:cs="Arial"/>
        </w:rPr>
      </w:pP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C113" w14:textId="77777777" w:rsidR="009C10CA" w:rsidRDefault="009C10CA" w:rsidP="00547186">
      <w:pPr>
        <w:spacing w:after="0" w:line="240" w:lineRule="auto"/>
      </w:pPr>
      <w:r>
        <w:separator/>
      </w:r>
    </w:p>
  </w:endnote>
  <w:endnote w:type="continuationSeparator" w:id="0">
    <w:p w14:paraId="01FE09CE" w14:textId="77777777" w:rsidR="009C10CA" w:rsidRDefault="009C10CA" w:rsidP="00547186">
      <w:pPr>
        <w:spacing w:after="0" w:line="240" w:lineRule="auto"/>
      </w:pPr>
      <w:r>
        <w:continuationSeparator/>
      </w:r>
    </w:p>
  </w:endnote>
  <w:endnote w:type="continuationNotice" w:id="1">
    <w:p w14:paraId="43FB1D86" w14:textId="77777777" w:rsidR="009C10CA" w:rsidRDefault="009C1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EBD2" w14:textId="77777777" w:rsidR="009C10CA" w:rsidRDefault="009C10CA" w:rsidP="00547186">
      <w:pPr>
        <w:spacing w:after="0" w:line="240" w:lineRule="auto"/>
      </w:pPr>
      <w:r>
        <w:separator/>
      </w:r>
    </w:p>
  </w:footnote>
  <w:footnote w:type="continuationSeparator" w:id="0">
    <w:p w14:paraId="2F59784B" w14:textId="77777777" w:rsidR="009C10CA" w:rsidRDefault="009C10CA" w:rsidP="00547186">
      <w:pPr>
        <w:spacing w:after="0" w:line="240" w:lineRule="auto"/>
      </w:pPr>
      <w:r>
        <w:continuationSeparator/>
      </w:r>
    </w:p>
  </w:footnote>
  <w:footnote w:type="continuationNotice" w:id="1">
    <w:p w14:paraId="4531FD48" w14:textId="77777777" w:rsidR="009C10CA" w:rsidRDefault="009C1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9002" w14:textId="692F547E"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9264" behindDoc="0" locked="0" layoutInCell="1" allowOverlap="1" wp14:anchorId="73DC2213" wp14:editId="5F141F3F">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85FC296"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5" w:name="nazev_dokladu"/>
    <w:bookmarkEnd w:id="15"/>
    <w:r w:rsidR="00250A3B">
      <w:rPr>
        <w:rFonts w:ascii="Calibri Light" w:hAnsi="Calibri Light" w:cs="Calibri Light"/>
      </w:rPr>
      <w:t>SML_10</w:t>
    </w:r>
    <w:r w:rsidR="0040454C">
      <w:rPr>
        <w:rFonts w:ascii="Calibri Light" w:hAnsi="Calibri Light" w:cs="Calibri Light"/>
      </w:rPr>
      <w:t>1609</w:t>
    </w:r>
    <w:r w:rsidR="007E3026">
      <w:rPr>
        <w:rFonts w:ascii="Calibri Light" w:hAnsi="Calibri Light" w:cs="Calibri Light"/>
      </w:rPr>
      <w:t>_</w:t>
    </w:r>
    <w:bookmarkStart w:id="16" w:name="smlouva_od"/>
    <w:bookmarkEnd w:id="16"/>
    <w:r w:rsidR="00250A3B">
      <w:rPr>
        <w:rFonts w:ascii="Calibri Light" w:hAnsi="Calibri Light" w:cs="Calibri Light"/>
      </w:rPr>
      <w:t>202</w:t>
    </w:r>
    <w:r w:rsidR="00917323">
      <w:rPr>
        <w:rFonts w:ascii="Calibri Light" w:hAnsi="Calibri Light" w:cs="Calibri Light"/>
      </w:rPr>
      <w:t>5</w:t>
    </w:r>
    <w:r w:rsidR="00250A3B">
      <w:rPr>
        <w:rFonts w:ascii="Calibri Light" w:hAnsi="Calibri Light" w:cs="Calibri Light"/>
      </w:rPr>
      <w:t>0</w:t>
    </w:r>
    <w:r w:rsidR="00917323">
      <w:rPr>
        <w:rFonts w:ascii="Calibri Light" w:hAnsi="Calibri Light" w:cs="Calibri Light"/>
      </w:rPr>
      <w:t>2</w:t>
    </w:r>
    <w:r w:rsidR="00250A3B">
      <w:rPr>
        <w:rFonts w:ascii="Calibri Light" w:hAnsi="Calibri Light" w:cs="Calibri Light"/>
      </w:rPr>
      <w:t>01</w:t>
    </w:r>
  </w:p>
  <w:p w14:paraId="3FC07BA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44E55"/>
    <w:rsid w:val="0005315B"/>
    <w:rsid w:val="00060CE1"/>
    <w:rsid w:val="000646EE"/>
    <w:rsid w:val="00073CC1"/>
    <w:rsid w:val="0007402A"/>
    <w:rsid w:val="00075B98"/>
    <w:rsid w:val="00083006"/>
    <w:rsid w:val="0008358C"/>
    <w:rsid w:val="00087C1D"/>
    <w:rsid w:val="00090A39"/>
    <w:rsid w:val="000958FA"/>
    <w:rsid w:val="000A32D4"/>
    <w:rsid w:val="000E1505"/>
    <w:rsid w:val="000F78FE"/>
    <w:rsid w:val="00123ED6"/>
    <w:rsid w:val="001255B7"/>
    <w:rsid w:val="0012718F"/>
    <w:rsid w:val="00165A38"/>
    <w:rsid w:val="00185244"/>
    <w:rsid w:val="001A0561"/>
    <w:rsid w:val="001A5FC9"/>
    <w:rsid w:val="001B6172"/>
    <w:rsid w:val="001C2E48"/>
    <w:rsid w:val="001D4173"/>
    <w:rsid w:val="001D75FC"/>
    <w:rsid w:val="00217202"/>
    <w:rsid w:val="00225323"/>
    <w:rsid w:val="002323F5"/>
    <w:rsid w:val="002364D6"/>
    <w:rsid w:val="00237FF3"/>
    <w:rsid w:val="0024353C"/>
    <w:rsid w:val="00250A3B"/>
    <w:rsid w:val="002537C0"/>
    <w:rsid w:val="0026351B"/>
    <w:rsid w:val="002671D7"/>
    <w:rsid w:val="00273172"/>
    <w:rsid w:val="00285F70"/>
    <w:rsid w:val="002A684C"/>
    <w:rsid w:val="002B3739"/>
    <w:rsid w:val="002B75C2"/>
    <w:rsid w:val="002D1CD4"/>
    <w:rsid w:val="002D4D1C"/>
    <w:rsid w:val="002E5EF0"/>
    <w:rsid w:val="002F7BFF"/>
    <w:rsid w:val="003058D5"/>
    <w:rsid w:val="00316444"/>
    <w:rsid w:val="00332D37"/>
    <w:rsid w:val="00337725"/>
    <w:rsid w:val="00337809"/>
    <w:rsid w:val="003404A2"/>
    <w:rsid w:val="00377FB8"/>
    <w:rsid w:val="00385314"/>
    <w:rsid w:val="003A045F"/>
    <w:rsid w:val="003A1B08"/>
    <w:rsid w:val="003A22B2"/>
    <w:rsid w:val="003B2487"/>
    <w:rsid w:val="003E174B"/>
    <w:rsid w:val="003E3404"/>
    <w:rsid w:val="00403FD0"/>
    <w:rsid w:val="0040454C"/>
    <w:rsid w:val="004079FF"/>
    <w:rsid w:val="00416EDE"/>
    <w:rsid w:val="00432847"/>
    <w:rsid w:val="00441449"/>
    <w:rsid w:val="00444C62"/>
    <w:rsid w:val="00446DE6"/>
    <w:rsid w:val="00447B09"/>
    <w:rsid w:val="0045695C"/>
    <w:rsid w:val="004655B7"/>
    <w:rsid w:val="00465810"/>
    <w:rsid w:val="00470B4F"/>
    <w:rsid w:val="004731C5"/>
    <w:rsid w:val="004A73FE"/>
    <w:rsid w:val="004B1AE6"/>
    <w:rsid w:val="004E1CB3"/>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50BE1"/>
    <w:rsid w:val="00561F00"/>
    <w:rsid w:val="0056217F"/>
    <w:rsid w:val="00565FD1"/>
    <w:rsid w:val="00567F36"/>
    <w:rsid w:val="005833B4"/>
    <w:rsid w:val="00591859"/>
    <w:rsid w:val="005A1A1C"/>
    <w:rsid w:val="005A46FA"/>
    <w:rsid w:val="005A7E99"/>
    <w:rsid w:val="005B0FD1"/>
    <w:rsid w:val="005B79F6"/>
    <w:rsid w:val="005C50AE"/>
    <w:rsid w:val="005C5FDE"/>
    <w:rsid w:val="005D4DF6"/>
    <w:rsid w:val="005E0650"/>
    <w:rsid w:val="005E15A9"/>
    <w:rsid w:val="005F75F1"/>
    <w:rsid w:val="006052DB"/>
    <w:rsid w:val="00611BA9"/>
    <w:rsid w:val="00620707"/>
    <w:rsid w:val="00622111"/>
    <w:rsid w:val="006235BA"/>
    <w:rsid w:val="0063440D"/>
    <w:rsid w:val="00650429"/>
    <w:rsid w:val="006576F0"/>
    <w:rsid w:val="00665C3B"/>
    <w:rsid w:val="00665C84"/>
    <w:rsid w:val="00670E60"/>
    <w:rsid w:val="0067317B"/>
    <w:rsid w:val="00682228"/>
    <w:rsid w:val="0068609C"/>
    <w:rsid w:val="00690122"/>
    <w:rsid w:val="006952EE"/>
    <w:rsid w:val="006A183E"/>
    <w:rsid w:val="006B19E0"/>
    <w:rsid w:val="006C0AAC"/>
    <w:rsid w:val="006C42F3"/>
    <w:rsid w:val="006C58B8"/>
    <w:rsid w:val="006D2859"/>
    <w:rsid w:val="006D7CFA"/>
    <w:rsid w:val="006E0E24"/>
    <w:rsid w:val="007115BE"/>
    <w:rsid w:val="00714B39"/>
    <w:rsid w:val="0072498A"/>
    <w:rsid w:val="00737ABB"/>
    <w:rsid w:val="007433D6"/>
    <w:rsid w:val="00745ED1"/>
    <w:rsid w:val="0074621D"/>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3293"/>
    <w:rsid w:val="00865718"/>
    <w:rsid w:val="00870341"/>
    <w:rsid w:val="00871D97"/>
    <w:rsid w:val="00877B9C"/>
    <w:rsid w:val="00890700"/>
    <w:rsid w:val="00892E12"/>
    <w:rsid w:val="00893F43"/>
    <w:rsid w:val="008949E6"/>
    <w:rsid w:val="008A4DD4"/>
    <w:rsid w:val="008A77E9"/>
    <w:rsid w:val="008B5365"/>
    <w:rsid w:val="008B5C8E"/>
    <w:rsid w:val="008B63D9"/>
    <w:rsid w:val="008C0362"/>
    <w:rsid w:val="008C436E"/>
    <w:rsid w:val="008E6381"/>
    <w:rsid w:val="008E684F"/>
    <w:rsid w:val="008F2F23"/>
    <w:rsid w:val="008F467C"/>
    <w:rsid w:val="008F6C81"/>
    <w:rsid w:val="00906DF0"/>
    <w:rsid w:val="00911035"/>
    <w:rsid w:val="00917323"/>
    <w:rsid w:val="00924B06"/>
    <w:rsid w:val="009344E2"/>
    <w:rsid w:val="00934D79"/>
    <w:rsid w:val="00960A36"/>
    <w:rsid w:val="00967AF0"/>
    <w:rsid w:val="00972DB0"/>
    <w:rsid w:val="00974B34"/>
    <w:rsid w:val="0099383E"/>
    <w:rsid w:val="009B1ECD"/>
    <w:rsid w:val="009B7175"/>
    <w:rsid w:val="009C10CA"/>
    <w:rsid w:val="009C276F"/>
    <w:rsid w:val="009D2036"/>
    <w:rsid w:val="009D37E0"/>
    <w:rsid w:val="009F5AB5"/>
    <w:rsid w:val="009F7397"/>
    <w:rsid w:val="009F7FF9"/>
    <w:rsid w:val="00A007AF"/>
    <w:rsid w:val="00A06019"/>
    <w:rsid w:val="00A14088"/>
    <w:rsid w:val="00A179DE"/>
    <w:rsid w:val="00A450EA"/>
    <w:rsid w:val="00A47FC6"/>
    <w:rsid w:val="00A51E0C"/>
    <w:rsid w:val="00A53ED8"/>
    <w:rsid w:val="00A60587"/>
    <w:rsid w:val="00A73906"/>
    <w:rsid w:val="00A81785"/>
    <w:rsid w:val="00A8349D"/>
    <w:rsid w:val="00A84F96"/>
    <w:rsid w:val="00A90E77"/>
    <w:rsid w:val="00A928C1"/>
    <w:rsid w:val="00A94ACE"/>
    <w:rsid w:val="00A96847"/>
    <w:rsid w:val="00AA05A6"/>
    <w:rsid w:val="00AA0EAF"/>
    <w:rsid w:val="00AA0FE3"/>
    <w:rsid w:val="00AA192F"/>
    <w:rsid w:val="00AA21C5"/>
    <w:rsid w:val="00AA5CD9"/>
    <w:rsid w:val="00AB4A05"/>
    <w:rsid w:val="00AC233F"/>
    <w:rsid w:val="00AE0052"/>
    <w:rsid w:val="00AE779F"/>
    <w:rsid w:val="00AF255F"/>
    <w:rsid w:val="00AF53E7"/>
    <w:rsid w:val="00AF6F21"/>
    <w:rsid w:val="00B015EA"/>
    <w:rsid w:val="00B41495"/>
    <w:rsid w:val="00B52FB1"/>
    <w:rsid w:val="00B61FB2"/>
    <w:rsid w:val="00B67075"/>
    <w:rsid w:val="00B67BA6"/>
    <w:rsid w:val="00B71C04"/>
    <w:rsid w:val="00B877BC"/>
    <w:rsid w:val="00B90234"/>
    <w:rsid w:val="00B93171"/>
    <w:rsid w:val="00BA6071"/>
    <w:rsid w:val="00BB4028"/>
    <w:rsid w:val="00BB4510"/>
    <w:rsid w:val="00BC421B"/>
    <w:rsid w:val="00BD6239"/>
    <w:rsid w:val="00BD6724"/>
    <w:rsid w:val="00BD6D90"/>
    <w:rsid w:val="00BD7DF5"/>
    <w:rsid w:val="00BE2829"/>
    <w:rsid w:val="00BE7B9C"/>
    <w:rsid w:val="00BF2030"/>
    <w:rsid w:val="00BF6B5E"/>
    <w:rsid w:val="00BF7513"/>
    <w:rsid w:val="00C13091"/>
    <w:rsid w:val="00C23EA3"/>
    <w:rsid w:val="00C344C2"/>
    <w:rsid w:val="00C35D51"/>
    <w:rsid w:val="00C41894"/>
    <w:rsid w:val="00C513D8"/>
    <w:rsid w:val="00C602EA"/>
    <w:rsid w:val="00C73B26"/>
    <w:rsid w:val="00C948D7"/>
    <w:rsid w:val="00C961AB"/>
    <w:rsid w:val="00C9638D"/>
    <w:rsid w:val="00CA00CD"/>
    <w:rsid w:val="00CA28C2"/>
    <w:rsid w:val="00CA2C61"/>
    <w:rsid w:val="00CA5875"/>
    <w:rsid w:val="00CA66FD"/>
    <w:rsid w:val="00CB23DE"/>
    <w:rsid w:val="00CC2585"/>
    <w:rsid w:val="00CD0709"/>
    <w:rsid w:val="00CF1D37"/>
    <w:rsid w:val="00CF32E0"/>
    <w:rsid w:val="00CF7ABB"/>
    <w:rsid w:val="00D043C5"/>
    <w:rsid w:val="00D101AA"/>
    <w:rsid w:val="00D142FD"/>
    <w:rsid w:val="00D21AA3"/>
    <w:rsid w:val="00D25753"/>
    <w:rsid w:val="00D34D4F"/>
    <w:rsid w:val="00D37C59"/>
    <w:rsid w:val="00D4323F"/>
    <w:rsid w:val="00D55C0A"/>
    <w:rsid w:val="00D6061A"/>
    <w:rsid w:val="00D609FA"/>
    <w:rsid w:val="00D6440C"/>
    <w:rsid w:val="00D67A93"/>
    <w:rsid w:val="00D750F2"/>
    <w:rsid w:val="00D8019B"/>
    <w:rsid w:val="00D80A93"/>
    <w:rsid w:val="00D82BA6"/>
    <w:rsid w:val="00D86ECC"/>
    <w:rsid w:val="00D91793"/>
    <w:rsid w:val="00DA7888"/>
    <w:rsid w:val="00DB5CB0"/>
    <w:rsid w:val="00DE3EAA"/>
    <w:rsid w:val="00DE7823"/>
    <w:rsid w:val="00DF1A06"/>
    <w:rsid w:val="00DF3D27"/>
    <w:rsid w:val="00E02BD2"/>
    <w:rsid w:val="00E1018C"/>
    <w:rsid w:val="00E161F7"/>
    <w:rsid w:val="00E206B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D67A5"/>
    <w:rsid w:val="00EE1A1A"/>
    <w:rsid w:val="00EE35FC"/>
    <w:rsid w:val="00EF3CDF"/>
    <w:rsid w:val="00F13846"/>
    <w:rsid w:val="00F1791D"/>
    <w:rsid w:val="00F23360"/>
    <w:rsid w:val="00F278EB"/>
    <w:rsid w:val="00F303E2"/>
    <w:rsid w:val="00F30A71"/>
    <w:rsid w:val="00F4478D"/>
    <w:rsid w:val="00F45F4D"/>
    <w:rsid w:val="00F46029"/>
    <w:rsid w:val="00F50E7B"/>
    <w:rsid w:val="00F53156"/>
    <w:rsid w:val="00F54CFB"/>
    <w:rsid w:val="00F65181"/>
    <w:rsid w:val="00F66B10"/>
    <w:rsid w:val="00F73B6A"/>
    <w:rsid w:val="00F75FDF"/>
    <w:rsid w:val="00F7629B"/>
    <w:rsid w:val="00F83ECA"/>
    <w:rsid w:val="00F86B4D"/>
    <w:rsid w:val="00F9226B"/>
    <w:rsid w:val="00F92C3D"/>
    <w:rsid w:val="00F94858"/>
    <w:rsid w:val="00F97D95"/>
    <w:rsid w:val="00FA1379"/>
    <w:rsid w:val="00FA4F40"/>
    <w:rsid w:val="00FB52A7"/>
    <w:rsid w:val="00FC1E4B"/>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8F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E02A-3838-4EA4-9619-28F97F0B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980</Words>
  <Characters>5786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Solnickova Ilona</cp:lastModifiedBy>
  <cp:revision>5</cp:revision>
  <cp:lastPrinted>2025-01-28T15:43:00Z</cp:lastPrinted>
  <dcterms:created xsi:type="dcterms:W3CDTF">2025-01-28T15:42:00Z</dcterms:created>
  <dcterms:modified xsi:type="dcterms:W3CDTF">2025-01-31T09:59:00Z</dcterms:modified>
</cp:coreProperties>
</file>