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1990"/>
        <w:gridCol w:w="2542"/>
        <w:gridCol w:w="332"/>
        <w:gridCol w:w="221"/>
        <w:gridCol w:w="442"/>
        <w:gridCol w:w="221"/>
        <w:gridCol w:w="1105"/>
        <w:gridCol w:w="553"/>
        <w:gridCol w:w="2100"/>
        <w:gridCol w:w="221"/>
        <w:gridCol w:w="332"/>
      </w:tblGrid>
      <w:tr w:rsidR="00000000">
        <w:trPr>
          <w:cantSplit/>
        </w:trPr>
        <w:tc>
          <w:tcPr>
            <w:tcW w:w="994" w:type="dxa"/>
            <w:tcBorders>
              <w:top w:val="nil"/>
              <w:left w:val="nil"/>
              <w:bottom w:val="nil"/>
              <w:right w:val="nil"/>
            </w:tcBorders>
          </w:tcPr>
          <w:p w:rsidR="00000000" w:rsidRDefault="00172A78">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11"/>
            <w:tcBorders>
              <w:top w:val="nil"/>
              <w:left w:val="nil"/>
              <w:bottom w:val="nil"/>
              <w:right w:val="nil"/>
            </w:tcBorders>
            <w:vAlign w:val="center"/>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000000">
        <w:trPr>
          <w:cantSplit/>
        </w:trPr>
        <w:tc>
          <w:tcPr>
            <w:tcW w:w="994" w:type="dxa"/>
            <w:tcBorders>
              <w:top w:val="nil"/>
              <w:left w:val="nil"/>
              <w:bottom w:val="nil"/>
              <w:right w:val="nil"/>
            </w:tcBorders>
          </w:tcPr>
          <w:p w:rsidR="00000000" w:rsidRDefault="00DD5D7C">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990" w:type="dxa"/>
            <w:tcBorders>
              <w:top w:val="nil"/>
              <w:left w:val="nil"/>
              <w:bottom w:val="single" w:sz="2" w:space="0" w:color="000000"/>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w:t>
            </w:r>
          </w:p>
        </w:tc>
        <w:tc>
          <w:tcPr>
            <w:tcW w:w="8069" w:type="dxa"/>
            <w:gridSpan w:val="10"/>
            <w:tcBorders>
              <w:top w:val="nil"/>
              <w:left w:val="nil"/>
              <w:bottom w:val="single" w:sz="2" w:space="0" w:color="000000"/>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Odbor životního prostředí a zemědělství</w:t>
            </w:r>
          </w:p>
        </w:tc>
      </w:tr>
      <w:tr w:rsidR="00000000">
        <w:trPr>
          <w:cantSplit/>
        </w:trPr>
        <w:tc>
          <w:tcPr>
            <w:tcW w:w="994" w:type="dxa"/>
            <w:tcBorders>
              <w:top w:val="nil"/>
              <w:left w:val="nil"/>
              <w:bottom w:val="nil"/>
              <w:right w:val="nil"/>
            </w:tcBorders>
          </w:tcPr>
          <w:p w:rsidR="00000000" w:rsidRDefault="00DD5D7C">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11"/>
            <w:tcBorders>
              <w:top w:val="nil"/>
              <w:left w:val="nil"/>
              <w:bottom w:val="nil"/>
              <w:right w:val="nil"/>
            </w:tcBorders>
          </w:tcPr>
          <w:p w:rsidR="00000000" w:rsidRDefault="00DD5D7C">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7"/>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5"/>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Milan Švec</w:t>
            </w:r>
          </w:p>
        </w:tc>
        <w:tc>
          <w:tcPr>
            <w:tcW w:w="553"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5"/>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Hrozňatov 163</w:t>
            </w:r>
          </w:p>
        </w:tc>
        <w:tc>
          <w:tcPr>
            <w:tcW w:w="553"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663"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35002</w:t>
            </w:r>
          </w:p>
        </w:tc>
        <w:tc>
          <w:tcPr>
            <w:tcW w:w="3758" w:type="dxa"/>
            <w:gridSpan w:val="3"/>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Cheb</w:t>
            </w:r>
          </w:p>
        </w:tc>
        <w:tc>
          <w:tcPr>
            <w:tcW w:w="553"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w:t>
            </w:r>
          </w:p>
        </w:tc>
        <w:tc>
          <w:tcPr>
            <w:tcW w:w="1326"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87564556</w:t>
            </w:r>
          </w:p>
        </w:tc>
        <w:tc>
          <w:tcPr>
            <w:tcW w:w="553"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DIČ:</w:t>
            </w:r>
          </w:p>
        </w:tc>
        <w:tc>
          <w:tcPr>
            <w:tcW w:w="2100"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17"/>
                <w:szCs w:val="17"/>
              </w:rPr>
            </w:pPr>
          </w:p>
        </w:tc>
        <w:tc>
          <w:tcPr>
            <w:tcW w:w="553"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3"/>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7"/>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000000" w:rsidRDefault="00DD5D7C">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DD5D7C">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763"/>
        <w:gridCol w:w="2100"/>
        <w:gridCol w:w="1326"/>
        <w:gridCol w:w="663"/>
        <w:gridCol w:w="140"/>
        <w:gridCol w:w="1739"/>
        <w:gridCol w:w="2322"/>
      </w:tblGrid>
      <w:tr w:rsidR="00000000">
        <w:trPr>
          <w:cantSplit/>
        </w:trPr>
        <w:tc>
          <w:tcPr>
            <w:tcW w:w="2763"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3426" w:type="dxa"/>
            <w:gridSpan w:val="2"/>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2542" w:type="dxa"/>
            <w:gridSpan w:val="3"/>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rsidR="00000000" w:rsidRDefault="00DD5D7C">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000000">
        <w:trPr>
          <w:cantSplit/>
        </w:trPr>
        <w:tc>
          <w:tcPr>
            <w:tcW w:w="2763"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000000" w:rsidRDefault="00172A78">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KK/271/ZZ/25</w:t>
            </w:r>
          </w:p>
        </w:tc>
        <w:tc>
          <w:tcPr>
            <w:tcW w:w="1989" w:type="dxa"/>
            <w:gridSpan w:val="2"/>
            <w:tcBorders>
              <w:top w:val="nil"/>
              <w:left w:val="nil"/>
              <w:bottom w:val="nil"/>
              <w:right w:val="nil"/>
            </w:tcBorders>
          </w:tcPr>
          <w:p w:rsidR="00000000" w:rsidRDefault="00DD5D7C">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Brachtl Radoslav Ing.</w:t>
            </w:r>
          </w:p>
        </w:tc>
        <w:tc>
          <w:tcPr>
            <w:tcW w:w="140"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w:t>
            </w:r>
          </w:p>
        </w:tc>
        <w:tc>
          <w:tcPr>
            <w:tcW w:w="1739"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228</w:t>
            </w:r>
          </w:p>
        </w:tc>
        <w:tc>
          <w:tcPr>
            <w:tcW w:w="2322" w:type="dxa"/>
            <w:tcBorders>
              <w:top w:val="nil"/>
              <w:left w:val="nil"/>
              <w:bottom w:val="nil"/>
              <w:right w:val="nil"/>
            </w:tcBorders>
          </w:tcPr>
          <w:p w:rsidR="00000000" w:rsidRDefault="00DD5D7C">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20.</w:t>
            </w:r>
            <w:r w:rsidR="00172A78">
              <w:rPr>
                <w:rFonts w:ascii="Times New Roman" w:hAnsi="Times New Roman" w:cs="Times New Roman"/>
                <w:color w:val="000000"/>
                <w:sz w:val="17"/>
                <w:szCs w:val="17"/>
              </w:rPr>
              <w:t xml:space="preserve"> </w:t>
            </w:r>
            <w:r>
              <w:rPr>
                <w:rFonts w:ascii="Times New Roman" w:hAnsi="Times New Roman" w:cs="Times New Roman"/>
                <w:color w:val="000000"/>
                <w:sz w:val="17"/>
                <w:szCs w:val="17"/>
              </w:rPr>
              <w:t>01.2</w:t>
            </w:r>
            <w:r w:rsidR="00172A78">
              <w:rPr>
                <w:rFonts w:ascii="Times New Roman" w:hAnsi="Times New Roman" w:cs="Times New Roman"/>
                <w:color w:val="000000"/>
                <w:sz w:val="17"/>
                <w:szCs w:val="17"/>
              </w:rPr>
              <w:t xml:space="preserve"> </w:t>
            </w:r>
            <w:r>
              <w:rPr>
                <w:rFonts w:ascii="Times New Roman" w:hAnsi="Times New Roman" w:cs="Times New Roman"/>
                <w:color w:val="000000"/>
                <w:sz w:val="17"/>
                <w:szCs w:val="17"/>
              </w:rPr>
              <w:t>025</w:t>
            </w:r>
          </w:p>
        </w:tc>
      </w:tr>
    </w:tbl>
    <w:p w:rsidR="00000000" w:rsidRDefault="00DD5D7C">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DD5D7C">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000000">
        <w:trPr>
          <w:cantSplit/>
        </w:trPr>
        <w:tc>
          <w:tcPr>
            <w:tcW w:w="1879"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Objednávka č.</w:t>
            </w:r>
          </w:p>
        </w:tc>
        <w:tc>
          <w:tcPr>
            <w:tcW w:w="884" w:type="dxa"/>
            <w:tcBorders>
              <w:top w:val="nil"/>
              <w:left w:val="nil"/>
              <w:bottom w:val="nil"/>
              <w:right w:val="nil"/>
            </w:tcBorders>
          </w:tcPr>
          <w:p w:rsidR="00000000" w:rsidRDefault="00DD5D7C">
            <w:pPr>
              <w:widowControl w:val="0"/>
              <w:autoSpaceDE w:val="0"/>
              <w:autoSpaceDN w:val="0"/>
              <w:adjustRightInd w:val="0"/>
              <w:spacing w:after="0" w:line="240" w:lineRule="auto"/>
              <w:jc w:val="right"/>
              <w:rPr>
                <w:rFonts w:ascii="Times New Roman" w:hAnsi="Times New Roman" w:cs="Times New Roman"/>
                <w:b/>
                <w:bCs/>
                <w:color w:val="000000"/>
                <w:sz w:val="25"/>
                <w:szCs w:val="25"/>
              </w:rPr>
            </w:pPr>
            <w:r>
              <w:rPr>
                <w:rFonts w:ascii="Times New Roman" w:hAnsi="Times New Roman" w:cs="Times New Roman"/>
                <w:b/>
                <w:bCs/>
                <w:color w:val="000000"/>
                <w:sz w:val="25"/>
                <w:szCs w:val="25"/>
              </w:rPr>
              <w:t>00102</w:t>
            </w:r>
          </w:p>
        </w:tc>
        <w:tc>
          <w:tcPr>
            <w:tcW w:w="140"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w:t>
            </w:r>
          </w:p>
        </w:tc>
        <w:tc>
          <w:tcPr>
            <w:tcW w:w="1960"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00006/25/ZZ</w:t>
            </w:r>
          </w:p>
        </w:tc>
        <w:tc>
          <w:tcPr>
            <w:tcW w:w="3095"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celková maximální cena</w:t>
            </w:r>
          </w:p>
        </w:tc>
        <w:tc>
          <w:tcPr>
            <w:tcW w:w="3095" w:type="dxa"/>
            <w:tcBorders>
              <w:top w:val="nil"/>
              <w:left w:val="nil"/>
              <w:bottom w:val="nil"/>
              <w:right w:val="nil"/>
            </w:tcBorders>
          </w:tcPr>
          <w:p w:rsidR="00000000" w:rsidRDefault="00DD5D7C">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96 000,00</w:t>
            </w:r>
          </w:p>
        </w:tc>
      </w:tr>
    </w:tbl>
    <w:p w:rsidR="00000000" w:rsidRDefault="00DD5D7C">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DD5D7C" w:rsidRDefault="00DD5D7C" w:rsidP="00DD5D7C">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Objednáváme u Vás v rámci Dynamického nákupního systému na péči o zvláště chráněné území a o území soustavy Natura 2000 v Karlovarském kraji následující managementové práce v Přírodní rezervaci Pomezní rybník – správní území obce Pomezí: </w:t>
      </w:r>
    </w:p>
    <w:p w:rsidR="00DD5D7C" w:rsidRDefault="00DD5D7C" w:rsidP="00DD5D7C">
      <w:pPr>
        <w:spacing w:after="0" w:line="240" w:lineRule="auto"/>
        <w:ind w:left="1418" w:hanging="1418"/>
        <w:jc w:val="both"/>
        <w:rPr>
          <w:rFonts w:ascii="Times New Roman" w:hAnsi="Times New Roman" w:cs="Times New Roman"/>
          <w:b/>
          <w:iCs/>
        </w:rPr>
      </w:pPr>
      <w:r>
        <w:rPr>
          <w:rFonts w:ascii="Times New Roman" w:hAnsi="Times New Roman" w:cs="Times New Roman"/>
          <w:b/>
          <w:iCs/>
        </w:rPr>
        <w:t xml:space="preserve">A) </w:t>
      </w:r>
    </w:p>
    <w:p w:rsidR="00DD5D7C" w:rsidRDefault="00DD5D7C" w:rsidP="00DD5D7C">
      <w:pPr>
        <w:spacing w:after="0" w:line="240" w:lineRule="auto"/>
        <w:ind w:left="426"/>
        <w:jc w:val="both"/>
        <w:rPr>
          <w:rFonts w:ascii="Times New Roman" w:hAnsi="Times New Roman" w:cs="Times New Roman"/>
          <w:iCs/>
        </w:rPr>
      </w:pPr>
      <w:r>
        <w:rPr>
          <w:rFonts w:ascii="Times New Roman" w:hAnsi="Times New Roman" w:cs="Times New Roman"/>
          <w:iCs/>
        </w:rPr>
        <w:t>Kácení postupné s přetažením, včetně rozřezání, odvětvení a manipulace (čtyři skupiny olší lepkavých, a to po 5 ks, po 2 ks, po 3 ks a po 2 ks; celkem 12 ks)</w:t>
      </w:r>
    </w:p>
    <w:p w:rsidR="00DD5D7C" w:rsidRDefault="00DD5D7C" w:rsidP="00DD5D7C">
      <w:pPr>
        <w:pStyle w:val="Odstavecseseznamem"/>
        <w:widowControl w:val="0"/>
        <w:numPr>
          <w:ilvl w:val="0"/>
          <w:numId w:val="1"/>
        </w:numPr>
        <w:autoSpaceDE w:val="0"/>
        <w:autoSpaceDN w:val="0"/>
        <w:adjustRightInd w:val="0"/>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21-30 cm průměr na pařezu – 1 ks;</w:t>
      </w:r>
    </w:p>
    <w:p w:rsidR="00DD5D7C" w:rsidRDefault="00DD5D7C" w:rsidP="00DD5D7C">
      <w:pPr>
        <w:pStyle w:val="Odstavecseseznamem"/>
        <w:widowControl w:val="0"/>
        <w:numPr>
          <w:ilvl w:val="0"/>
          <w:numId w:val="1"/>
        </w:numPr>
        <w:autoSpaceDE w:val="0"/>
        <w:autoSpaceDN w:val="0"/>
        <w:adjustRightInd w:val="0"/>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31-40 cm průměr na pařezu – 6 ks;</w:t>
      </w:r>
    </w:p>
    <w:p w:rsidR="00DD5D7C" w:rsidRDefault="00DD5D7C" w:rsidP="00DD5D7C">
      <w:pPr>
        <w:pStyle w:val="Odstavecseseznamem"/>
        <w:widowControl w:val="0"/>
        <w:numPr>
          <w:ilvl w:val="0"/>
          <w:numId w:val="1"/>
        </w:numPr>
        <w:autoSpaceDE w:val="0"/>
        <w:autoSpaceDN w:val="0"/>
        <w:adjustRightInd w:val="0"/>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41-50 cm průměr na pařezu – 3 ks;</w:t>
      </w:r>
    </w:p>
    <w:p w:rsidR="00DD5D7C" w:rsidRDefault="00DD5D7C" w:rsidP="00DD5D7C">
      <w:pPr>
        <w:pStyle w:val="Odstavecseseznamem"/>
        <w:widowControl w:val="0"/>
        <w:numPr>
          <w:ilvl w:val="0"/>
          <w:numId w:val="1"/>
        </w:numPr>
        <w:autoSpaceDE w:val="0"/>
        <w:autoSpaceDN w:val="0"/>
        <w:adjustRightInd w:val="0"/>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51-60 cm průměr na pařezu – 2 ks.</w:t>
      </w:r>
    </w:p>
    <w:p w:rsidR="00DD5D7C" w:rsidRDefault="00DD5D7C" w:rsidP="00DD5D7C">
      <w:pPr>
        <w:widowControl w:val="0"/>
        <w:autoSpaceDE w:val="0"/>
        <w:autoSpaceDN w:val="0"/>
        <w:adjustRightInd w:val="0"/>
        <w:spacing w:after="0" w:line="240" w:lineRule="auto"/>
        <w:ind w:left="1418" w:hanging="1418"/>
        <w:jc w:val="both"/>
        <w:rPr>
          <w:rFonts w:ascii="Times New Roman" w:hAnsi="Times New Roman" w:cs="Times New Roman"/>
          <w:color w:val="000000"/>
        </w:rPr>
      </w:pPr>
    </w:p>
    <w:p w:rsidR="00DD5D7C" w:rsidRDefault="00DD5D7C" w:rsidP="00DD5D7C">
      <w:pPr>
        <w:spacing w:after="0" w:line="240" w:lineRule="auto"/>
        <w:ind w:left="426"/>
        <w:jc w:val="both"/>
        <w:rPr>
          <w:rFonts w:ascii="Times New Roman" w:hAnsi="Times New Roman" w:cs="Times New Roman"/>
          <w:iCs/>
        </w:rPr>
      </w:pPr>
      <w:r>
        <w:rPr>
          <w:rFonts w:ascii="Times New Roman" w:hAnsi="Times New Roman" w:cs="Times New Roman"/>
          <w:iCs/>
        </w:rPr>
        <w:t>Hroubí a nehroubí se deponuje na volně ložené hromady na vhodná místa (mimo kosené plochy) v přírodní rezervaci či bude odvezeno mimo plochu zásahu.</w:t>
      </w:r>
    </w:p>
    <w:p w:rsidR="00DD5D7C" w:rsidRDefault="00DD5D7C" w:rsidP="00DD5D7C">
      <w:pPr>
        <w:spacing w:after="0" w:line="240" w:lineRule="auto"/>
        <w:ind w:left="426"/>
        <w:jc w:val="both"/>
        <w:rPr>
          <w:rFonts w:ascii="Times New Roman" w:hAnsi="Times New Roman" w:cs="Times New Roman"/>
          <w:color w:val="000000"/>
        </w:rPr>
      </w:pPr>
      <w:r>
        <w:rPr>
          <w:rFonts w:ascii="Times New Roman" w:hAnsi="Times New Roman" w:cs="Times New Roman"/>
          <w:color w:val="000000"/>
        </w:rPr>
        <w:t>Oblast kácených stromů je na dotčené ploše rámcově označena po jednotlivých skupinách a je rovněž rámcově označena v přiložené mapě</w:t>
      </w:r>
      <w:r>
        <w:rPr>
          <w:rFonts w:ascii="Times New Roman" w:hAnsi="Times New Roman" w:cs="Times New Roman"/>
          <w:color w:val="000000"/>
        </w:rPr>
        <w:t xml:space="preserve"> </w:t>
      </w:r>
      <w:r w:rsidRPr="00DD5D7C">
        <w:rPr>
          <w:rFonts w:ascii="Times New Roman" w:hAnsi="Times New Roman" w:cs="Times New Roman"/>
          <w:color w:val="000000"/>
        </w:rPr>
        <w:t xml:space="preserve">PR Pomezní rybník - </w:t>
      </w:r>
      <w:proofErr w:type="spellStart"/>
      <w:r w:rsidRPr="00DD5D7C">
        <w:rPr>
          <w:rFonts w:ascii="Times New Roman" w:hAnsi="Times New Roman" w:cs="Times New Roman"/>
          <w:color w:val="000000"/>
        </w:rPr>
        <w:t>kosení_odstranění</w:t>
      </w:r>
      <w:proofErr w:type="spellEnd"/>
      <w:r w:rsidRPr="00DD5D7C">
        <w:rPr>
          <w:rFonts w:ascii="Times New Roman" w:hAnsi="Times New Roman" w:cs="Times New Roman"/>
          <w:color w:val="000000"/>
        </w:rPr>
        <w:t xml:space="preserve"> </w:t>
      </w:r>
      <w:proofErr w:type="spellStart"/>
      <w:r w:rsidRPr="00DD5D7C">
        <w:rPr>
          <w:rFonts w:ascii="Times New Roman" w:hAnsi="Times New Roman" w:cs="Times New Roman"/>
          <w:color w:val="000000"/>
        </w:rPr>
        <w:t>dřevin_křoviny</w:t>
      </w:r>
      <w:proofErr w:type="spellEnd"/>
      <w:r w:rsidRPr="00DD5D7C">
        <w:rPr>
          <w:rFonts w:ascii="Times New Roman" w:hAnsi="Times New Roman" w:cs="Times New Roman"/>
          <w:color w:val="000000"/>
        </w:rPr>
        <w:t xml:space="preserve"> 2025</w:t>
      </w:r>
      <w:r>
        <w:rPr>
          <w:rFonts w:ascii="Times New Roman" w:hAnsi="Times New Roman" w:cs="Times New Roman"/>
          <w:color w:val="000000"/>
        </w:rPr>
        <w:t xml:space="preserve"> (dále jen mapa)</w:t>
      </w:r>
      <w:r>
        <w:rPr>
          <w:rFonts w:ascii="Times New Roman" w:hAnsi="Times New Roman" w:cs="Times New Roman"/>
          <w:color w:val="000000"/>
        </w:rPr>
        <w:t>.</w:t>
      </w:r>
    </w:p>
    <w:p w:rsidR="00DD5D7C" w:rsidRDefault="00DD5D7C" w:rsidP="00DD5D7C">
      <w:pPr>
        <w:spacing w:after="0" w:line="240" w:lineRule="auto"/>
        <w:ind w:left="426"/>
        <w:jc w:val="both"/>
        <w:rPr>
          <w:rFonts w:ascii="Times New Roman" w:hAnsi="Times New Roman" w:cs="Times New Roman"/>
          <w:color w:val="000000"/>
        </w:rPr>
      </w:pPr>
      <w:r>
        <w:rPr>
          <w:rFonts w:ascii="Times New Roman" w:hAnsi="Times New Roman" w:cs="Times New Roman"/>
        </w:rPr>
        <w:t>Práce budou provedeny v rozmezí ihned ode dne uveřejnění objednávky v registru smluv do 31. října 2025.</w:t>
      </w:r>
    </w:p>
    <w:p w:rsidR="00DD5D7C" w:rsidRDefault="00DD5D7C" w:rsidP="00DD5D7C">
      <w:pPr>
        <w:spacing w:after="0" w:line="240" w:lineRule="auto"/>
        <w:ind w:left="426"/>
        <w:jc w:val="both"/>
        <w:rPr>
          <w:rFonts w:ascii="Times New Roman" w:hAnsi="Times New Roman" w:cs="Times New Roman"/>
          <w:b/>
        </w:rPr>
      </w:pPr>
      <w:r>
        <w:rPr>
          <w:rFonts w:ascii="Times New Roman" w:hAnsi="Times New Roman" w:cs="Times New Roman"/>
          <w:b/>
        </w:rPr>
        <w:t>Upozornění – všechny stromy jsou suché a lámavé. Stromy rostou v podmáčených místech a v blízkosti vodní plochy.</w:t>
      </w:r>
    </w:p>
    <w:p w:rsidR="00DD5D7C" w:rsidRDefault="00DD5D7C" w:rsidP="00DD5D7C">
      <w:pPr>
        <w:widowControl w:val="0"/>
        <w:autoSpaceDE w:val="0"/>
        <w:autoSpaceDN w:val="0"/>
        <w:adjustRightInd w:val="0"/>
        <w:spacing w:after="0" w:line="240" w:lineRule="auto"/>
        <w:ind w:left="1418" w:hanging="1418"/>
        <w:jc w:val="both"/>
        <w:rPr>
          <w:rFonts w:ascii="Times New Roman" w:hAnsi="Times New Roman" w:cs="Times New Roman"/>
          <w:b/>
          <w:color w:val="000000"/>
        </w:rPr>
      </w:pPr>
      <w:r>
        <w:rPr>
          <w:rFonts w:ascii="Times New Roman" w:hAnsi="Times New Roman" w:cs="Times New Roman"/>
          <w:b/>
          <w:color w:val="000000"/>
        </w:rPr>
        <w:t xml:space="preserve">B) </w:t>
      </w:r>
    </w:p>
    <w:p w:rsidR="00DD5D7C" w:rsidRDefault="00DD5D7C" w:rsidP="00DD5D7C">
      <w:pPr>
        <w:widowControl w:val="0"/>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Jednorázové ruční odstranění keřovitého porostu nad 3 metry výšky a do 10 cm průměru kmene na řezné ploše o rozloze 300 m</w:t>
      </w:r>
      <w:r>
        <w:rPr>
          <w:rFonts w:ascii="Times New Roman" w:hAnsi="Times New Roman" w:cs="Times New Roman"/>
          <w:color w:val="000000"/>
          <w:vertAlign w:val="superscript"/>
        </w:rPr>
        <w:t>2</w:t>
      </w:r>
      <w:r>
        <w:rPr>
          <w:rFonts w:ascii="Times New Roman" w:hAnsi="Times New Roman" w:cs="Times New Roman"/>
          <w:color w:val="000000"/>
        </w:rPr>
        <w:t xml:space="preserve"> – umístění v přiložené mapě.</w:t>
      </w:r>
    </w:p>
    <w:p w:rsidR="00DD5D7C" w:rsidRDefault="00DD5D7C" w:rsidP="00DD5D7C">
      <w:pPr>
        <w:widowControl w:val="0"/>
        <w:autoSpaceDE w:val="0"/>
        <w:autoSpaceDN w:val="0"/>
        <w:adjustRightInd w:val="0"/>
        <w:spacing w:after="0" w:line="240" w:lineRule="auto"/>
        <w:ind w:left="426"/>
        <w:jc w:val="both"/>
        <w:rPr>
          <w:rFonts w:ascii="Times New Roman" w:hAnsi="Times New Roman" w:cs="Times New Roman"/>
        </w:rPr>
      </w:pPr>
    </w:p>
    <w:p w:rsidR="00DD5D7C" w:rsidRDefault="00DD5D7C" w:rsidP="00DD5D7C">
      <w:pPr>
        <w:widowControl w:val="0"/>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rPr>
        <w:t>Práce budou provedeny v rozmezí od ledna 2025 do 31. března nebo od 1. října do 31. října 2025.</w:t>
      </w:r>
    </w:p>
    <w:p w:rsidR="00DD5D7C" w:rsidRDefault="00DD5D7C" w:rsidP="00DD5D7C">
      <w:pPr>
        <w:widowControl w:val="0"/>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Oblast odstranění keřovitého porostu je rámcově označena v přiložené mapě.</w:t>
      </w:r>
    </w:p>
    <w:p w:rsidR="00DD5D7C" w:rsidRDefault="00DD5D7C" w:rsidP="00DD5D7C">
      <w:pPr>
        <w:spacing w:after="0" w:line="240" w:lineRule="auto"/>
        <w:ind w:left="1418" w:hanging="1418"/>
        <w:jc w:val="both"/>
        <w:rPr>
          <w:rFonts w:ascii="Times New Roman" w:hAnsi="Times New Roman" w:cs="Times New Roman"/>
          <w:b/>
        </w:rPr>
      </w:pPr>
      <w:r>
        <w:rPr>
          <w:rFonts w:ascii="Times New Roman" w:hAnsi="Times New Roman" w:cs="Times New Roman"/>
          <w:b/>
        </w:rPr>
        <w:t xml:space="preserve">C) </w:t>
      </w:r>
    </w:p>
    <w:p w:rsidR="00DD5D7C" w:rsidRDefault="00DD5D7C" w:rsidP="00DD5D7C">
      <w:pPr>
        <w:spacing w:after="0" w:line="240" w:lineRule="auto"/>
        <w:ind w:left="426"/>
        <w:jc w:val="both"/>
        <w:rPr>
          <w:rFonts w:ascii="Times New Roman" w:hAnsi="Times New Roman" w:cs="Times New Roman"/>
        </w:rPr>
      </w:pPr>
      <w:r>
        <w:rPr>
          <w:rFonts w:ascii="Times New Roman" w:hAnsi="Times New Roman" w:cs="Times New Roman"/>
        </w:rPr>
        <w:t>Jednorázové pokosení metlicových a ostřicovo „slatinných“ porostů o ploše 1.400 m</w:t>
      </w:r>
      <w:r>
        <w:rPr>
          <w:rFonts w:ascii="Times New Roman" w:hAnsi="Times New Roman" w:cs="Times New Roman"/>
          <w:vertAlign w:val="superscript"/>
        </w:rPr>
        <w:t>2</w:t>
      </w:r>
      <w:r>
        <w:rPr>
          <w:rFonts w:ascii="Times New Roman" w:hAnsi="Times New Roman" w:cs="Times New Roman"/>
        </w:rPr>
        <w:t xml:space="preserve">, včetně výřezu a vyštípání nově narostlých výmladků, v ploše, která je vymezena </w:t>
      </w:r>
      <w:r>
        <w:rPr>
          <w:rFonts w:ascii="Times New Roman" w:hAnsi="Times New Roman" w:cs="Times New Roman"/>
          <w:color w:val="000000"/>
        </w:rPr>
        <w:t>v přiložené mapě</w:t>
      </w:r>
      <w:r>
        <w:rPr>
          <w:rFonts w:ascii="Times New Roman" w:hAnsi="Times New Roman" w:cs="Times New Roman"/>
        </w:rPr>
        <w:t xml:space="preserve">. </w:t>
      </w:r>
    </w:p>
    <w:p w:rsidR="00DD5D7C" w:rsidRDefault="00DD5D7C" w:rsidP="00DD5D7C">
      <w:pPr>
        <w:spacing w:after="0" w:line="240" w:lineRule="auto"/>
        <w:ind w:left="426"/>
        <w:jc w:val="both"/>
        <w:rPr>
          <w:rFonts w:ascii="Times New Roman" w:hAnsi="Times New Roman" w:cs="Times New Roman"/>
          <w:iCs/>
        </w:rPr>
      </w:pPr>
      <w:r>
        <w:rPr>
          <w:rFonts w:ascii="Times New Roman" w:hAnsi="Times New Roman" w:cs="Times New Roman"/>
          <w:iCs/>
        </w:rPr>
        <w:t xml:space="preserve">Vyřezanou a pokosenou hmotu je třeba vhodně umístit mimo plochu zásahu. </w:t>
      </w:r>
    </w:p>
    <w:p w:rsidR="00DD5D7C" w:rsidRDefault="00DD5D7C" w:rsidP="00DD5D7C">
      <w:pPr>
        <w:widowControl w:val="0"/>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rPr>
        <w:t xml:space="preserve">Práce budou provedeny v rozmezí od 1. července 2025 do 31. října 2025. </w:t>
      </w:r>
    </w:p>
    <w:p w:rsidR="00DD5D7C" w:rsidRDefault="00DD5D7C" w:rsidP="00DD5D7C">
      <w:pPr>
        <w:widowControl w:val="0"/>
        <w:autoSpaceDE w:val="0"/>
        <w:autoSpaceDN w:val="0"/>
        <w:adjustRightInd w:val="0"/>
        <w:spacing w:after="0" w:line="240" w:lineRule="auto"/>
        <w:ind w:left="426"/>
        <w:jc w:val="both"/>
        <w:rPr>
          <w:rFonts w:ascii="Times New Roman" w:hAnsi="Times New Roman" w:cs="Times New Roman"/>
          <w:b/>
          <w:color w:val="000000"/>
        </w:rPr>
      </w:pPr>
      <w:r>
        <w:rPr>
          <w:rFonts w:ascii="Times New Roman" w:hAnsi="Times New Roman" w:cs="Times New Roman"/>
          <w:b/>
        </w:rPr>
        <w:t>Upozornění – uvedená managementová plocha je silně podmáčená.</w:t>
      </w:r>
    </w:p>
    <w:p w:rsidR="00DD5D7C" w:rsidRDefault="00DD5D7C" w:rsidP="00DD5D7C">
      <w:pPr>
        <w:spacing w:after="0" w:line="240" w:lineRule="auto"/>
        <w:ind w:left="1418" w:hanging="1418"/>
        <w:jc w:val="both"/>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w:t>
      </w:r>
    </w:p>
    <w:p w:rsidR="00DD5D7C" w:rsidRDefault="00DD5D7C" w:rsidP="00DD5D7C">
      <w:pPr>
        <w:spacing w:after="0" w:line="240" w:lineRule="auto"/>
        <w:ind w:left="426"/>
        <w:jc w:val="both"/>
        <w:rPr>
          <w:rFonts w:ascii="Times New Roman" w:hAnsi="Times New Roman" w:cs="Times New Roman"/>
        </w:rPr>
      </w:pPr>
      <w:r>
        <w:rPr>
          <w:rFonts w:ascii="Times New Roman" w:hAnsi="Times New Roman" w:cs="Times New Roman"/>
        </w:rPr>
        <w:t>Jednorázový úklid odpadků v ploše rezervace a přilehlé odpočívací plochy, a to v rozmezí od doby po dokončení všech ostatních prací (viz výše) do doby před převzetím prací objednatelem.</w:t>
      </w:r>
    </w:p>
    <w:p w:rsidR="00DD5D7C" w:rsidRDefault="00DD5D7C" w:rsidP="00DD5D7C">
      <w:pPr>
        <w:widowControl w:val="0"/>
        <w:autoSpaceDE w:val="0"/>
        <w:autoSpaceDN w:val="0"/>
        <w:adjustRightInd w:val="0"/>
        <w:spacing w:after="0" w:line="240" w:lineRule="auto"/>
        <w:rPr>
          <w:rFonts w:ascii="Times New Roman" w:hAnsi="Times New Roman" w:cs="Times New Roman"/>
          <w:color w:val="000000"/>
        </w:rPr>
      </w:pPr>
    </w:p>
    <w:p w:rsidR="00DD5D7C" w:rsidRDefault="00DD5D7C" w:rsidP="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Konečná – </w:t>
      </w:r>
      <w:bookmarkStart w:id="0" w:name="_GoBack"/>
      <w:bookmarkEnd w:id="0"/>
      <w:r>
        <w:rPr>
          <w:rFonts w:ascii="Times New Roman" w:hAnsi="Times New Roman" w:cs="Times New Roman"/>
          <w:color w:val="000000"/>
        </w:rPr>
        <w:t>vysoutěžená – cena</w:t>
      </w:r>
      <w:r>
        <w:rPr>
          <w:rFonts w:ascii="Times New Roman" w:hAnsi="Times New Roman" w:cs="Times New Roman"/>
          <w:color w:val="000000"/>
        </w:rPr>
        <w:t xml:space="preserve"> za provedené práce je smluvní, a nesmí překročit částku 96.000,00 Kč včetně DPH.</w:t>
      </w:r>
    </w:p>
    <w:p w:rsidR="00DD5D7C" w:rsidRDefault="00DD5D7C" w:rsidP="00DD5D7C">
      <w:pPr>
        <w:widowControl w:val="0"/>
        <w:autoSpaceDE w:val="0"/>
        <w:autoSpaceDN w:val="0"/>
        <w:adjustRightInd w:val="0"/>
        <w:spacing w:after="0" w:line="240" w:lineRule="auto"/>
        <w:rPr>
          <w:rFonts w:ascii="Times New Roman" w:hAnsi="Times New Roman" w:cs="Times New Roman"/>
          <w:color w:val="000000"/>
        </w:rPr>
      </w:pPr>
    </w:p>
    <w:p w:rsidR="00DD5D7C" w:rsidRDefault="00DD5D7C" w:rsidP="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Provedené práce budou předány odboru životního prostředí a zemědělství Krajského úřadu Karlovarského kraje a o předání bude vyhotoven protokol.</w:t>
      </w:r>
    </w:p>
    <w:p w:rsidR="00DD5D7C" w:rsidRDefault="00DD5D7C" w:rsidP="00DD5D7C">
      <w:pPr>
        <w:widowControl w:val="0"/>
        <w:autoSpaceDE w:val="0"/>
        <w:autoSpaceDN w:val="0"/>
        <w:adjustRightInd w:val="0"/>
        <w:spacing w:after="0" w:line="240" w:lineRule="auto"/>
        <w:rPr>
          <w:rFonts w:ascii="Times New Roman" w:hAnsi="Times New Roman" w:cs="Times New Roman"/>
          <w:color w:val="000000"/>
        </w:rPr>
      </w:pPr>
    </w:p>
    <w:p w:rsidR="00DD5D7C" w:rsidRDefault="00DD5D7C" w:rsidP="00DD5D7C">
      <w:pPr>
        <w:jc w:val="both"/>
        <w:rPr>
          <w:rFonts w:ascii="Times New Roman" w:hAnsi="Times New Roman" w:cs="Times New Roman"/>
          <w:color w:val="000000"/>
        </w:rPr>
      </w:pPr>
      <w:r>
        <w:rPr>
          <w:rFonts w:ascii="Times New Roman" w:hAnsi="Times New Roman" w:cs="Times New Roman"/>
          <w:color w:val="000000"/>
        </w:rPr>
        <w:lastRenderedPageBreak/>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DD5D7C" w:rsidRDefault="00DD5D7C" w:rsidP="00DD5D7C">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Podmínky pro objednávku: </w:t>
      </w:r>
    </w:p>
    <w:p w:rsidR="00DD5D7C" w:rsidRDefault="00DD5D7C" w:rsidP="00DD5D7C">
      <w:pPr>
        <w:spacing w:after="0" w:line="240" w:lineRule="auto"/>
        <w:jc w:val="both"/>
        <w:rPr>
          <w:rFonts w:ascii="Times New Roman" w:hAnsi="Times New Roman" w:cs="Times New Roman"/>
          <w:iCs/>
        </w:rPr>
      </w:pPr>
      <w:r>
        <w:rPr>
          <w:rFonts w:ascii="Times New Roman" w:hAnsi="Times New Roman" w:cs="Times New Roman"/>
          <w:iCs/>
        </w:rPr>
        <w:t xml:space="preserve">Povinnost dodavatele potvrdit objednávku do 2 pracovních dní po jejím doručení. </w:t>
      </w:r>
    </w:p>
    <w:p w:rsidR="00DD5D7C" w:rsidRDefault="00DD5D7C" w:rsidP="00DD5D7C">
      <w:pPr>
        <w:spacing w:after="0" w:line="240" w:lineRule="auto"/>
        <w:jc w:val="both"/>
        <w:rPr>
          <w:rFonts w:ascii="Times New Roman" w:hAnsi="Times New Roman" w:cs="Times New Roman"/>
          <w:iCs/>
        </w:rPr>
      </w:pPr>
      <w:r>
        <w:rPr>
          <w:rFonts w:ascii="Times New Roman" w:hAnsi="Times New Roman" w:cs="Times New Roman"/>
          <w:iCs/>
        </w:rPr>
        <w:t>Úhrada po ukončení plnění a jeho předání objednateli na základě vystavené faktury. Splatnost faktury minimálně 21 dní od jejího doručení objednateli.</w:t>
      </w:r>
    </w:p>
    <w:p w:rsidR="00DD5D7C" w:rsidRDefault="00DD5D7C" w:rsidP="00DD5D7C">
      <w:pPr>
        <w:spacing w:after="0" w:line="240" w:lineRule="auto"/>
        <w:jc w:val="both"/>
        <w:rPr>
          <w:rFonts w:ascii="Times New Roman" w:hAnsi="Times New Roman" w:cs="Times New Roman"/>
          <w:iCs/>
        </w:rPr>
      </w:pPr>
      <w:r>
        <w:rPr>
          <w:rFonts w:ascii="Times New Roman" w:hAnsi="Times New Roman" w:cs="Times New Roman"/>
          <w:iCs/>
        </w:rPr>
        <w:t>Smluvní pokuta ve výši 30.000 Kč v případě neprovedení všech prací nebo jejich provádění v rozporu se specifikací předmětu plnění.</w:t>
      </w:r>
    </w:p>
    <w:p w:rsidR="00DD5D7C" w:rsidRDefault="00DD5D7C" w:rsidP="00DD5D7C">
      <w:pPr>
        <w:spacing w:after="0" w:line="240" w:lineRule="auto"/>
        <w:jc w:val="both"/>
        <w:rPr>
          <w:rFonts w:ascii="Times New Roman" w:hAnsi="Times New Roman" w:cs="Times New Roman"/>
          <w:iCs/>
        </w:rPr>
      </w:pPr>
    </w:p>
    <w:p w:rsidR="00DD5D7C" w:rsidRDefault="00DD5D7C" w:rsidP="00DD5D7C">
      <w:pPr>
        <w:spacing w:after="0" w:line="240" w:lineRule="auto"/>
        <w:jc w:val="both"/>
        <w:rPr>
          <w:rFonts w:ascii="Times New Roman" w:hAnsi="Times New Roman" w:cs="Times New Roman"/>
          <w:iCs/>
        </w:rPr>
      </w:pPr>
      <w:r>
        <w:rPr>
          <w:rFonts w:ascii="Times New Roman" w:hAnsi="Times New Roman" w:cs="Times New Roman"/>
          <w:iCs/>
        </w:rPr>
        <w:t>Smluvní pokuta 0,1 % z dlužné částky za každý den prodlení zadavatele s úhradou faktury.</w:t>
      </w:r>
    </w:p>
    <w:p w:rsidR="00DD5D7C" w:rsidRDefault="00DD5D7C" w:rsidP="00DD5D7C">
      <w:pPr>
        <w:spacing w:after="0" w:line="240" w:lineRule="auto"/>
        <w:jc w:val="both"/>
        <w:rPr>
          <w:iCs/>
        </w:rPr>
      </w:pPr>
      <w:r>
        <w:rPr>
          <w:rFonts w:ascii="Times New Roman" w:hAnsi="Times New Roman" w:cs="Times New Roman"/>
          <w:iCs/>
        </w:rPr>
        <w:t>Smluvní pokuta je splatná do 30 kalendářních dnů od data, kdy byla povinné straně doručena písemná výzva k jejímu zaplacení oprávněnou stranou, a to na účet oprávněné strany, uvedený v písemné výzvě</w:t>
      </w:r>
      <w:r>
        <w:rPr>
          <w:iCs/>
        </w:rPr>
        <w:t>.</w:t>
      </w:r>
    </w:p>
    <w:p w:rsidR="00DD5D7C" w:rsidRDefault="00DD5D7C" w:rsidP="00DD5D7C">
      <w:pPr>
        <w:widowControl w:val="0"/>
        <w:autoSpaceDE w:val="0"/>
        <w:autoSpaceDN w:val="0"/>
        <w:adjustRightInd w:val="0"/>
        <w:spacing w:after="0" w:line="240" w:lineRule="auto"/>
        <w:rPr>
          <w:rFonts w:ascii="Times New Roman" w:hAnsi="Times New Roman" w:cs="Times New Roman"/>
          <w:color w:val="000000"/>
        </w:rPr>
      </w:pPr>
    </w:p>
    <w:p w:rsidR="00DD5D7C" w:rsidRDefault="00DD5D7C" w:rsidP="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Upřednostňujeme elektronické faktury ve formátu ISDOC zaslané na epodatelna@kr-karlovarsky.cz, případně do datové schránky siqbxt2.</w:t>
      </w:r>
    </w:p>
    <w:p w:rsidR="00DD5D7C" w:rsidRDefault="00DD5D7C" w:rsidP="00DD5D7C">
      <w:pPr>
        <w:widowControl w:val="0"/>
        <w:autoSpaceDE w:val="0"/>
        <w:autoSpaceDN w:val="0"/>
        <w:adjustRightInd w:val="0"/>
        <w:spacing w:after="0" w:line="240" w:lineRule="auto"/>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4A0" w:firstRow="1" w:lastRow="0" w:firstColumn="1" w:lastColumn="0" w:noHBand="0" w:noVBand="1"/>
      </w:tblPr>
      <w:tblGrid>
        <w:gridCol w:w="663"/>
        <w:gridCol w:w="1658"/>
        <w:gridCol w:w="608"/>
        <w:gridCol w:w="2597"/>
        <w:gridCol w:w="55"/>
        <w:gridCol w:w="4587"/>
        <w:gridCol w:w="885"/>
      </w:tblGrid>
      <w:tr w:rsidR="00DD5D7C" w:rsidTr="00DD5D7C">
        <w:trPr>
          <w:cantSplit/>
        </w:trPr>
        <w:tc>
          <w:tcPr>
            <w:tcW w:w="663"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1658" w:type="dxa"/>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Platba na fakturu</w:t>
            </w:r>
          </w:p>
        </w:tc>
        <w:tc>
          <w:tcPr>
            <w:tcW w:w="7847" w:type="dxa"/>
            <w:gridSpan w:val="4"/>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Kopii objednávky přiložte k daňovému dokladu.</w:t>
            </w:r>
          </w:p>
        </w:tc>
        <w:tc>
          <w:tcPr>
            <w:tcW w:w="885"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r>
      <w:tr w:rsidR="00DD5D7C" w:rsidTr="00DD5D7C">
        <w:trPr>
          <w:cantSplit/>
        </w:trPr>
        <w:tc>
          <w:tcPr>
            <w:tcW w:w="663"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1658" w:type="dxa"/>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Fakturační adresa</w:t>
            </w:r>
          </w:p>
        </w:tc>
        <w:tc>
          <w:tcPr>
            <w:tcW w:w="3205" w:type="dxa"/>
            <w:gridSpan w:val="2"/>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Karlovarský kraj</w:t>
            </w:r>
          </w:p>
        </w:tc>
        <w:tc>
          <w:tcPr>
            <w:tcW w:w="4642" w:type="dxa"/>
            <w:gridSpan w:val="2"/>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885"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r>
      <w:tr w:rsidR="00DD5D7C" w:rsidTr="00DD5D7C">
        <w:trPr>
          <w:cantSplit/>
        </w:trPr>
        <w:tc>
          <w:tcPr>
            <w:tcW w:w="2321" w:type="dxa"/>
            <w:gridSpan w:val="2"/>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7847" w:type="dxa"/>
            <w:gridSpan w:val="4"/>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Odbor životního prostředí a zemědělství</w:t>
            </w:r>
          </w:p>
        </w:tc>
        <w:tc>
          <w:tcPr>
            <w:tcW w:w="885"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r>
      <w:tr w:rsidR="00DD5D7C" w:rsidTr="00DD5D7C">
        <w:trPr>
          <w:cantSplit/>
        </w:trPr>
        <w:tc>
          <w:tcPr>
            <w:tcW w:w="2321" w:type="dxa"/>
            <w:gridSpan w:val="2"/>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3205" w:type="dxa"/>
            <w:gridSpan w:val="2"/>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Závodní 88/353</w:t>
            </w:r>
          </w:p>
        </w:tc>
        <w:tc>
          <w:tcPr>
            <w:tcW w:w="5527" w:type="dxa"/>
            <w:gridSpan w:val="3"/>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r>
      <w:tr w:rsidR="00DD5D7C" w:rsidTr="00DD5D7C">
        <w:trPr>
          <w:cantSplit/>
        </w:trPr>
        <w:tc>
          <w:tcPr>
            <w:tcW w:w="2321" w:type="dxa"/>
            <w:gridSpan w:val="2"/>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608" w:type="dxa"/>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360 06</w:t>
            </w:r>
          </w:p>
        </w:tc>
        <w:tc>
          <w:tcPr>
            <w:tcW w:w="2652" w:type="dxa"/>
            <w:gridSpan w:val="2"/>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Karlovy Vary</w:t>
            </w:r>
          </w:p>
        </w:tc>
        <w:tc>
          <w:tcPr>
            <w:tcW w:w="5472" w:type="dxa"/>
            <w:gridSpan w:val="2"/>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r>
    </w:tbl>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4A0" w:firstRow="1" w:lastRow="0" w:firstColumn="1" w:lastColumn="0" w:noHBand="0" w:noVBand="1"/>
      </w:tblPr>
      <w:tblGrid>
        <w:gridCol w:w="663"/>
        <w:gridCol w:w="4863"/>
        <w:gridCol w:w="4642"/>
        <w:gridCol w:w="885"/>
      </w:tblGrid>
      <w:tr w:rsidR="00DD5D7C" w:rsidTr="00DD5D7C">
        <w:trPr>
          <w:cantSplit/>
        </w:trPr>
        <w:tc>
          <w:tcPr>
            <w:tcW w:w="663"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10390" w:type="dxa"/>
            <w:gridSpan w:val="3"/>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IČO: 70891168</w:t>
            </w:r>
          </w:p>
        </w:tc>
      </w:tr>
      <w:tr w:rsidR="00DD5D7C" w:rsidTr="00DD5D7C">
        <w:trPr>
          <w:cantSplit/>
        </w:trPr>
        <w:tc>
          <w:tcPr>
            <w:tcW w:w="663"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4863"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4642"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885"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r>
    </w:tbl>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rPr>
      </w:pPr>
    </w:p>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rPr>
      </w:pPr>
    </w:p>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rPr>
      </w:pPr>
    </w:p>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rPr>
      </w:pPr>
    </w:p>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rPr>
      </w:pPr>
    </w:p>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4A0" w:firstRow="1" w:lastRow="0" w:firstColumn="1" w:lastColumn="0" w:noHBand="0" w:noVBand="1"/>
      </w:tblPr>
      <w:tblGrid>
        <w:gridCol w:w="663"/>
        <w:gridCol w:w="3979"/>
        <w:gridCol w:w="884"/>
        <w:gridCol w:w="4642"/>
        <w:gridCol w:w="885"/>
      </w:tblGrid>
      <w:tr w:rsidR="00DD5D7C" w:rsidTr="00DD5D7C">
        <w:trPr>
          <w:cantSplit/>
        </w:trPr>
        <w:tc>
          <w:tcPr>
            <w:tcW w:w="5526" w:type="dxa"/>
            <w:gridSpan w:val="3"/>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c>
          <w:tcPr>
            <w:tcW w:w="4642" w:type="dxa"/>
          </w:tcPr>
          <w:p w:rsidR="00DD5D7C" w:rsidRDefault="00DD5D7C">
            <w:pPr>
              <w:widowControl w:val="0"/>
              <w:autoSpaceDE w:val="0"/>
              <w:autoSpaceDN w:val="0"/>
              <w:adjustRightInd w:val="0"/>
              <w:spacing w:after="0" w:line="240" w:lineRule="auto"/>
              <w:jc w:val="center"/>
              <w:rPr>
                <w:rFonts w:ascii="Times New Roman" w:hAnsi="Times New Roman" w:cs="Times New Roman"/>
                <w:color w:val="000000"/>
              </w:rPr>
            </w:pPr>
          </w:p>
        </w:tc>
        <w:tc>
          <w:tcPr>
            <w:tcW w:w="885" w:type="dxa"/>
          </w:tcPr>
          <w:p w:rsidR="00DD5D7C" w:rsidRDefault="00DD5D7C">
            <w:pPr>
              <w:widowControl w:val="0"/>
              <w:autoSpaceDE w:val="0"/>
              <w:autoSpaceDN w:val="0"/>
              <w:adjustRightInd w:val="0"/>
              <w:spacing w:after="0" w:line="240" w:lineRule="auto"/>
              <w:rPr>
                <w:rFonts w:ascii="Times New Roman" w:hAnsi="Times New Roman" w:cs="Times New Roman"/>
                <w:color w:val="000000"/>
              </w:rPr>
            </w:pPr>
          </w:p>
        </w:tc>
      </w:tr>
      <w:tr w:rsidR="00DD5D7C" w:rsidTr="00DD5D7C">
        <w:trPr>
          <w:cantSplit/>
        </w:trPr>
        <w:tc>
          <w:tcPr>
            <w:tcW w:w="663" w:type="dxa"/>
          </w:tcPr>
          <w:p w:rsidR="00DD5D7C" w:rsidRDefault="00DD5D7C">
            <w:pPr>
              <w:widowControl w:val="0"/>
              <w:autoSpaceDE w:val="0"/>
              <w:autoSpaceDN w:val="0"/>
              <w:adjustRightInd w:val="0"/>
              <w:spacing w:after="0" w:line="240" w:lineRule="auto"/>
              <w:jc w:val="center"/>
              <w:rPr>
                <w:rFonts w:ascii="Times New Roman" w:hAnsi="Times New Roman" w:cs="Times New Roman"/>
                <w:color w:val="000000"/>
              </w:rPr>
            </w:pPr>
          </w:p>
        </w:tc>
        <w:tc>
          <w:tcPr>
            <w:tcW w:w="3979" w:type="dxa"/>
            <w:hideMark/>
          </w:tcPr>
          <w:p w:rsidR="00DD5D7C" w:rsidRDefault="00DD5D7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Martincová Regina Ing.</w:t>
            </w:r>
          </w:p>
        </w:tc>
        <w:tc>
          <w:tcPr>
            <w:tcW w:w="6411" w:type="dxa"/>
            <w:gridSpan w:val="3"/>
          </w:tcPr>
          <w:p w:rsidR="00DD5D7C" w:rsidRDefault="00DD5D7C">
            <w:pPr>
              <w:widowControl w:val="0"/>
              <w:autoSpaceDE w:val="0"/>
              <w:autoSpaceDN w:val="0"/>
              <w:adjustRightInd w:val="0"/>
              <w:spacing w:after="0" w:line="240" w:lineRule="auto"/>
              <w:jc w:val="center"/>
              <w:rPr>
                <w:rFonts w:ascii="Times New Roman" w:hAnsi="Times New Roman" w:cs="Times New Roman"/>
                <w:color w:val="000000"/>
              </w:rPr>
            </w:pPr>
          </w:p>
        </w:tc>
      </w:tr>
      <w:tr w:rsidR="00DD5D7C" w:rsidTr="00DD5D7C">
        <w:trPr>
          <w:cantSplit/>
        </w:trPr>
        <w:tc>
          <w:tcPr>
            <w:tcW w:w="663" w:type="dxa"/>
          </w:tcPr>
          <w:p w:rsidR="00DD5D7C" w:rsidRDefault="00DD5D7C">
            <w:pPr>
              <w:widowControl w:val="0"/>
              <w:autoSpaceDE w:val="0"/>
              <w:autoSpaceDN w:val="0"/>
              <w:adjustRightInd w:val="0"/>
              <w:spacing w:after="0" w:line="240" w:lineRule="auto"/>
              <w:jc w:val="center"/>
              <w:rPr>
                <w:rFonts w:ascii="Times New Roman" w:hAnsi="Times New Roman" w:cs="Times New Roman"/>
                <w:color w:val="000000"/>
                <w:sz w:val="18"/>
                <w:szCs w:val="18"/>
              </w:rPr>
            </w:pPr>
          </w:p>
        </w:tc>
        <w:tc>
          <w:tcPr>
            <w:tcW w:w="3979" w:type="dxa"/>
            <w:hideMark/>
          </w:tcPr>
          <w:p w:rsidR="00DD5D7C" w:rsidRDefault="00DD5D7C">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Vedoucí odboru životního prostředí a zemědělství</w:t>
            </w:r>
          </w:p>
        </w:tc>
        <w:tc>
          <w:tcPr>
            <w:tcW w:w="6411" w:type="dxa"/>
            <w:gridSpan w:val="3"/>
          </w:tcPr>
          <w:p w:rsidR="00DD5D7C" w:rsidRDefault="00DD5D7C">
            <w:pPr>
              <w:widowControl w:val="0"/>
              <w:autoSpaceDE w:val="0"/>
              <w:autoSpaceDN w:val="0"/>
              <w:adjustRightInd w:val="0"/>
              <w:spacing w:after="0" w:line="240" w:lineRule="auto"/>
              <w:jc w:val="center"/>
              <w:rPr>
                <w:rFonts w:ascii="Times New Roman" w:hAnsi="Times New Roman" w:cs="Times New Roman"/>
                <w:color w:val="000000"/>
                <w:sz w:val="18"/>
                <w:szCs w:val="18"/>
              </w:rPr>
            </w:pPr>
          </w:p>
        </w:tc>
      </w:tr>
    </w:tbl>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sz w:val="18"/>
          <w:szCs w:val="18"/>
        </w:rPr>
      </w:pPr>
    </w:p>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rPr>
      </w:pPr>
      <w:r>
        <w:rPr>
          <w:rFonts w:ascii="Times New Roman" w:hAnsi="Times New Roman" w:cs="Times New Roman"/>
          <w:color w:val="000000"/>
        </w:rPr>
        <w:t>Příloha:</w:t>
      </w:r>
    </w:p>
    <w:p w:rsidR="00DD5D7C" w:rsidRDefault="00DD5D7C" w:rsidP="00DD5D7C">
      <w:pPr>
        <w:widowControl w:val="0"/>
        <w:autoSpaceDE w:val="0"/>
        <w:autoSpaceDN w:val="0"/>
        <w:adjustRightInd w:val="0"/>
        <w:spacing w:before="40" w:after="40" w:line="240" w:lineRule="auto"/>
        <w:ind w:left="40" w:right="40"/>
        <w:rPr>
          <w:rFonts w:ascii="Times New Roman" w:hAnsi="Times New Roman" w:cs="Times New Roman"/>
          <w:color w:val="000000"/>
        </w:rPr>
      </w:pPr>
      <w:r>
        <w:rPr>
          <w:rFonts w:ascii="Times New Roman" w:hAnsi="Times New Roman" w:cs="Times New Roman"/>
          <w:color w:val="000000"/>
        </w:rPr>
        <w:t>Viz text</w:t>
      </w:r>
    </w:p>
    <w:p w:rsidR="00DD5D7C" w:rsidRDefault="00DD5D7C" w:rsidP="00DD5D7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w:t>
      </w:r>
    </w:p>
    <w:p w:rsidR="00000000" w:rsidRDefault="00DD5D7C" w:rsidP="00DD5D7C">
      <w:pPr>
        <w:widowControl w:val="0"/>
        <w:autoSpaceDE w:val="0"/>
        <w:autoSpaceDN w:val="0"/>
        <w:adjustRightInd w:val="0"/>
        <w:spacing w:before="40" w:after="40" w:line="240" w:lineRule="auto"/>
        <w:ind w:left="40" w:right="40"/>
      </w:pPr>
    </w:p>
    <w:sectPr w:rsidR="00000000">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5D7C">
      <w:pPr>
        <w:spacing w:after="0" w:line="240" w:lineRule="auto"/>
      </w:pPr>
      <w:r>
        <w:separator/>
      </w:r>
    </w:p>
  </w:endnote>
  <w:endnote w:type="continuationSeparator" w:id="0">
    <w:p w:rsidR="00000000" w:rsidRDefault="00DD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000000">
      <w:trPr>
        <w:cantSplit/>
      </w:trPr>
      <w:tc>
        <w:tcPr>
          <w:tcW w:w="11053" w:type="dxa"/>
          <w:tcBorders>
            <w:top w:val="single" w:sz="2" w:space="0" w:color="000000"/>
            <w:left w:val="nil"/>
            <w:bottom w:val="nil"/>
            <w:right w:val="nil"/>
          </w:tcBorders>
        </w:tcPr>
        <w:p w:rsidR="00000000" w:rsidRDefault="00DD5D7C">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Karlovy Vary, Závodní 353/88, 360 06, Karlovy Vary-Dvory,  Česká republika, IČ: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5D7C">
      <w:pPr>
        <w:spacing w:after="0" w:line="240" w:lineRule="auto"/>
      </w:pPr>
      <w:r>
        <w:separator/>
      </w:r>
    </w:p>
  </w:footnote>
  <w:footnote w:type="continuationSeparator" w:id="0">
    <w:p w:rsidR="00000000" w:rsidRDefault="00DD5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D5D7C">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78"/>
    <w:rsid w:val="00172A78"/>
    <w:rsid w:val="00DD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C68239"/>
  <w14:defaultImageDpi w14:val="0"/>
  <w15:docId w15:val="{ECA823DF-C39E-42B7-9086-942304C3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5D7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3819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3</cp:revision>
  <dcterms:created xsi:type="dcterms:W3CDTF">2025-01-27T09:01:00Z</dcterms:created>
  <dcterms:modified xsi:type="dcterms:W3CDTF">2025-01-27T09:09:00Z</dcterms:modified>
</cp:coreProperties>
</file>