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Divadlo Archa, o.p.s.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se sídlem Na Poříčí 1047/26, Praha 1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zastoupená Jindřichem Krippnerem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ředitelem společnosti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IČ: 26 72 30 00, DIČ: CZ 26 72 30 00,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(dále jen ARCHA+) </w:t>
      </w:r>
    </w:p>
    <w:p w:rsidR="00000000" w:rsidDel="00000000" w:rsidP="00000000" w:rsidRDefault="00000000" w:rsidRPr="00000000" w14:paraId="00000006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Konzervatoř Duncan centre, Praha 4, Branická 41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se sídlem Branická 41, 147 00 Praha 4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zastoupená Mgr. Petrem Tycem, ředitel školy</w:t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IČO 49626655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zapsaná ve školském rejstříku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(dále jen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)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226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uzavírají podle § 1746 odst. 2 zákona č. 89/2012 Sb, občanského zákoníku níže uvedeného dne, měsíce a roku tuto</w:t>
      </w:r>
    </w:p>
    <w:p w:rsidR="00000000" w:rsidDel="00000000" w:rsidP="00000000" w:rsidRDefault="00000000" w:rsidRPr="00000000" w14:paraId="0000000F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SMLOUVU O SPOLUPRÁCI PŘI USPOŘÁDÁNÍ PŘEDSTAVENÍ </w:t>
      </w:r>
    </w:p>
    <w:p w:rsidR="00000000" w:rsidDel="00000000" w:rsidP="00000000" w:rsidRDefault="00000000" w:rsidRPr="00000000" w14:paraId="00000012">
      <w:pPr>
        <w:ind w:right="-226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I. </w:t>
      </w:r>
    </w:p>
    <w:p w:rsidR="00000000" w:rsidDel="00000000" w:rsidP="00000000" w:rsidRDefault="00000000" w:rsidRPr="00000000" w14:paraId="0000001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Předmět smlouvy</w:t>
      </w:r>
    </w:p>
    <w:p w:rsidR="00000000" w:rsidDel="00000000" w:rsidP="00000000" w:rsidRDefault="00000000" w:rsidRPr="00000000" w14:paraId="0000001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dohodly na vzájemné spolupráci při uspořádání tří tanečních </w:t>
      </w:r>
      <w:r w:rsidDel="00000000" w:rsidR="00000000" w:rsidRPr="00000000">
        <w:rPr>
          <w:rFonts w:ascii="Arial" w:cs="Arial" w:eastAsia="Arial" w:hAnsi="Arial"/>
          <w:color w:val="050505"/>
          <w:sz w:val="23"/>
          <w:szCs w:val="23"/>
          <w:highlight w:val="white"/>
          <w:rtl w:val="0"/>
        </w:rPr>
        <w:t xml:space="preserve"> představení studentů taneční konzervatoře prezentovaných pod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názvem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Duncan v ARŠE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(dále jen Představení). Jedná se o choreografie Lali Ayguadé a Dory Sulženko Hoštové vytvořené se studenty konzervatoře. Představení se uskuteční v termínech 12. a 13. ledna 2025 vždy od 19 hodin a 13. ledna také od 16 hodin. Předmětem této smlouvy je úprava vzájemných práv a povinností smluvních stran souvisejících s uspořádáním Představení. </w:t>
      </w:r>
    </w:p>
    <w:p w:rsidR="00000000" w:rsidDel="00000000" w:rsidP="00000000" w:rsidRDefault="00000000" w:rsidRPr="00000000" w14:paraId="00000017">
      <w:pPr>
        <w:ind w:right="-226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8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II.</w:t>
      </w:r>
    </w:p>
    <w:p w:rsidR="00000000" w:rsidDel="00000000" w:rsidP="00000000" w:rsidRDefault="00000000" w:rsidRPr="00000000" w14:paraId="00000019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ARCHY+</w:t>
      </w:r>
    </w:p>
    <w:p w:rsidR="00000000" w:rsidDel="00000000" w:rsidP="00000000" w:rsidRDefault="00000000" w:rsidRPr="00000000" w14:paraId="0000001A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se zavazuje poskytnout pro uvedení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Představení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dle článku 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velký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sál a jeho zázemí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(taneční elevace + plocha 12 x 12m)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Prostoru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Archa+ Na Poříčí 26, Praha 1 včetně dodávky energií a vody. Prostory budou poskytnuty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dle vzáje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mné dohody smluvních stran. harmonogramu níže.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Kontaktní osobou pro domlu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vu na harmonogramu využití prostor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je Jakub Hykeš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739012313,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jakub.hykes@archa-plus.cz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nebo produkční Ondřej Sychra,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ondrej.sychra@archa-plus.cz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Na základě konečné dohody se harmonogram využití prostor stane přílohou smlouvy.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se zavazuje zajistit pro uvedení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Představení dle článku I. a odst. II. 1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osvětlovací, zvukařské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jevištní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služby včetně poskytnutí zvukařské a osvětlovací techniky, vše v rozsahu vybavení divadla ARCHA+. Smluvní strany se shodují, že vybavení ARCHY+ je dostačující pro uvedení Představení.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produkční, uvaděče a hledištní personál v dostatečném počtu.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propagaci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běžného standardu a uhradí náklady s tím spojené.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zajistí předprodej vstupenek 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obě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Představení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předprodej bude zahájen 27. 11. 2024.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Cena standardní vstupenky je 290 Kč (sezení), studentské a zlevněné vstupné je 190 Kč, zvláštní zlevněné vstupné pro studenty DC je 100 Kč.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využije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10 ks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volných vstupenek na každé Představení. DC bude s předstihem (nejpozději měsíc před konáním prvního představení) informovat o počtu čestných hostů na každé Představení (gestlist).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zašle nejpozději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pracovních dnů po uskutečnění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druhého Představení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vyúčtování tržeb ze vstupného. Výše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ist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tržb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ze vstupného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tj hrubá tržba po odečtení poplatků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ve výši 3,7% + DPH z poplatků)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bude použita na pokrytí odměny, která dle dohody Smluvních stran náleží ARŠE+.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ARCHA+ nenese odpovědnost za škody (na zdraví a majetku) účinkujících a dalších osob zajištěných ze strany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takové škody pokrýt a uhradit svým pojištěním, případně se nároků na škodu vzdát.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ARCHA+ je oprávněna vlastní fotografie, audio a videozáznamy ze zkoušky a z Představení použít bez omezení pro propagaci a pro prezentaci své činnosti, nikoliv však ke komerčním účelům.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 za toto svolení nepožaduje úhradu.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ARCHA+ ovšem není povinna fotografie a video na vlastní náklady zajistit. 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ARCHA+ se jako spolupořadatel zavazuje podílet na nákladech souvisejících s uspořádáním Představení způsobem dle podmínek uvedených v článku V.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III.</w:t>
      </w:r>
    </w:p>
    <w:p w:rsidR="00000000" w:rsidDel="00000000" w:rsidP="00000000" w:rsidRDefault="00000000" w:rsidRPr="00000000" w14:paraId="0000002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Práva a povinnosti DC</w:t>
      </w:r>
    </w:p>
    <w:p w:rsidR="00000000" w:rsidDel="00000000" w:rsidP="00000000" w:rsidRDefault="00000000" w:rsidRPr="00000000" w14:paraId="00000027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na své náklady a svým jménem zajistit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dle podmínek stanovených touto smlouvou.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zajistit všechny účinkující, výkonn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é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umělc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a další osoby podílející se na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realizaci Představení. Dále DC zajistí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kostým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dekorac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rekvizity, uhradí přepravné, případně občerstvení pro účinkující. 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uhradit všechny honoráře a další náklady spojené se zajištěním osob a služeb dle odstavce 1. a 2. Honoráře a odměny budou vyplaceny na základě samostatných smluv uzavřených ze strany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náklady budou uhrazeny na základě faktur uhrazených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ověřit technické možnosti a vybavení ARCHY+ a na své náklady případně zapůjčit techniku a další potřebné vybavení, které nemá ARCHA+ k dispozici a nemůže je pro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poskytnout. 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501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 prohlašuje, že je mu znám stav prostoru ARCHY+, kde se Představení uskuteční. Zároveň seznámilo spolupracující a účinkující s bezpečnostními předpisy a zavazuje se je dodržovat, stejně tak jako se zavazuje dodržovat právní předpisy platné v oblasti bezpečnosti práce a požární ochrany.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uhradí všechny autorské odměny včetně licencí a jiných autorských poplatků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kolektivním správcům Dilia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Intergram, příp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adně OSA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ARCHA+ nenese odpovědnost za případná porušení autorských a dalších práv vyplývajících z autorského zákona souvisejících s uvedením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 v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prostoru ARCHA+ dle této smlouvy.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 souhlasí s pořízením fotografií z představení a jejich užitím ARCHOU+ výhradně pro nekomerční účely. ARCHA+ není povinna fotografie z představení pořídit ani zveřejnit. Současně se DC zavazuje ARŠE+ pro stejný účel fotografie poskytnout.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zajistit, aby kostýmy, dekorace a scéna užité v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Představeních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splňovaly požadavky platných bezpečnostních a protipožárních norem. Jakékoliv rizikové skutečnosti související s BOZP 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povin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nahlásit s dostatečným předstihem.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zavazuje zajistit propagaci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Představení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dle běžného standardu a dodat v dostatečném předstihu ARŠE+ propagační materiály vztahující se k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Představení.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 případě, že chce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DC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před nebo po Představení prodávat své propagační předměty, zajistí si prodej na vlastní náklady.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DC se jako spolupořadatel zavazuje podílet na nákladech souvisejících s uspořádáním Představení způsobem dle podmínek uvedených v článku IV.</w:t>
      </w:r>
    </w:p>
    <w:p w:rsidR="00000000" w:rsidDel="00000000" w:rsidP="00000000" w:rsidRDefault="00000000" w:rsidRPr="00000000" w14:paraId="0000003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3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Finanční podmínky</w:t>
      </w:r>
    </w:p>
    <w:p w:rsidR="00000000" w:rsidDel="00000000" w:rsidP="00000000" w:rsidRDefault="00000000" w:rsidRPr="00000000" w14:paraId="00000036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Smluvní strany se budou na základě vzájemné dohody podílet na přípravě a uspořádání Představení vlastními vklady formou zajištění části služeb dle článků II a III.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Nad rámec zajištění služeb dle odstavce 1 bude ARŠE+ uhrazena odměna za spolupráci  ve výši 90.000 Kč. Na úhradu odměny budou použity příjmy z čistých tržeb ze vstupného dle odst 6 článku II.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Odměnu dle bodu 2 (90.000 Kč) po odečtení čistých tržeb ze vstupného uhradí DC na základě faktury vystavené ARCHOU+ v případě, že bude součet čistých tržeb z Představení menší než 90.000 Kč. 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případě, že bude součet čistých tržeb z Představení větší než 90.000 Kč, patří tržby ARŠE+ a DC odměnu nehradí.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right="-2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V.</w:t>
      </w:r>
    </w:p>
    <w:p w:rsidR="00000000" w:rsidDel="00000000" w:rsidP="00000000" w:rsidRDefault="00000000" w:rsidRPr="00000000" w14:paraId="0000003D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Odstoupení od smlouvy</w:t>
      </w:r>
    </w:p>
    <w:p w:rsidR="00000000" w:rsidDel="00000000" w:rsidP="00000000" w:rsidRDefault="00000000" w:rsidRPr="00000000" w14:paraId="0000003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 případě, že se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Představení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neuskuteční z důvodu vyšší moci, nemá žádná ze smluvních stran nárok na náhradu dosud vynaložených nákladů souvisejících s plněním dle této smlouvy a ani na náhradu škody. Obě strany v takovém případě vynaloží úsilí najít náhradní termíny pro konání Představení. Za vyšší moc považují smluvní strany i úraz či nemoc nezastupitelného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tanečníka/tanečnice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Pokud jedna ze stran odstoupí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od smlouvy z důvodů na své straně nebo z důvodu závažného porušení podmínek vyplývajících z této smlouvy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zavazuje se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odstupující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strana, respektive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strana, která porušila podmínky smlouvy,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uhradit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pokutu ve výši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0 000 Kč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 každou zrušené Představení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Ustanovení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tohoto odstavce platí, pokud se Smluvní strany nedohod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nou jinak, například dohodou na jiných termínech, apod.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1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Náklady dle odst. 2 budou uhrazeny na základě faktur vystavených poškozenou smluvní stranou. </w:t>
      </w:r>
    </w:p>
    <w:p w:rsidR="00000000" w:rsidDel="00000000" w:rsidP="00000000" w:rsidRDefault="00000000" w:rsidRPr="00000000" w14:paraId="00000042">
      <w:pPr>
        <w:ind w:right="-226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VI.</w:t>
      </w:r>
    </w:p>
    <w:p w:rsidR="00000000" w:rsidDel="00000000" w:rsidP="00000000" w:rsidRDefault="00000000" w:rsidRPr="00000000" w14:paraId="00000044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Závěrečná ustanovení</w:t>
      </w:r>
    </w:p>
    <w:p w:rsidR="00000000" w:rsidDel="00000000" w:rsidP="00000000" w:rsidRDefault="00000000" w:rsidRPr="00000000" w14:paraId="00000045">
      <w:pPr>
        <w:ind w:right="-226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Tato smlouva nabývá platnosti a účinnosti dnem podpisu oprávněnými zástupci obou smluvních stran a je uzavírána do doby vyrovnání veškerých vzájemných závazků z této smlouvy vyplývajících.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Zástupci obou smluvních stran prohlašují, že jsou oprávněni tuto smlouvu uzavřít.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Jakékoliv změny této smlouvy se mohou řešit pouze formou písemných a číslovaných dodatků uzavřených po dohodě obou smluvních stran.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right="-226" w:hanging="36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Tato smlouva je vyhotovena ve dvou stejnopisech, z nichž každá z obou smluvních stran obdrží po jednom.</w:t>
      </w:r>
    </w:p>
    <w:p w:rsidR="00000000" w:rsidDel="00000000" w:rsidP="00000000" w:rsidRDefault="00000000" w:rsidRPr="00000000" w14:paraId="0000004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 Praze dne 7. 1. 2025</w:t>
      </w:r>
    </w:p>
    <w:p w:rsidR="00000000" w:rsidDel="00000000" w:rsidP="00000000" w:rsidRDefault="00000000" w:rsidRPr="00000000" w14:paraId="0000004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........................................ .………                              ………....................................</w:t>
      </w:r>
    </w:p>
    <w:p w:rsidR="00000000" w:rsidDel="00000000" w:rsidP="00000000" w:rsidRDefault="00000000" w:rsidRPr="00000000" w14:paraId="00000051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ARCHA+ </w:t>
        <w:tab/>
        <w:tab/>
        <w:t xml:space="preserve">                                              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Konzervatoř Duncan centre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-2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RomanE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939" w:hanging="360"/>
      </w:pPr>
      <w:rPr/>
    </w:lvl>
    <w:lvl w:ilvl="2">
      <w:start w:val="1"/>
      <w:numFmt w:val="lowerRoman"/>
      <w:lvlText w:val="%3."/>
      <w:lvlJc w:val="right"/>
      <w:pPr>
        <w:ind w:left="1659" w:hanging="180"/>
      </w:pPr>
      <w:rPr/>
    </w:lvl>
    <w:lvl w:ilvl="3">
      <w:start w:val="1"/>
      <w:numFmt w:val="decimal"/>
      <w:lvlText w:val="%4."/>
      <w:lvlJc w:val="left"/>
      <w:pPr>
        <w:ind w:left="2379" w:hanging="360"/>
      </w:pPr>
      <w:rPr/>
    </w:lvl>
    <w:lvl w:ilvl="4">
      <w:start w:val="1"/>
      <w:numFmt w:val="lowerLetter"/>
      <w:lvlText w:val="%5."/>
      <w:lvlJc w:val="left"/>
      <w:pPr>
        <w:ind w:left="3099" w:hanging="360"/>
      </w:pPr>
      <w:rPr/>
    </w:lvl>
    <w:lvl w:ilvl="5">
      <w:start w:val="1"/>
      <w:numFmt w:val="lowerRoman"/>
      <w:lvlText w:val="%6."/>
      <w:lvlJc w:val="right"/>
      <w:pPr>
        <w:ind w:left="3819" w:hanging="180"/>
      </w:pPr>
      <w:rPr/>
    </w:lvl>
    <w:lvl w:ilvl="6">
      <w:start w:val="1"/>
      <w:numFmt w:val="decimal"/>
      <w:lvlText w:val="%7."/>
      <w:lvlJc w:val="left"/>
      <w:pPr>
        <w:ind w:left="4539" w:hanging="360"/>
      </w:pPr>
      <w:rPr/>
    </w:lvl>
    <w:lvl w:ilvl="7">
      <w:start w:val="1"/>
      <w:numFmt w:val="lowerLetter"/>
      <w:lvlText w:val="%8."/>
      <w:lvlJc w:val="left"/>
      <w:pPr>
        <w:ind w:left="5259" w:hanging="360"/>
      </w:pPr>
      <w:rPr/>
    </w:lvl>
    <w:lvl w:ilvl="8">
      <w:start w:val="1"/>
      <w:numFmt w:val="lowerRoman"/>
      <w:lvlText w:val="%9."/>
      <w:lvlJc w:val="right"/>
      <w:pPr>
        <w:ind w:left="5979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501" w:hanging="360"/>
      </w:pPr>
      <w:rPr/>
    </w:lvl>
    <w:lvl w:ilvl="1">
      <w:start w:val="1"/>
      <w:numFmt w:val="lowerLetter"/>
      <w:lvlText w:val="%2."/>
      <w:lvlJc w:val="left"/>
      <w:pPr>
        <w:ind w:left="1221" w:hanging="360"/>
      </w:pPr>
      <w:rPr/>
    </w:lvl>
    <w:lvl w:ilvl="2">
      <w:start w:val="1"/>
      <w:numFmt w:val="lowerRoman"/>
      <w:lvlText w:val="%3."/>
      <w:lvlJc w:val="right"/>
      <w:pPr>
        <w:ind w:left="1941" w:hanging="180"/>
      </w:pPr>
      <w:rPr/>
    </w:lvl>
    <w:lvl w:ilvl="3">
      <w:start w:val="1"/>
      <w:numFmt w:val="decimal"/>
      <w:lvlText w:val="%4."/>
      <w:lvlJc w:val="left"/>
      <w:pPr>
        <w:ind w:left="2661" w:hanging="360"/>
      </w:pPr>
      <w:rPr/>
    </w:lvl>
    <w:lvl w:ilvl="4">
      <w:start w:val="1"/>
      <w:numFmt w:val="lowerLetter"/>
      <w:lvlText w:val="%5."/>
      <w:lvlJc w:val="left"/>
      <w:pPr>
        <w:ind w:left="3381" w:hanging="360"/>
      </w:pPr>
      <w:rPr/>
    </w:lvl>
    <w:lvl w:ilvl="5">
      <w:start w:val="1"/>
      <w:numFmt w:val="lowerRoman"/>
      <w:lvlText w:val="%6."/>
      <w:lvlJc w:val="right"/>
      <w:pPr>
        <w:ind w:left="4101" w:hanging="180"/>
      </w:pPr>
      <w:rPr/>
    </w:lvl>
    <w:lvl w:ilvl="6">
      <w:start w:val="1"/>
      <w:numFmt w:val="decimal"/>
      <w:lvlText w:val="%7."/>
      <w:lvlJc w:val="left"/>
      <w:pPr>
        <w:ind w:left="4821" w:hanging="360"/>
      </w:pPr>
      <w:rPr/>
    </w:lvl>
    <w:lvl w:ilvl="7">
      <w:start w:val="1"/>
      <w:numFmt w:val="lowerLetter"/>
      <w:lvlText w:val="%8."/>
      <w:lvlJc w:val="left"/>
      <w:pPr>
        <w:ind w:left="5541" w:hanging="360"/>
      </w:pPr>
      <w:rPr/>
    </w:lvl>
    <w:lvl w:ilvl="8">
      <w:start w:val="1"/>
      <w:numFmt w:val="lowerRoman"/>
      <w:lvlText w:val="%9."/>
      <w:lvlJc w:val="right"/>
      <w:pPr>
        <w:ind w:left="6261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manEES" w:cs="RomanEES" w:eastAsia="RomanEES" w:hAnsi="RomanEES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ln" w:default="1">
    <w:name w:val="Normal"/>
    <w:qFormat w:val="1"/>
    <w:rsid w:val="00CC19FB"/>
    <w:rPr>
      <w:rFonts w:cs="Times New Roman" w:eastAsia="Times New Roman"/>
      <w:szCs w:val="20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CC19FB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CC19FB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CC19FB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CC19FB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CC19FB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CC19FB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 w:val="1"/>
    <w:rsid w:val="00CC19FB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dpis1Char" w:customStyle="1">
    <w:name w:val="Nadpis 1 Char"/>
    <w:basedOn w:val="Standardnpsmoodstavce"/>
    <w:link w:val="Nadpis1"/>
    <w:uiPriority w:val="9"/>
    <w:rsid w:val="00CC19FB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CC19FB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CC19FB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CC19FB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CC19FB"/>
    <w:rPr>
      <w:rFonts w:cstheme="majorBidi" w:eastAsiaTheme="majorEastAsia"/>
      <w:color w:val="0f4761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CC19FB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CC19FB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CC19FB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CC19FB"/>
    <w:rPr>
      <w:rFonts w:cstheme="majorBidi" w:eastAsiaTheme="majorEastAsia"/>
      <w:color w:val="272727" w:themeColor="text1" w:themeTint="0000D8"/>
    </w:rPr>
  </w:style>
  <w:style w:type="character" w:styleId="NzevChar" w:customStyle="1">
    <w:name w:val="Název Char"/>
    <w:basedOn w:val="Standardnpsmoodstavce"/>
    <w:link w:val="Nzev"/>
    <w:uiPriority w:val="10"/>
    <w:rsid w:val="00CC19FB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rFonts w:cs="RomanEES" w:eastAsia="RomanEES"/>
      <w:color w:val="595959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CC19FB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CC19FB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CC19FB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CC19FB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CC19FB"/>
    <w:rPr>
      <w:i w:val="1"/>
      <w:iCs w:val="1"/>
      <w:color w:val="0f4761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CC19FB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CC19FB"/>
    <w:rPr>
      <w:i w:val="1"/>
      <w:iCs w:val="1"/>
      <w:color w:val="0f4761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CC19FB"/>
    <w:rPr>
      <w:b w:val="1"/>
      <w:bCs w:val="1"/>
      <w:smallCaps w:val="1"/>
      <w:color w:val="0f4761" w:themeColor="accent1" w:themeShade="0000BF"/>
      <w:spacing w:val="5"/>
    </w:rPr>
  </w:style>
  <w:style w:type="paragraph" w:styleId="Normlnweb">
    <w:name w:val="Normal (Web)"/>
    <w:basedOn w:val="Normln"/>
    <w:uiPriority w:val="99"/>
    <w:unhideWhenUsed w:val="1"/>
    <w:rsid w:val="00CC19FB"/>
    <w:pPr>
      <w:spacing w:after="100" w:afterAutospacing="1" w:before="100" w:beforeAutospacing="1"/>
    </w:pPr>
    <w:rPr>
      <w:rFonts w:ascii="Times New Roman" w:hAnsi="Times New Roman"/>
      <w:szCs w:val="24"/>
    </w:rPr>
  </w:style>
  <w:style w:type="paragraph" w:styleId="Zkladntext">
    <w:name w:val="Body Text"/>
    <w:basedOn w:val="Normln"/>
    <w:link w:val="ZkladntextChar"/>
    <w:semiHidden w:val="1"/>
    <w:rsid w:val="00CC19FB"/>
    <w:pPr>
      <w:jc w:val="both"/>
    </w:pPr>
    <w:rPr>
      <w:rFonts w:ascii="Times New Roman" w:hAnsi="Times New Roman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CC19FB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character" w:styleId="preformatted" w:customStyle="1">
    <w:name w:val="preformatted"/>
    <w:basedOn w:val="Standardnpsmoodstavce"/>
    <w:rsid w:val="00CC19FB"/>
  </w:style>
  <w:style w:type="character" w:styleId="Siln">
    <w:name w:val="Strong"/>
    <w:basedOn w:val="Standardnpsmoodstavce"/>
    <w:uiPriority w:val="22"/>
    <w:qFormat w:val="1"/>
    <w:rsid w:val="00E177D5"/>
    <w:rPr>
      <w:b w:val="1"/>
      <w:bCs w:val="1"/>
    </w:rPr>
  </w:style>
  <w:style w:type="character" w:styleId="Hypertextovodkaz">
    <w:name w:val="Hyperlink"/>
    <w:basedOn w:val="Standardnpsmoodstavce"/>
    <w:uiPriority w:val="99"/>
    <w:unhideWhenUsed w:val="1"/>
    <w:rsid w:val="00E177D5"/>
    <w:rPr>
      <w:color w:val="0000ff"/>
      <w:u w:val="single"/>
    </w:rPr>
  </w:style>
  <w:style w:type="character" w:styleId="il" w:customStyle="1">
    <w:name w:val="il"/>
    <w:basedOn w:val="Standardnpsmoodstavce"/>
    <w:rsid w:val="00EA6DFF"/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595959"/>
      <w:sz w:val="28"/>
      <w:szCs w:val="28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RomanEES" w:cs="RomanEES" w:eastAsia="RomanEES" w:hAnsi="RomanEES"/>
      <w:b w:val="0"/>
      <w:i w:val="0"/>
      <w:smallCaps w:val="0"/>
      <w:strike w:val="0"/>
      <w:color w:val="595959"/>
      <w:sz w:val="28"/>
      <w:szCs w:val="2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kub.hykes@archa-plus.cz" TargetMode="External"/><Relationship Id="rId8" Type="http://schemas.openxmlformats.org/officeDocument/2006/relationships/hyperlink" Target="mailto:ondrej.sychra@archa-plus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+XREnTxVufqQRarmgiHZCBPOjQ==">CgMxLjAyCGguZ2pkZ3hzOAByITEyX01QanBrbzk0b2NXSG56RDJsTlFVOVllR3FsRUlBRA==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2024-10-23T11:00:00Z</dcterms:created>
  <dc:creator>Radka Kareisová</dc:creator>
</cp:coreProperties>
</file>