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ACB15" w14:textId="77777777" w:rsidR="00DB7DB0" w:rsidRDefault="00A3792B" w:rsidP="00DB7DB0">
      <w:pPr>
        <w:pStyle w:val="Nzev"/>
      </w:pPr>
      <w:r w:rsidRPr="00486E77">
        <w:t xml:space="preserve">DODATEK Č. 1 </w:t>
      </w:r>
    </w:p>
    <w:p w14:paraId="3C8C4A32" w14:textId="65C1066F" w:rsidR="00ED524E" w:rsidRDefault="00A3792B" w:rsidP="00DB7DB0">
      <w:pPr>
        <w:pStyle w:val="Nzev"/>
      </w:pPr>
      <w:r w:rsidRPr="00486E77">
        <w:t>KE SMLOUV</w:t>
      </w:r>
      <w:r w:rsidR="00ED524E">
        <w:t>Ě</w:t>
      </w:r>
      <w:r w:rsidRPr="00486E77">
        <w:t xml:space="preserve"> </w:t>
      </w:r>
      <w:r w:rsidR="007D2DFF" w:rsidRPr="00486E77">
        <w:t xml:space="preserve">O </w:t>
      </w:r>
      <w:r w:rsidR="00A252F8">
        <w:t xml:space="preserve">poskytování </w:t>
      </w:r>
      <w:r w:rsidR="00E31F16">
        <w:t xml:space="preserve">provozní </w:t>
      </w:r>
      <w:r w:rsidR="00A252F8">
        <w:t xml:space="preserve">podpory </w:t>
      </w:r>
      <w:r w:rsidR="00E31F16">
        <w:t>systému ispi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6896071C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 xml:space="preserve">č. smlouvy </w:t>
      </w:r>
      <w:r w:rsidR="007E6D6C">
        <w:rPr>
          <w:rFonts w:cs="Arial"/>
        </w:rPr>
        <w:t>objednatele</w:t>
      </w:r>
      <w:r w:rsidRPr="00ED524E">
        <w:rPr>
          <w:rFonts w:cs="Arial"/>
        </w:rPr>
        <w:t xml:space="preserve"> </w:t>
      </w:r>
      <w:r w:rsidR="00DB7DB0">
        <w:rPr>
          <w:rFonts w:cs="Arial"/>
        </w:rPr>
        <w:t>O</w:t>
      </w:r>
      <w:r w:rsidRPr="00ED524E">
        <w:rPr>
          <w:rFonts w:cs="Arial"/>
        </w:rPr>
        <w:t>/</w:t>
      </w:r>
      <w:r w:rsidR="007E6D6C">
        <w:rPr>
          <w:rFonts w:cs="Arial"/>
        </w:rPr>
        <w:t>1455</w:t>
      </w:r>
      <w:r w:rsidR="00DB7DB0">
        <w:rPr>
          <w:rFonts w:cs="Arial"/>
        </w:rPr>
        <w:t>/20</w:t>
      </w:r>
      <w:r w:rsidR="007E6D6C">
        <w:rPr>
          <w:rFonts w:cs="Arial"/>
        </w:rPr>
        <w:t>07</w:t>
      </w:r>
      <w:r w:rsidR="00DB7DB0">
        <w:rPr>
          <w:rFonts w:cs="Arial"/>
        </w:rPr>
        <w:t>/</w:t>
      </w:r>
      <w:proofErr w:type="spellStart"/>
      <w:r w:rsidR="00DB7DB0">
        <w:rPr>
          <w:rFonts w:cs="Arial"/>
        </w:rPr>
        <w:t>K</w:t>
      </w:r>
      <w:r w:rsidR="007E6D6C">
        <w:rPr>
          <w:rFonts w:cs="Arial"/>
        </w:rPr>
        <w:t>t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2979D998" w14:textId="1642E2DA" w:rsidR="005E31D4" w:rsidRPr="005E31D4" w:rsidRDefault="007E6D6C" w:rsidP="005E31D4">
      <w:pPr>
        <w:suppressAutoHyphens/>
        <w:spacing w:before="120" w:after="0" w:line="240" w:lineRule="auto"/>
        <w:rPr>
          <w:b/>
        </w:rPr>
      </w:pPr>
      <w:r w:rsidRPr="007E6D6C">
        <w:rPr>
          <w:b/>
        </w:rPr>
        <w:t xml:space="preserve">BACH </w:t>
      </w:r>
      <w:proofErr w:type="spellStart"/>
      <w:r w:rsidRPr="007E6D6C">
        <w:rPr>
          <w:b/>
        </w:rPr>
        <w:t>systems</w:t>
      </w:r>
      <w:proofErr w:type="spellEnd"/>
      <w:r w:rsidRPr="007E6D6C">
        <w:rPr>
          <w:b/>
        </w:rPr>
        <w:t xml:space="preserve"> s.r.o.</w:t>
      </w:r>
    </w:p>
    <w:p w14:paraId="429D60DA" w14:textId="7342E5DC" w:rsidR="005E31D4" w:rsidRPr="005E31D4" w:rsidRDefault="005E31D4" w:rsidP="005E31D4">
      <w:pPr>
        <w:suppressAutoHyphens/>
        <w:spacing w:before="120" w:after="0" w:line="240" w:lineRule="auto"/>
      </w:pPr>
      <w:r w:rsidRPr="005E31D4">
        <w:t xml:space="preserve">se sídlem </w:t>
      </w:r>
      <w:r w:rsidR="007E6D6C" w:rsidRPr="007E6D6C">
        <w:t>Holická 31/</w:t>
      </w:r>
      <w:proofErr w:type="spellStart"/>
      <w:r w:rsidR="007E6D6C" w:rsidRPr="007E6D6C">
        <w:t>N,</w:t>
      </w:r>
      <w:proofErr w:type="gramStart"/>
      <w:r w:rsidR="007E6D6C" w:rsidRPr="007E6D6C">
        <w:t>č.p</w:t>
      </w:r>
      <w:proofErr w:type="spellEnd"/>
      <w:r w:rsidR="007E6D6C" w:rsidRPr="007E6D6C">
        <w:t>.</w:t>
      </w:r>
      <w:proofErr w:type="gramEnd"/>
      <w:r w:rsidR="007E6D6C" w:rsidRPr="007E6D6C">
        <w:t xml:space="preserve"> 1097</w:t>
      </w:r>
      <w:r w:rsidR="007E6D6C">
        <w:t xml:space="preserve">, </w:t>
      </w:r>
      <w:r w:rsidR="007E6D6C" w:rsidRPr="007E6D6C">
        <w:t>77200</w:t>
      </w:r>
      <w:r w:rsidR="007E6D6C">
        <w:t xml:space="preserve"> </w:t>
      </w:r>
      <w:r w:rsidR="007E6D6C" w:rsidRPr="007E6D6C">
        <w:t xml:space="preserve">Olomouc - Hodolany </w:t>
      </w:r>
    </w:p>
    <w:p w14:paraId="2A9973B9" w14:textId="6A3C6E4E" w:rsidR="005E31D4" w:rsidRPr="005E31D4" w:rsidRDefault="005E31D4" w:rsidP="005E31D4">
      <w:pPr>
        <w:suppressAutoHyphens/>
        <w:spacing w:before="120" w:after="0" w:line="240" w:lineRule="auto"/>
      </w:pPr>
      <w:r w:rsidRPr="005E31D4">
        <w:t xml:space="preserve">jejímž jménem jedná: </w:t>
      </w:r>
      <w:r w:rsidR="007E6D6C">
        <w:t>Ing. Miroslav Bayer</w:t>
      </w:r>
      <w:r w:rsidR="00DB7DB0">
        <w:t>, jednatel</w:t>
      </w:r>
      <w:r w:rsidRPr="005E31D4">
        <w:tab/>
      </w:r>
    </w:p>
    <w:p w14:paraId="5BF94298" w14:textId="164968C9" w:rsidR="005E31D4" w:rsidRPr="005E31D4" w:rsidRDefault="00C51E61" w:rsidP="005E31D4">
      <w:pPr>
        <w:suppressAutoHyphens/>
        <w:spacing w:before="120" w:after="0" w:line="240" w:lineRule="auto"/>
      </w:pPr>
      <w:r>
        <w:t xml:space="preserve">IČ: </w:t>
      </w:r>
      <w:r w:rsidR="007E6D6C">
        <w:t>60794097</w:t>
      </w:r>
    </w:p>
    <w:p w14:paraId="047C9884" w14:textId="7F1E0782" w:rsidR="005E31D4" w:rsidRPr="005E31D4" w:rsidRDefault="005E31D4" w:rsidP="005E31D4">
      <w:pPr>
        <w:suppressAutoHyphens/>
        <w:spacing w:before="120" w:after="0" w:line="240" w:lineRule="auto"/>
      </w:pPr>
      <w:r w:rsidRPr="005E31D4">
        <w:t>DIČ: CZ</w:t>
      </w:r>
      <w:r w:rsidR="007E6D6C">
        <w:t>60794097</w:t>
      </w:r>
    </w:p>
    <w:p w14:paraId="3AF3A485" w14:textId="2E3B77BB" w:rsidR="005E31D4" w:rsidRPr="005E31D4" w:rsidRDefault="005E31D4" w:rsidP="005E31D4">
      <w:pPr>
        <w:suppressAutoHyphens/>
        <w:spacing w:before="120" w:after="0" w:line="240" w:lineRule="auto"/>
      </w:pPr>
      <w:r w:rsidRPr="005E31D4">
        <w:t xml:space="preserve">Bankovní spojení: </w:t>
      </w:r>
      <w:r w:rsidR="000C0109" w:rsidRPr="000C0109">
        <w:t>MONETA Money Bank</w:t>
      </w:r>
    </w:p>
    <w:p w14:paraId="2FFB4E5F" w14:textId="28CAC63A" w:rsidR="005E31D4" w:rsidRPr="005E31D4" w:rsidRDefault="005E31D4" w:rsidP="005E31D4">
      <w:pPr>
        <w:suppressAutoHyphens/>
        <w:spacing w:before="120" w:after="0" w:line="240" w:lineRule="auto"/>
      </w:pPr>
      <w:r w:rsidRPr="005E31D4">
        <w:t xml:space="preserve">Číslo účtu: </w:t>
      </w:r>
      <w:r w:rsidR="000C0109">
        <w:t>14400494/0600</w:t>
      </w:r>
    </w:p>
    <w:p w14:paraId="607AB746" w14:textId="66B33886" w:rsidR="000F3CA9" w:rsidRPr="005E31D4" w:rsidRDefault="005E31D4" w:rsidP="005E31D4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5E31D4">
        <w:t xml:space="preserve">Společnost je zapsána do obchodního rejstříku vedeného Krajským soudem v </w:t>
      </w:r>
      <w:r w:rsidR="007E6D6C">
        <w:t>Ostravě</w:t>
      </w:r>
      <w:r w:rsidRPr="005E31D4">
        <w:t xml:space="preserve">, oddíl </w:t>
      </w:r>
      <w:r w:rsidR="00C51E61">
        <w:t>C</w:t>
      </w:r>
      <w:r w:rsidRPr="005E31D4">
        <w:t xml:space="preserve">, vložka </w:t>
      </w:r>
      <w:r w:rsidR="007E6D6C">
        <w:t>7219</w:t>
      </w:r>
    </w:p>
    <w:p w14:paraId="5E3EFF0A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E2B1722" w14:textId="791BF598" w:rsidR="003B2D7D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jako </w:t>
      </w:r>
      <w:r w:rsidR="00B74CDC">
        <w:rPr>
          <w:rFonts w:eastAsia="Times New Roman" w:cs="Arial"/>
          <w:lang w:eastAsia="ar-SA"/>
        </w:rPr>
        <w:t>poskytovatel</w:t>
      </w:r>
      <w:r>
        <w:rPr>
          <w:rFonts w:eastAsia="Times New Roman" w:cs="Arial"/>
          <w:lang w:eastAsia="ar-SA"/>
        </w:rPr>
        <w:t xml:space="preserve"> (dále jen</w:t>
      </w:r>
      <w:r w:rsidRPr="003B2D7D">
        <w:rPr>
          <w:rFonts w:eastAsia="Times New Roman" w:cs="Arial"/>
          <w:lang w:eastAsia="ar-SA"/>
        </w:rPr>
        <w:t xml:space="preserve"> „</w:t>
      </w:r>
      <w:r w:rsidR="00B74CDC">
        <w:rPr>
          <w:rFonts w:eastAsia="Times New Roman" w:cs="Arial"/>
          <w:b/>
          <w:lang w:eastAsia="ar-SA"/>
        </w:rPr>
        <w:t>poskytovatel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>)</w:t>
      </w:r>
      <w:r w:rsidRPr="003B2D7D">
        <w:rPr>
          <w:rFonts w:eastAsia="Times New Roman" w:cs="Arial"/>
          <w:lang w:eastAsia="ar-SA"/>
        </w:rPr>
        <w:t xml:space="preserve">, na straně </w:t>
      </w:r>
      <w:r>
        <w:rPr>
          <w:rFonts w:eastAsia="Times New Roman" w:cs="Arial"/>
          <w:lang w:eastAsia="ar-SA"/>
        </w:rPr>
        <w:t>jedné</w:t>
      </w: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25FF954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b/>
          <w:lang w:eastAsia="ar-SA"/>
        </w:rPr>
        <w:t>Fakultní nemocnice Brno</w:t>
      </w:r>
    </w:p>
    <w:p w14:paraId="590D6D73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se sídlem Jihlavská 20, 625 00 Brno</w:t>
      </w:r>
    </w:p>
    <w:p w14:paraId="732CAD44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jejímž jménem jedná: MUDr. Ivo Rovný, MBA, ředitel</w:t>
      </w:r>
    </w:p>
    <w:p w14:paraId="13FFF767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IČO 65269705</w:t>
      </w:r>
    </w:p>
    <w:p w14:paraId="5DC2DAE5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DIČ CZ65269705</w:t>
      </w:r>
    </w:p>
    <w:p w14:paraId="1754710A" w14:textId="317CAEF9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 xml:space="preserve">bankovní spojení </w:t>
      </w:r>
      <w:r w:rsidRPr="000F3CA9">
        <w:rPr>
          <w:rFonts w:eastAsia="Times New Roman" w:cs="Arial"/>
          <w:lang w:eastAsia="ar-SA"/>
        </w:rPr>
        <w:t>Česká národní banka</w:t>
      </w:r>
    </w:p>
    <w:p w14:paraId="1D814B0D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Číslo účtu: 71234621/0710</w:t>
      </w:r>
    </w:p>
    <w:p w14:paraId="31B0F2E5" w14:textId="77777777" w:rsidR="000F3CA9" w:rsidRPr="003B2D7D" w:rsidRDefault="000F3CA9" w:rsidP="000F3CA9">
      <w:pPr>
        <w:tabs>
          <w:tab w:val="left" w:pos="0"/>
        </w:tabs>
        <w:suppressAutoHyphens/>
        <w:autoSpaceDE w:val="0"/>
        <w:spacing w:before="120" w:after="0" w:line="240" w:lineRule="auto"/>
        <w:rPr>
          <w:rFonts w:eastAsia="Times New Roman" w:cs="Arial"/>
          <w:i/>
          <w:sz w:val="24"/>
          <w:szCs w:val="24"/>
          <w:lang w:eastAsia="ar-SA"/>
        </w:rPr>
      </w:pPr>
      <w:r w:rsidRPr="003B2D7D">
        <w:rPr>
          <w:rFonts w:eastAsia="Times New Roman" w:cs="Arial"/>
          <w:bCs/>
          <w:iCs/>
          <w:lang w:eastAsia="ar-SA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6C6319C0" w14:textId="77777777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30DFBD6F" w14:textId="13720AFF" w:rsidR="000F3CA9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jako objednatelem (</w:t>
      </w:r>
      <w:r w:rsidRPr="003B2D7D">
        <w:rPr>
          <w:rFonts w:eastAsia="Times New Roman" w:cs="Arial"/>
          <w:lang w:eastAsia="ar-SA"/>
        </w:rPr>
        <w:t>dále jen „</w:t>
      </w:r>
      <w:r w:rsidR="00B74CDC">
        <w:rPr>
          <w:rFonts w:eastAsia="Times New Roman" w:cs="Arial"/>
          <w:b/>
          <w:lang w:eastAsia="ar-SA"/>
        </w:rPr>
        <w:t>objednatel</w:t>
      </w:r>
      <w:r w:rsidRPr="003B2D7D">
        <w:rPr>
          <w:rFonts w:eastAsia="Times New Roman" w:cs="Arial"/>
          <w:lang w:eastAsia="ar-SA"/>
        </w:rPr>
        <w:t>“</w:t>
      </w:r>
      <w:r>
        <w:rPr>
          <w:rFonts w:eastAsia="Times New Roman" w:cs="Arial"/>
          <w:lang w:eastAsia="ar-SA"/>
        </w:rPr>
        <w:t>)</w:t>
      </w:r>
      <w:r w:rsidRPr="003B2D7D">
        <w:rPr>
          <w:rFonts w:eastAsia="Times New Roman" w:cs="Arial"/>
          <w:lang w:eastAsia="ar-SA"/>
        </w:rPr>
        <w:t xml:space="preserve">, na straně </w:t>
      </w:r>
      <w:r>
        <w:rPr>
          <w:rFonts w:eastAsia="Times New Roman" w:cs="Arial"/>
          <w:lang w:eastAsia="ar-SA"/>
        </w:rPr>
        <w:t xml:space="preserve">druhé </w:t>
      </w:r>
    </w:p>
    <w:p w14:paraId="2208586D" w14:textId="76A4D1F5" w:rsidR="000F3CA9" w:rsidRPr="003B2D7D" w:rsidRDefault="000F3CA9" w:rsidP="000F3CA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a to v následujícím znění:</w:t>
      </w:r>
    </w:p>
    <w:p w14:paraId="66860FD8" w14:textId="4EC13B03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0284CD46" w14:textId="7FB87B70" w:rsidR="00180C7A" w:rsidRDefault="007E33B2" w:rsidP="005E31D4">
      <w:pPr>
        <w:pStyle w:val="Odstavecseseznamem"/>
        <w:rPr>
          <w:lang w:eastAsia="en-US"/>
        </w:rPr>
      </w:pPr>
      <w:r w:rsidRPr="007E33B2">
        <w:t xml:space="preserve">Smluvní strany shodně konstatují, že </w:t>
      </w:r>
      <w:r w:rsidR="005E31D4">
        <w:t xml:space="preserve">dne </w:t>
      </w:r>
      <w:r w:rsidR="00E31F16">
        <w:t>09</w:t>
      </w:r>
      <w:r w:rsidR="005E31D4">
        <w:t xml:space="preserve">. </w:t>
      </w:r>
      <w:r w:rsidR="00C51E61">
        <w:t>1</w:t>
      </w:r>
      <w:r w:rsidR="00E31F16">
        <w:t>0</w:t>
      </w:r>
      <w:r w:rsidR="005E31D4">
        <w:t>. 20</w:t>
      </w:r>
      <w:bookmarkStart w:id="0" w:name="_GoBack"/>
      <w:r w:rsidR="000C0109">
        <w:t>0</w:t>
      </w:r>
      <w:bookmarkEnd w:id="0"/>
      <w:r w:rsidR="00E31F16">
        <w:t>7</w:t>
      </w:r>
      <w:r w:rsidR="005E31D4">
        <w:t xml:space="preserve"> </w:t>
      </w:r>
      <w:r w:rsidRPr="007E33B2">
        <w:t xml:space="preserve">uzavřely mezi sebou smlouvu o </w:t>
      </w:r>
      <w:r w:rsidR="00E31F16">
        <w:t>poskytování provozní podpory informačního systému ISPI</w:t>
      </w:r>
      <w:r w:rsidR="00C51E61">
        <w:t xml:space="preserve">, v níž se </w:t>
      </w:r>
      <w:r w:rsidR="00E31F16">
        <w:t>poskytovatel</w:t>
      </w:r>
      <w:r w:rsidR="00C51E61">
        <w:t xml:space="preserve"> zavazuje </w:t>
      </w:r>
      <w:r w:rsidR="00180C7A">
        <w:t>pro objednatele zajišťovat provozní podporu informačního systému spisové služby a objednatel se za poskytnutou podporu zavazuje platit poskytovateli dohodnutou cenu plnění (dále jen „smlouva o ISPI“).</w:t>
      </w:r>
      <w:r w:rsidR="00C51E61">
        <w:t xml:space="preserve"> </w:t>
      </w:r>
    </w:p>
    <w:p w14:paraId="5EE67D99" w14:textId="3E138D53" w:rsidR="00180C7A" w:rsidRDefault="00180C7A" w:rsidP="005E31D4">
      <w:pPr>
        <w:pStyle w:val="Odstavecseseznamem"/>
        <w:rPr>
          <w:lang w:eastAsia="en-US"/>
        </w:rPr>
      </w:pPr>
      <w:r>
        <w:rPr>
          <w:lang w:eastAsia="en-US"/>
        </w:rPr>
        <w:t>Smluvní strany shodně konstatují, že dne 8. 11. 2004 uzavřely mezi sebou smlouvu o poskytování technické podpory produktu ASA/ISPI, v níž se poskytovatel (v této smlouvě označený jako „zhotovitel“) zavazuje pro objednatele poskytovat technickou podporu softwarového produktu ASA/ISPI (informační systém archivu) a objednatel se zavazuje za poskytnutou podporu platiti dohodnutou cenu (dále jen „smlouva ASA/ISPI).</w:t>
      </w:r>
    </w:p>
    <w:p w14:paraId="51E0443C" w14:textId="7E3D100C" w:rsidR="00C51E61" w:rsidRDefault="00180C7A" w:rsidP="005E31D4">
      <w:pPr>
        <w:pStyle w:val="Odstavecseseznamem"/>
        <w:rPr>
          <w:lang w:eastAsia="en-US"/>
        </w:rPr>
      </w:pPr>
      <w:r>
        <w:t xml:space="preserve">Postupním upgrade systémů ISPI a ASA/ISPI došlo ke sloučení v jeden </w:t>
      </w:r>
      <w:r w:rsidR="00CA1209">
        <w:t>softwarový produkt</w:t>
      </w:r>
      <w:r>
        <w:t xml:space="preserve"> s následujícími moduly:</w:t>
      </w:r>
    </w:p>
    <w:p w14:paraId="3168E87F" w14:textId="5E2D061D" w:rsidR="00180C7A" w:rsidRDefault="00180C7A" w:rsidP="00180C7A">
      <w:pPr>
        <w:pStyle w:val="Bezmezer"/>
        <w:rPr>
          <w:lang w:eastAsia="en-US"/>
        </w:rPr>
      </w:pPr>
      <w:r>
        <w:rPr>
          <w:lang w:eastAsia="en-US"/>
        </w:rPr>
        <w:t>WISPI SSL – základní modul spisové služby pro evidenci, oběh, vyřizování dokumentů a spisů;</w:t>
      </w:r>
    </w:p>
    <w:p w14:paraId="05F04339" w14:textId="041FE503" w:rsidR="00180C7A" w:rsidRDefault="00180C7A" w:rsidP="00180C7A">
      <w:pPr>
        <w:pStyle w:val="Bezmezer"/>
        <w:rPr>
          <w:lang w:eastAsia="en-US"/>
        </w:rPr>
      </w:pPr>
      <w:r>
        <w:rPr>
          <w:lang w:eastAsia="en-US"/>
        </w:rPr>
        <w:t>WISPI DS – modul pro přijímání, odesílání a ukládání datových zpráv z ISDS;</w:t>
      </w:r>
    </w:p>
    <w:p w14:paraId="214EBB6C" w14:textId="56A14F8C" w:rsidR="00180C7A" w:rsidRDefault="00180C7A" w:rsidP="00180C7A">
      <w:pPr>
        <w:pStyle w:val="Bezmezer"/>
        <w:rPr>
          <w:lang w:eastAsia="en-US"/>
        </w:rPr>
      </w:pPr>
      <w:r>
        <w:rPr>
          <w:lang w:eastAsia="en-US"/>
        </w:rPr>
        <w:t xml:space="preserve">WISPI </w:t>
      </w:r>
      <w:proofErr w:type="spellStart"/>
      <w:r>
        <w:rPr>
          <w:lang w:eastAsia="en-US"/>
        </w:rPr>
        <w:t>ePodatelna</w:t>
      </w:r>
      <w:proofErr w:type="spellEnd"/>
      <w:r>
        <w:rPr>
          <w:lang w:eastAsia="en-US"/>
        </w:rPr>
        <w:t xml:space="preserve"> – modul pro přijímání a odesílání dokumentů pomocí centrální emailové adresy;</w:t>
      </w:r>
    </w:p>
    <w:p w14:paraId="0A62812C" w14:textId="05759530" w:rsidR="00180C7A" w:rsidRDefault="00180C7A" w:rsidP="00180C7A">
      <w:pPr>
        <w:pStyle w:val="Bezmezer"/>
        <w:rPr>
          <w:lang w:eastAsia="en-US"/>
        </w:rPr>
      </w:pPr>
      <w:r>
        <w:rPr>
          <w:lang w:eastAsia="en-US"/>
        </w:rPr>
        <w:t xml:space="preserve">WISPI </w:t>
      </w:r>
      <w:proofErr w:type="spellStart"/>
      <w:r>
        <w:rPr>
          <w:lang w:eastAsia="en-US"/>
        </w:rPr>
        <w:t>eSpisovna</w:t>
      </w:r>
      <w:proofErr w:type="spellEnd"/>
      <w:r>
        <w:rPr>
          <w:lang w:eastAsia="en-US"/>
        </w:rPr>
        <w:t xml:space="preserve"> – modul pro správu elektronických i fyzických spisů, jejich uložení, skartaci, archivaci v centrální spisovně;</w:t>
      </w:r>
    </w:p>
    <w:p w14:paraId="6DBA49D4" w14:textId="0AE9186D" w:rsidR="00180C7A" w:rsidRDefault="00180C7A" w:rsidP="00180C7A">
      <w:pPr>
        <w:pStyle w:val="Bezmezer"/>
        <w:rPr>
          <w:lang w:eastAsia="en-US"/>
        </w:rPr>
      </w:pPr>
      <w:r>
        <w:rPr>
          <w:lang w:eastAsia="en-US"/>
        </w:rPr>
        <w:t xml:space="preserve">WISPI </w:t>
      </w:r>
      <w:proofErr w:type="spellStart"/>
      <w:r>
        <w:rPr>
          <w:lang w:eastAsia="en-US"/>
        </w:rPr>
        <w:t>eSpisovna</w:t>
      </w:r>
      <w:proofErr w:type="spellEnd"/>
      <w:r>
        <w:rPr>
          <w:lang w:eastAsia="en-US"/>
        </w:rPr>
        <w:t xml:space="preserve"> ZD – modul pro správu zdravotnické dokumentace, její uložení a skartaci v centrální spisovně;</w:t>
      </w:r>
    </w:p>
    <w:p w14:paraId="6B2AEE5B" w14:textId="2832BA48" w:rsidR="00180C7A" w:rsidRDefault="00180C7A" w:rsidP="00180C7A">
      <w:pPr>
        <w:pStyle w:val="Bezmezer"/>
        <w:rPr>
          <w:lang w:eastAsia="en-US"/>
        </w:rPr>
      </w:pPr>
      <w:r>
        <w:rPr>
          <w:lang w:eastAsia="en-US"/>
        </w:rPr>
        <w:t>WISPI Klinika – používán na všech zdravotnických pracovištích, kde vzniká a následně je i dočasně ukládána zdravotnická dokumentace (lůžkové chorobopisy).</w:t>
      </w:r>
    </w:p>
    <w:p w14:paraId="3D212BE1" w14:textId="2A36B4C2" w:rsidR="00180C7A" w:rsidRDefault="00180C7A" w:rsidP="00180C7A">
      <w:pPr>
        <w:pStyle w:val="Bezmezer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 xml:space="preserve">(dále společně jen </w:t>
      </w:r>
      <w:r w:rsidR="0032684D">
        <w:rPr>
          <w:lang w:eastAsia="en-US"/>
        </w:rPr>
        <w:t>„softwarový produkt“)</w:t>
      </w:r>
    </w:p>
    <w:p w14:paraId="34316B79" w14:textId="288AAD19" w:rsidR="007E33B2" w:rsidRPr="009C68AD" w:rsidRDefault="00180C7A" w:rsidP="00D6366E">
      <w:pPr>
        <w:pStyle w:val="Odstavecseseznamem"/>
        <w:rPr>
          <w:lang w:eastAsia="en-US"/>
        </w:rPr>
      </w:pPr>
      <w:r>
        <w:t xml:space="preserve">Poskytovatel k výše uvedeným modulům </w:t>
      </w:r>
      <w:r w:rsidR="0032684D">
        <w:t xml:space="preserve">softwarového produktu poskytuje technickou podporu v souladu s oběma </w:t>
      </w:r>
      <w:r w:rsidR="00D921E4">
        <w:t>smlouvami a smluvní strany mají zájem o zpřehlednění smluvních vztahů a jejich zjednodušení sloučením do jedné smlouvy a sjednocením platebních podmínek.</w:t>
      </w:r>
    </w:p>
    <w:p w14:paraId="66F4BDF2" w14:textId="5AA17859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0F3CA9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</w:t>
      </w:r>
      <w:r w:rsidR="007908D8">
        <w:rPr>
          <w:rFonts w:eastAsia="Times New Roman" w:cs="Arial"/>
        </w:rPr>
        <w:t>ých</w:t>
      </w:r>
      <w:r>
        <w:rPr>
          <w:rFonts w:eastAsia="Times New Roman" w:cs="Arial"/>
        </w:rPr>
        <w:t xml:space="preserve"> d</w:t>
      </w:r>
      <w:r w:rsidR="0020137B">
        <w:rPr>
          <w:rFonts w:eastAsia="Times New Roman" w:cs="Arial"/>
        </w:rPr>
        <w:t>ůvod</w:t>
      </w:r>
      <w:r w:rsidR="007908D8">
        <w:rPr>
          <w:rFonts w:eastAsia="Times New Roman" w:cs="Arial"/>
        </w:rPr>
        <w:t>ů</w:t>
      </w:r>
      <w:r w:rsidR="0020137B">
        <w:rPr>
          <w:rFonts w:eastAsia="Times New Roman" w:cs="Arial"/>
        </w:rPr>
        <w:t>, se smluvní strany dohodly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D905C8" w:rsidRDefault="007E33B2" w:rsidP="00D905C8">
      <w:pPr>
        <w:pStyle w:val="Nadpis1"/>
      </w:pPr>
      <w:r w:rsidRPr="00D905C8">
        <w:rPr>
          <w:rStyle w:val="Nadpis1Char"/>
          <w:b/>
          <w:bCs/>
        </w:rPr>
        <w:t>Předmět dodatku</w:t>
      </w:r>
    </w:p>
    <w:p w14:paraId="2D15226E" w14:textId="3EFFC248" w:rsidR="00D921E4" w:rsidRDefault="00CA1209" w:rsidP="00F21BCA">
      <w:pPr>
        <w:pStyle w:val="Odstavecseseznamem"/>
      </w:pPr>
      <w:r>
        <w:t xml:space="preserve">Smluvní strany se dohodly, že článek I. </w:t>
      </w:r>
      <w:r w:rsidR="002B2C5A">
        <w:t>odst.</w:t>
      </w:r>
      <w:r>
        <w:t xml:space="preserve"> 1 se mění a má následující znění:</w:t>
      </w:r>
    </w:p>
    <w:p w14:paraId="6FA63E5F" w14:textId="30CC575B" w:rsidR="00CA1209" w:rsidRDefault="00CA1209" w:rsidP="00CA1209">
      <w:pPr>
        <w:pStyle w:val="Odstavecseseznamem"/>
        <w:numPr>
          <w:ilvl w:val="0"/>
          <w:numId w:val="0"/>
        </w:numPr>
        <w:ind w:left="567"/>
      </w:pPr>
      <w:r>
        <w:t>Předmětem plnění podle této smlouvy je povinnost poskytovatele zajišťovat objednateli provozní podporu informačního systému spisové služby ISPI a informačního systému archivu ASA/ISPI, tj. softwarového produktu. Smluvní strany prohlašují vzhledem ke znění smlouvy, že tam, kde se v smlouvě uvádí ISPI, bude se pod tím rozumět softwarový prod</w:t>
      </w:r>
      <w:r w:rsidR="004F7F2E">
        <w:t>ukt. Podpora softwarového produktu zahrnuje:</w:t>
      </w:r>
    </w:p>
    <w:p w14:paraId="04376045" w14:textId="58CFC741" w:rsidR="004F7F2E" w:rsidRDefault="004F7F2E" w:rsidP="004F7F2E">
      <w:pPr>
        <w:pStyle w:val="Bezmezer"/>
      </w:pPr>
      <w:r>
        <w:t>Podporu běžného provozu softwarového produktu;</w:t>
      </w:r>
    </w:p>
    <w:p w14:paraId="361BF915" w14:textId="372CF72D" w:rsidR="004F7F2E" w:rsidRDefault="004F7F2E" w:rsidP="004F7F2E">
      <w:pPr>
        <w:pStyle w:val="Bezmezer"/>
      </w:pPr>
      <w:r>
        <w:t>Aktualizace softwarového produktu;</w:t>
      </w:r>
    </w:p>
    <w:p w14:paraId="531340AE" w14:textId="1821802E" w:rsidR="004F7F2E" w:rsidRDefault="004F7F2E" w:rsidP="004F7F2E">
      <w:pPr>
        <w:pStyle w:val="Bezmezer"/>
      </w:pPr>
      <w:r>
        <w:t>Provádění požadovaných softwarových úprav.</w:t>
      </w:r>
    </w:p>
    <w:p w14:paraId="0989A45A" w14:textId="74CD29FB" w:rsidR="004F7F2E" w:rsidRDefault="004F7F2E" w:rsidP="00F21BCA">
      <w:pPr>
        <w:pStyle w:val="Odstavecseseznamem"/>
      </w:pPr>
      <w:r>
        <w:t xml:space="preserve">Smluvní strany se dohodly, že článek I. </w:t>
      </w:r>
      <w:r w:rsidR="002B2C5A">
        <w:t xml:space="preserve">odst. </w:t>
      </w:r>
      <w:r>
        <w:t>2 se mění a má následující znění:</w:t>
      </w:r>
    </w:p>
    <w:p w14:paraId="1B4B6621" w14:textId="6031DCAC" w:rsidR="004F7F2E" w:rsidRDefault="004F7F2E" w:rsidP="004F7F2E">
      <w:pPr>
        <w:pStyle w:val="Odstavecseseznamem"/>
        <w:numPr>
          <w:ilvl w:val="0"/>
          <w:numId w:val="0"/>
        </w:numPr>
        <w:ind w:left="567"/>
      </w:pPr>
      <w:r>
        <w:t>Podpora běžného provozu zahrnuje:</w:t>
      </w:r>
    </w:p>
    <w:p w14:paraId="0EBA99C3" w14:textId="58FC58D7" w:rsidR="004F7F2E" w:rsidRDefault="004F7F2E" w:rsidP="004F7F2E">
      <w:pPr>
        <w:pStyle w:val="Bezmezer"/>
      </w:pPr>
      <w:r>
        <w:t xml:space="preserve">Registraci a odstraňování nalezených </w:t>
      </w:r>
      <w:r w:rsidR="00272C71">
        <w:t>chyb v systému;</w:t>
      </w:r>
    </w:p>
    <w:p w14:paraId="006FC684" w14:textId="6A86A757" w:rsidR="00272C71" w:rsidRDefault="00272C71" w:rsidP="004F7F2E">
      <w:pPr>
        <w:pStyle w:val="Bezmezer"/>
      </w:pPr>
      <w:r>
        <w:lastRenderedPageBreak/>
        <w:t>Provádění profylaktických prohlídek systému a následné optimalizace systému</w:t>
      </w:r>
      <w:r w:rsidR="0064627E">
        <w:t>;</w:t>
      </w:r>
    </w:p>
    <w:p w14:paraId="4ACE957D" w14:textId="4F862CB4" w:rsidR="0064627E" w:rsidRDefault="0064627E" w:rsidP="004F7F2E">
      <w:pPr>
        <w:pStyle w:val="Bezmezer"/>
      </w:pPr>
      <w:r>
        <w:t>Podporu při řešení provozních problémů přímo souvisejících se softwarovým produktem, ve formě konzultací věcnému i technickému správci sloužícím jako návody a rady, jak použít softwarový produkt v určité situaci, jak by mělo být nastaveno systémové prostředí k optimálnímu fungování softwarového produktu;</w:t>
      </w:r>
    </w:p>
    <w:p w14:paraId="640CEDF7" w14:textId="1D70CB8C" w:rsidR="0064627E" w:rsidRDefault="0064627E" w:rsidP="004F7F2E">
      <w:pPr>
        <w:pStyle w:val="Bezmezer"/>
      </w:pPr>
      <w:r>
        <w:t>Podporu při implementaci do změněného prostředí;</w:t>
      </w:r>
    </w:p>
    <w:p w14:paraId="0B3D8252" w14:textId="2DF779D9" w:rsidR="0064627E" w:rsidRDefault="0064627E" w:rsidP="004F7F2E">
      <w:pPr>
        <w:pStyle w:val="Bezmezer"/>
      </w:pPr>
      <w:r>
        <w:t>Odstraňování pozáručních vad;</w:t>
      </w:r>
    </w:p>
    <w:p w14:paraId="0A0A39D3" w14:textId="0C916B7A" w:rsidR="0064627E" w:rsidRDefault="0064627E" w:rsidP="004F7F2E">
      <w:pPr>
        <w:pStyle w:val="Bezmezer"/>
      </w:pPr>
      <w:r>
        <w:t>Odstraňování mimozáručních vad;</w:t>
      </w:r>
    </w:p>
    <w:p w14:paraId="41D4D8D9" w14:textId="359C1299" w:rsidR="0064627E" w:rsidRDefault="0064627E" w:rsidP="004F7F2E">
      <w:pPr>
        <w:pStyle w:val="Bezmezer"/>
      </w:pPr>
      <w:r>
        <w:t xml:space="preserve">Řešení havarijních </w:t>
      </w:r>
      <w:r w:rsidR="002B2C5A">
        <w:t>situací; havarijní situací při provozu softwarového produktu se rozumí stav, kdy je softwarový produkt nefunkční a nelze ho uvést do funkčního stavu v rámci konzultací dle písm. c); objednatel má právo označit provoz softwarového produktu za havarijní situaci.</w:t>
      </w:r>
    </w:p>
    <w:p w14:paraId="0691415E" w14:textId="1A82E9D8" w:rsidR="002B2C5A" w:rsidRDefault="002B2C5A" w:rsidP="00F21BCA">
      <w:pPr>
        <w:pStyle w:val="Odstavecseseznamem"/>
      </w:pPr>
      <w:r>
        <w:t>Smluvní strany se dohodly, že článek I. odst. 2 se mění a má následující znění:</w:t>
      </w:r>
    </w:p>
    <w:p w14:paraId="2B51B393" w14:textId="370EC891" w:rsidR="002B2C5A" w:rsidRDefault="002B2C5A" w:rsidP="002B2C5A">
      <w:pPr>
        <w:pStyle w:val="Odstavecseseznamem"/>
        <w:numPr>
          <w:ilvl w:val="0"/>
          <w:numId w:val="0"/>
        </w:numPr>
        <w:ind w:left="567"/>
      </w:pPr>
      <w:r>
        <w:t>Aktualizace zahrnují:</w:t>
      </w:r>
    </w:p>
    <w:p w14:paraId="393D8943" w14:textId="462B1624" w:rsidR="00317573" w:rsidRDefault="00317573" w:rsidP="002B2C5A">
      <w:pPr>
        <w:pStyle w:val="Bezmezer"/>
      </w:pPr>
      <w:r>
        <w:t>Aktualizace softwarového produktu vzniklé v souvislosti se změnou právních předpisů;</w:t>
      </w:r>
    </w:p>
    <w:p w14:paraId="7DFD3AAA" w14:textId="4CD19528" w:rsidR="00317573" w:rsidRDefault="00317573" w:rsidP="002B2C5A">
      <w:pPr>
        <w:pStyle w:val="Bezmezer"/>
      </w:pPr>
      <w:r>
        <w:t>Aktualizace softwarového produktu vzniklé na základě organizačních a technických změn u objednatele a změn vnitřních předpisů objednatele;</w:t>
      </w:r>
    </w:p>
    <w:p w14:paraId="1F53F421" w14:textId="4F82B14B" w:rsidR="00317573" w:rsidRDefault="00317573" w:rsidP="002B2C5A">
      <w:pPr>
        <w:pStyle w:val="Bezmezer"/>
      </w:pPr>
      <w:r>
        <w:t>Aktualizace softwarového produktu spojené se změnou sy</w:t>
      </w:r>
      <w:r w:rsidR="002F0A36">
        <w:t>stémového prostředí objednatele;</w:t>
      </w:r>
    </w:p>
    <w:p w14:paraId="7EC6BA32" w14:textId="6A104C31" w:rsidR="002F0A36" w:rsidRDefault="002F0A36" w:rsidP="002F0A36">
      <w:pPr>
        <w:pStyle w:val="Bezmezer"/>
      </w:pPr>
      <w:r>
        <w:t>Poskytování aktualizovaných verzí softwarového produktu v rozsahu implementované funkčnosti;</w:t>
      </w:r>
    </w:p>
    <w:p w14:paraId="63D85F23" w14:textId="170DEF71" w:rsidR="002F0A36" w:rsidRDefault="002F0A36" w:rsidP="002F0A36">
      <w:pPr>
        <w:pStyle w:val="Bezmezer"/>
      </w:pPr>
      <w:r>
        <w:t>Poskytování aktualizované provozní dokumentace.</w:t>
      </w:r>
    </w:p>
    <w:p w14:paraId="036DE23F" w14:textId="7608DF19" w:rsidR="00FD718C" w:rsidRDefault="00FD718C" w:rsidP="00F21BCA">
      <w:pPr>
        <w:pStyle w:val="Odstavecseseznamem"/>
      </w:pPr>
      <w:r>
        <w:t xml:space="preserve">Smluvní strany se dohodly, že článek </w:t>
      </w:r>
      <w:r w:rsidR="002F0A36">
        <w:t>II</w:t>
      </w:r>
      <w:r>
        <w:t xml:space="preserve">I. odst. </w:t>
      </w:r>
      <w:r w:rsidR="002F0A36">
        <w:t>10</w:t>
      </w:r>
      <w:r>
        <w:t xml:space="preserve"> se mění a má následující znění:</w:t>
      </w:r>
    </w:p>
    <w:p w14:paraId="46F073C1" w14:textId="01D421B1" w:rsidR="002F0A36" w:rsidRDefault="002F0A36" w:rsidP="002F0A36">
      <w:pPr>
        <w:pStyle w:val="Odstavecseseznamem"/>
        <w:numPr>
          <w:ilvl w:val="0"/>
          <w:numId w:val="0"/>
        </w:numPr>
        <w:ind w:left="567"/>
      </w:pPr>
      <w:r>
        <w:t xml:space="preserve">Lhůty na plnění podle článku I. odst. 3 písm. b) až </w:t>
      </w:r>
      <w:r w:rsidR="00BF0EE9">
        <w:t>c)</w:t>
      </w:r>
      <w:r>
        <w:t xml:space="preserve"> sjednají smluvní strany dohodou pro každý případ samostatně.</w:t>
      </w:r>
    </w:p>
    <w:p w14:paraId="6A195C20" w14:textId="3197DE0A" w:rsidR="00A8234C" w:rsidRDefault="00A8234C" w:rsidP="00F21BCA">
      <w:pPr>
        <w:pStyle w:val="Odstavecseseznamem"/>
      </w:pPr>
      <w:r>
        <w:t>Smluvní strany se dohodly, že článek IV. odst. 1 se mění a má následující znění:</w:t>
      </w:r>
    </w:p>
    <w:p w14:paraId="68B5667D" w14:textId="66FB119B" w:rsidR="00A8234C" w:rsidRDefault="00A8234C" w:rsidP="00A8234C">
      <w:pPr>
        <w:pStyle w:val="Odstavecseseznamem"/>
        <w:numPr>
          <w:ilvl w:val="0"/>
          <w:numId w:val="0"/>
        </w:numPr>
        <w:ind w:left="567"/>
      </w:pPr>
      <w:r>
        <w:t xml:space="preserve">Cena za poskytování všech plnění, které má poskytovatel objednateli dle této smlouvy poskytovat, se sjednává jako paušální cena každé kalendářní čtvrtletí poskytování plnění a činí </w:t>
      </w:r>
      <w:r w:rsidRPr="00A8234C">
        <w:rPr>
          <w:b/>
        </w:rPr>
        <w:t>56 900 Kč bez DPH</w:t>
      </w:r>
      <w:r>
        <w:t>.</w:t>
      </w:r>
    </w:p>
    <w:p w14:paraId="3792BBF6" w14:textId="4B14150C" w:rsidR="004379A4" w:rsidRDefault="0020137B" w:rsidP="00F21BCA">
      <w:pPr>
        <w:pStyle w:val="Odstavecseseznamem"/>
      </w:pPr>
      <w:r>
        <w:t>Smluvní strany se dohodly</w:t>
      </w:r>
      <w:r w:rsidR="00F254B7">
        <w:t xml:space="preserve">, že </w:t>
      </w:r>
      <w:r w:rsidR="004B6303">
        <w:t>v člán</w:t>
      </w:r>
      <w:r w:rsidR="000229D1">
        <w:t>k</w:t>
      </w:r>
      <w:r w:rsidR="004B6303">
        <w:t>u</w:t>
      </w:r>
      <w:r w:rsidR="000229D1">
        <w:t xml:space="preserve"> </w:t>
      </w:r>
      <w:r w:rsidR="00F254B7">
        <w:t>I</w:t>
      </w:r>
      <w:r w:rsidR="004B6303">
        <w:t>V</w:t>
      </w:r>
      <w:r w:rsidR="004379A4">
        <w:t xml:space="preserve">. se </w:t>
      </w:r>
      <w:r w:rsidR="004B6303">
        <w:t>ruší následující body: 2, 3, 4, 5, 7 a 8.</w:t>
      </w:r>
    </w:p>
    <w:p w14:paraId="5C7850F0" w14:textId="420FB305" w:rsidR="004B6303" w:rsidRDefault="004B6303" w:rsidP="00F21BCA">
      <w:pPr>
        <w:pStyle w:val="Odstavecseseznamem"/>
      </w:pPr>
      <w:r>
        <w:t>Smluvní strany se dohodly, že článek IV. odst. 6 se mění a má následující znění:</w:t>
      </w:r>
    </w:p>
    <w:p w14:paraId="6F53ADD7" w14:textId="7F56FCDE" w:rsidR="004B6303" w:rsidRDefault="004B6303" w:rsidP="004B6303">
      <w:pPr>
        <w:pStyle w:val="Odstavecseseznamem"/>
        <w:numPr>
          <w:ilvl w:val="0"/>
          <w:numId w:val="0"/>
        </w:numPr>
        <w:ind w:left="567"/>
      </w:pPr>
      <w:r>
        <w:t>Daňový doklad za cenu plnění je poskytovatel oprávněn vystavit nejdříve poslední den uplynulého kalendářního čtvrtletí, nejpozději do 5 dnů po uplynutí kalendářního čtvrtletí. V případě zániku smlouvy v průběhu kalendářního čtvrtletí, má poskytovatel nárok na alikvotní část ceny plnění.</w:t>
      </w:r>
    </w:p>
    <w:p w14:paraId="472FDAAB" w14:textId="3DBFE5A7" w:rsidR="00AF548A" w:rsidRDefault="00AF548A" w:rsidP="00AF548A">
      <w:pPr>
        <w:pStyle w:val="Nadpis1"/>
      </w:pPr>
      <w:r>
        <w:t>Další ujednání</w:t>
      </w:r>
    </w:p>
    <w:p w14:paraId="05D9FEC7" w14:textId="2D60BC8F" w:rsidR="00AF548A" w:rsidRPr="00AF548A" w:rsidRDefault="00AF548A" w:rsidP="00AF548A">
      <w:pPr>
        <w:pStyle w:val="Odstavecseseznamem"/>
        <w:rPr>
          <w:lang w:eastAsia="en-US"/>
        </w:rPr>
      </w:pPr>
      <w:r>
        <w:rPr>
          <w:lang w:eastAsia="en-US"/>
        </w:rPr>
        <w:t>Smluvní strany se dohodli, že podpisem tohoto dodatku zanikne Smlouva o poskytování technické podpory produktu ASA/ISPI, č. objednatele U/1221/2004/</w:t>
      </w:r>
      <w:proofErr w:type="spellStart"/>
      <w:r>
        <w:rPr>
          <w:lang w:eastAsia="en-US"/>
        </w:rPr>
        <w:t>Vt</w:t>
      </w:r>
      <w:proofErr w:type="spellEnd"/>
      <w:r>
        <w:rPr>
          <w:lang w:eastAsia="en-US"/>
        </w:rPr>
        <w:t>, č. zhotovitele CZ-2004-10.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59784DA9" w:rsidR="00A3792B" w:rsidRPr="008B179E" w:rsidRDefault="00A3792B" w:rsidP="00D905C8">
      <w:pPr>
        <w:pStyle w:val="Odstavecseseznamem"/>
      </w:pPr>
      <w:r w:rsidRPr="008B179E">
        <w:lastRenderedPageBreak/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</w:t>
      </w:r>
      <w:r w:rsidR="000229D1">
        <w:t>Správce</w:t>
      </w:r>
      <w:r w:rsidR="007D2DFF">
        <w:t>.</w:t>
      </w:r>
    </w:p>
    <w:p w14:paraId="5EB5EC6D" w14:textId="66C7D48A" w:rsidR="00A3792B" w:rsidRPr="0016659E" w:rsidRDefault="00A3792B" w:rsidP="00D905C8">
      <w:pPr>
        <w:pStyle w:val="Odstavecseseznamem"/>
      </w:pPr>
      <w:r w:rsidRPr="008B179E">
        <w:rPr>
          <w:rFonts w:eastAsia="Times New Roman"/>
        </w:rPr>
        <w:t>Tento dodatek je</w:t>
      </w:r>
      <w:r w:rsidR="0097397D">
        <w:rPr>
          <w:rFonts w:eastAsia="Times New Roman"/>
        </w:rPr>
        <w:t xml:space="preserve"> sepsán ve dvou vyhotoveních stejné platnosti a závaznosti, přičemž </w:t>
      </w:r>
      <w:r w:rsidR="000229D1">
        <w:rPr>
          <w:rFonts w:eastAsia="Times New Roman"/>
        </w:rPr>
        <w:t>Zpracovatel</w:t>
      </w:r>
      <w:r w:rsidR="0097397D">
        <w:rPr>
          <w:rFonts w:eastAsia="Times New Roman"/>
        </w:rPr>
        <w:t xml:space="preserve"> obdrží jedno vyhotovení a </w:t>
      </w:r>
      <w:r w:rsidR="000229D1">
        <w:rPr>
          <w:rFonts w:eastAsia="Times New Roman"/>
        </w:rPr>
        <w:t>Správce</w:t>
      </w:r>
      <w:r w:rsidR="0097397D">
        <w:rPr>
          <w:rFonts w:eastAsia="Times New Roman"/>
        </w:rPr>
        <w:t xml:space="preserve"> obdrží jedno vyhotovení. Případně je tento dodatek</w:t>
      </w:r>
      <w:r w:rsidRPr="008B179E">
        <w:rPr>
          <w:rFonts w:eastAsia="Times New Roman"/>
        </w:rPr>
        <w:t xml:space="preserve"> vyhotoven </w:t>
      </w:r>
      <w:r w:rsidRPr="0016659E">
        <w:t xml:space="preserve">elektronicky a podepsán zaručeným elektronickým </w:t>
      </w:r>
      <w:r>
        <w:t>podpisem zástupců obou smluvních stran.</w:t>
      </w:r>
      <w:r w:rsidR="0097397D">
        <w:t xml:space="preserve"> V takovém případě obdrží každá smluvní strana elektronický originál oboustranně podepsaného </w:t>
      </w:r>
      <w:r w:rsidR="00442D1D">
        <w:t>d</w:t>
      </w:r>
      <w:r w:rsidR="0097397D">
        <w:t>odatku.</w:t>
      </w:r>
    </w:p>
    <w:p w14:paraId="043BF0FC" w14:textId="2058F90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A98AFCB" w14:textId="05018849" w:rsidR="00900FF3" w:rsidRDefault="00900FF3" w:rsidP="009E3D4F">
      <w:pPr>
        <w:tabs>
          <w:tab w:val="center" w:pos="1985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</w:t>
      </w:r>
      <w:r w:rsidR="000229D1">
        <w:rPr>
          <w:rFonts w:eastAsia="Times New Roman" w:cs="Arial"/>
        </w:rPr>
        <w:t> </w:t>
      </w:r>
      <w:r w:rsidR="00AF548A">
        <w:rPr>
          <w:rFonts w:eastAsia="Times New Roman" w:cs="Arial"/>
        </w:rPr>
        <w:t>Olomouci</w:t>
      </w:r>
      <w:r w:rsidRPr="007D2DFF">
        <w:rPr>
          <w:rFonts w:eastAsia="Times New Roman" w:cs="Arial"/>
        </w:rPr>
        <w:t xml:space="preserve">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2F998902" w14:textId="77777777" w:rsidR="009E3D4F" w:rsidRDefault="009E3D4F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62E770A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3D190D62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AF548A">
        <w:rPr>
          <w:rFonts w:eastAsia="Times New Roman" w:cs="Arial"/>
        </w:rPr>
        <w:t>poskytovatele</w:t>
      </w:r>
      <w:r>
        <w:rPr>
          <w:rFonts w:eastAsia="Times New Roman" w:cs="Arial"/>
        </w:rPr>
        <w:tab/>
        <w:t xml:space="preserve">za </w:t>
      </w:r>
      <w:r w:rsidR="00AF548A">
        <w:rPr>
          <w:rFonts w:eastAsia="Times New Roman" w:cs="Arial"/>
        </w:rPr>
        <w:t>objednatele</w:t>
      </w:r>
    </w:p>
    <w:p w14:paraId="6A2A717B" w14:textId="0FBD4193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AF548A">
        <w:rPr>
          <w:b/>
          <w:bCs/>
        </w:rPr>
        <w:t xml:space="preserve">BACH </w:t>
      </w:r>
      <w:proofErr w:type="spellStart"/>
      <w:r w:rsidR="00AF548A">
        <w:rPr>
          <w:b/>
          <w:bCs/>
        </w:rPr>
        <w:t>systems</w:t>
      </w:r>
      <w:proofErr w:type="spellEnd"/>
      <w:r w:rsidR="00AF548A">
        <w:rPr>
          <w:b/>
          <w:bCs/>
        </w:rPr>
        <w:t>, s.r.o.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795073CA" w14:textId="6355B6F5" w:rsidR="00900FF3" w:rsidRDefault="00900FF3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AF548A">
        <w:t>Ing. Miroslav Bayer</w:t>
      </w:r>
      <w:r w:rsidR="000229D1">
        <w:t>, jednatel</w:t>
      </w:r>
      <w:r>
        <w:rPr>
          <w:rFonts w:eastAsia="Times New Roman" w:cs="Arial"/>
          <w:lang w:eastAsia="ar-SA"/>
        </w:rPr>
        <w:tab/>
        <w:t>MUDr. Ivo Rovný, MBA, ředitel</w:t>
      </w:r>
    </w:p>
    <w:p w14:paraId="0858DFAF" w14:textId="01171CFF" w:rsidR="00426A0A" w:rsidRDefault="00426A0A" w:rsidP="009E3D4F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2E768B1" w14:textId="77777777" w:rsidR="00426A0A" w:rsidRPr="00426A0A" w:rsidRDefault="00426A0A" w:rsidP="000229D1">
      <w:pPr>
        <w:tabs>
          <w:tab w:val="center" w:pos="1985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sectPr w:rsidR="00426A0A" w:rsidRPr="00426A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C7DDE8" w16cex:dateUtc="2025-01-21T09:56:00Z"/>
  <w16cex:commentExtensible w16cex:durableId="71D348AF" w16cex:dateUtc="2025-01-21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374AC0" w16cid:durableId="67C7DDE8"/>
  <w16cid:commentId w16cid:paraId="28B4E5C9" w16cid:durableId="71D348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EA936" w14:textId="77777777" w:rsidR="00055E48" w:rsidRDefault="00055E48" w:rsidP="00ED524E">
      <w:pPr>
        <w:spacing w:after="0" w:line="240" w:lineRule="auto"/>
      </w:pPr>
      <w:r>
        <w:separator/>
      </w:r>
    </w:p>
  </w:endnote>
  <w:endnote w:type="continuationSeparator" w:id="0">
    <w:p w14:paraId="04F2611F" w14:textId="77777777" w:rsidR="00055E48" w:rsidRDefault="00055E48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4FD1" w14:textId="77777777" w:rsidR="00055E48" w:rsidRDefault="00055E48" w:rsidP="00ED524E">
      <w:pPr>
        <w:spacing w:after="0" w:line="240" w:lineRule="auto"/>
      </w:pPr>
      <w:r>
        <w:separator/>
      </w:r>
    </w:p>
  </w:footnote>
  <w:footnote w:type="continuationSeparator" w:id="0">
    <w:p w14:paraId="53621D49" w14:textId="77777777" w:rsidR="00055E48" w:rsidRDefault="00055E48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B661" w14:textId="77777777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7E3"/>
    <w:multiLevelType w:val="hybridMultilevel"/>
    <w:tmpl w:val="222A0E58"/>
    <w:lvl w:ilvl="0" w:tplc="9902471E">
      <w:start w:val="1"/>
      <w:numFmt w:val="decimal"/>
      <w:lvlText w:val="%1)"/>
      <w:lvlJc w:val="left"/>
      <w:pPr>
        <w:ind w:left="1020" w:hanging="360"/>
      </w:pPr>
    </w:lvl>
    <w:lvl w:ilvl="1" w:tplc="AD0E938E">
      <w:start w:val="1"/>
      <w:numFmt w:val="decimal"/>
      <w:lvlText w:val="%2)"/>
      <w:lvlJc w:val="left"/>
      <w:pPr>
        <w:ind w:left="1020" w:hanging="360"/>
      </w:pPr>
    </w:lvl>
    <w:lvl w:ilvl="2" w:tplc="4528992E">
      <w:start w:val="1"/>
      <w:numFmt w:val="decimal"/>
      <w:lvlText w:val="%3)"/>
      <w:lvlJc w:val="left"/>
      <w:pPr>
        <w:ind w:left="1020" w:hanging="360"/>
      </w:pPr>
    </w:lvl>
    <w:lvl w:ilvl="3" w:tplc="EABE1080">
      <w:start w:val="1"/>
      <w:numFmt w:val="decimal"/>
      <w:lvlText w:val="%4)"/>
      <w:lvlJc w:val="left"/>
      <w:pPr>
        <w:ind w:left="1020" w:hanging="360"/>
      </w:pPr>
    </w:lvl>
    <w:lvl w:ilvl="4" w:tplc="6734BA8A">
      <w:start w:val="1"/>
      <w:numFmt w:val="decimal"/>
      <w:lvlText w:val="%5)"/>
      <w:lvlJc w:val="left"/>
      <w:pPr>
        <w:ind w:left="1020" w:hanging="360"/>
      </w:pPr>
    </w:lvl>
    <w:lvl w:ilvl="5" w:tplc="EEFE250C">
      <w:start w:val="1"/>
      <w:numFmt w:val="decimal"/>
      <w:lvlText w:val="%6)"/>
      <w:lvlJc w:val="left"/>
      <w:pPr>
        <w:ind w:left="1020" w:hanging="360"/>
      </w:pPr>
    </w:lvl>
    <w:lvl w:ilvl="6" w:tplc="8A5E9B4C">
      <w:start w:val="1"/>
      <w:numFmt w:val="decimal"/>
      <w:lvlText w:val="%7)"/>
      <w:lvlJc w:val="left"/>
      <w:pPr>
        <w:ind w:left="1020" w:hanging="360"/>
      </w:pPr>
    </w:lvl>
    <w:lvl w:ilvl="7" w:tplc="5A561F2C">
      <w:start w:val="1"/>
      <w:numFmt w:val="decimal"/>
      <w:lvlText w:val="%8)"/>
      <w:lvlJc w:val="left"/>
      <w:pPr>
        <w:ind w:left="1020" w:hanging="360"/>
      </w:pPr>
    </w:lvl>
    <w:lvl w:ilvl="8" w:tplc="6590ADD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82488"/>
    <w:multiLevelType w:val="multilevel"/>
    <w:tmpl w:val="7356081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B7084"/>
    <w:multiLevelType w:val="hybridMultilevel"/>
    <w:tmpl w:val="81A07F04"/>
    <w:lvl w:ilvl="0" w:tplc="4D285060">
      <w:start w:val="1"/>
      <w:numFmt w:val="decimal"/>
      <w:lvlText w:val="%1)"/>
      <w:lvlJc w:val="left"/>
      <w:pPr>
        <w:ind w:left="1020" w:hanging="360"/>
      </w:pPr>
    </w:lvl>
    <w:lvl w:ilvl="1" w:tplc="FC7AA290">
      <w:start w:val="1"/>
      <w:numFmt w:val="decimal"/>
      <w:lvlText w:val="%2)"/>
      <w:lvlJc w:val="left"/>
      <w:pPr>
        <w:ind w:left="1020" w:hanging="360"/>
      </w:pPr>
    </w:lvl>
    <w:lvl w:ilvl="2" w:tplc="FAE6D6B6">
      <w:start w:val="1"/>
      <w:numFmt w:val="decimal"/>
      <w:lvlText w:val="%3)"/>
      <w:lvlJc w:val="left"/>
      <w:pPr>
        <w:ind w:left="1020" w:hanging="360"/>
      </w:pPr>
    </w:lvl>
    <w:lvl w:ilvl="3" w:tplc="7E365C10">
      <w:start w:val="1"/>
      <w:numFmt w:val="decimal"/>
      <w:lvlText w:val="%4)"/>
      <w:lvlJc w:val="left"/>
      <w:pPr>
        <w:ind w:left="1020" w:hanging="360"/>
      </w:pPr>
    </w:lvl>
    <w:lvl w:ilvl="4" w:tplc="6004F5B0">
      <w:start w:val="1"/>
      <w:numFmt w:val="decimal"/>
      <w:lvlText w:val="%5)"/>
      <w:lvlJc w:val="left"/>
      <w:pPr>
        <w:ind w:left="1020" w:hanging="360"/>
      </w:pPr>
    </w:lvl>
    <w:lvl w:ilvl="5" w:tplc="12A0D2FC">
      <w:start w:val="1"/>
      <w:numFmt w:val="decimal"/>
      <w:lvlText w:val="%6)"/>
      <w:lvlJc w:val="left"/>
      <w:pPr>
        <w:ind w:left="1020" w:hanging="360"/>
      </w:pPr>
    </w:lvl>
    <w:lvl w:ilvl="6" w:tplc="89889E9A">
      <w:start w:val="1"/>
      <w:numFmt w:val="decimal"/>
      <w:lvlText w:val="%7)"/>
      <w:lvlJc w:val="left"/>
      <w:pPr>
        <w:ind w:left="1020" w:hanging="360"/>
      </w:pPr>
    </w:lvl>
    <w:lvl w:ilvl="7" w:tplc="0DDC26DC">
      <w:start w:val="1"/>
      <w:numFmt w:val="decimal"/>
      <w:lvlText w:val="%8)"/>
      <w:lvlJc w:val="left"/>
      <w:pPr>
        <w:ind w:left="1020" w:hanging="360"/>
      </w:pPr>
    </w:lvl>
    <w:lvl w:ilvl="8" w:tplc="130AE878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68AE285F"/>
    <w:multiLevelType w:val="hybridMultilevel"/>
    <w:tmpl w:val="F670AD62"/>
    <w:lvl w:ilvl="0" w:tplc="153C1230">
      <w:start w:val="1"/>
      <w:numFmt w:val="decimal"/>
      <w:lvlText w:val="%1)"/>
      <w:lvlJc w:val="left"/>
      <w:pPr>
        <w:ind w:left="1020" w:hanging="360"/>
      </w:pPr>
    </w:lvl>
    <w:lvl w:ilvl="1" w:tplc="F9F85114">
      <w:start w:val="1"/>
      <w:numFmt w:val="decimal"/>
      <w:lvlText w:val="%2)"/>
      <w:lvlJc w:val="left"/>
      <w:pPr>
        <w:ind w:left="1020" w:hanging="360"/>
      </w:pPr>
    </w:lvl>
    <w:lvl w:ilvl="2" w:tplc="00809F18">
      <w:start w:val="1"/>
      <w:numFmt w:val="decimal"/>
      <w:lvlText w:val="%3)"/>
      <w:lvlJc w:val="left"/>
      <w:pPr>
        <w:ind w:left="1020" w:hanging="360"/>
      </w:pPr>
    </w:lvl>
    <w:lvl w:ilvl="3" w:tplc="F3F8F422">
      <w:start w:val="1"/>
      <w:numFmt w:val="decimal"/>
      <w:lvlText w:val="%4)"/>
      <w:lvlJc w:val="left"/>
      <w:pPr>
        <w:ind w:left="1020" w:hanging="360"/>
      </w:pPr>
    </w:lvl>
    <w:lvl w:ilvl="4" w:tplc="66380AC6">
      <w:start w:val="1"/>
      <w:numFmt w:val="decimal"/>
      <w:lvlText w:val="%5)"/>
      <w:lvlJc w:val="left"/>
      <w:pPr>
        <w:ind w:left="1020" w:hanging="360"/>
      </w:pPr>
    </w:lvl>
    <w:lvl w:ilvl="5" w:tplc="B240F974">
      <w:start w:val="1"/>
      <w:numFmt w:val="decimal"/>
      <w:lvlText w:val="%6)"/>
      <w:lvlJc w:val="left"/>
      <w:pPr>
        <w:ind w:left="1020" w:hanging="360"/>
      </w:pPr>
    </w:lvl>
    <w:lvl w:ilvl="6" w:tplc="99140162">
      <w:start w:val="1"/>
      <w:numFmt w:val="decimal"/>
      <w:lvlText w:val="%7)"/>
      <w:lvlJc w:val="left"/>
      <w:pPr>
        <w:ind w:left="1020" w:hanging="360"/>
      </w:pPr>
    </w:lvl>
    <w:lvl w:ilvl="7" w:tplc="7556E830">
      <w:start w:val="1"/>
      <w:numFmt w:val="decimal"/>
      <w:lvlText w:val="%8)"/>
      <w:lvlJc w:val="left"/>
      <w:pPr>
        <w:ind w:left="1020" w:hanging="360"/>
      </w:pPr>
    </w:lvl>
    <w:lvl w:ilvl="8" w:tplc="141E1224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29D1"/>
    <w:rsid w:val="00034F54"/>
    <w:rsid w:val="00054067"/>
    <w:rsid w:val="00055E48"/>
    <w:rsid w:val="00056B40"/>
    <w:rsid w:val="00057E86"/>
    <w:rsid w:val="00067E82"/>
    <w:rsid w:val="000C0109"/>
    <w:rsid w:val="000C50CD"/>
    <w:rsid w:val="000C74B0"/>
    <w:rsid w:val="000D496F"/>
    <w:rsid w:val="000F3CA9"/>
    <w:rsid w:val="0010521F"/>
    <w:rsid w:val="00114151"/>
    <w:rsid w:val="00162457"/>
    <w:rsid w:val="00180C7A"/>
    <w:rsid w:val="001C7B84"/>
    <w:rsid w:val="001D1DD2"/>
    <w:rsid w:val="001D5AD0"/>
    <w:rsid w:val="001E5869"/>
    <w:rsid w:val="001F5DD3"/>
    <w:rsid w:val="0020137B"/>
    <w:rsid w:val="00205FB7"/>
    <w:rsid w:val="00227573"/>
    <w:rsid w:val="0027010D"/>
    <w:rsid w:val="00272C71"/>
    <w:rsid w:val="002A0F2E"/>
    <w:rsid w:val="002B2C5A"/>
    <w:rsid w:val="002C50E2"/>
    <w:rsid w:val="002F0A36"/>
    <w:rsid w:val="00317573"/>
    <w:rsid w:val="0032684D"/>
    <w:rsid w:val="00335D33"/>
    <w:rsid w:val="00372BD7"/>
    <w:rsid w:val="0038601F"/>
    <w:rsid w:val="003B2D7D"/>
    <w:rsid w:val="004120EF"/>
    <w:rsid w:val="00426A0A"/>
    <w:rsid w:val="004370EC"/>
    <w:rsid w:val="004379A4"/>
    <w:rsid w:val="00442D1D"/>
    <w:rsid w:val="004516B6"/>
    <w:rsid w:val="00486E77"/>
    <w:rsid w:val="004953E4"/>
    <w:rsid w:val="004B6303"/>
    <w:rsid w:val="004E781C"/>
    <w:rsid w:val="004F7F2E"/>
    <w:rsid w:val="00514E9A"/>
    <w:rsid w:val="00526451"/>
    <w:rsid w:val="00530241"/>
    <w:rsid w:val="005815DA"/>
    <w:rsid w:val="00592A11"/>
    <w:rsid w:val="005A0334"/>
    <w:rsid w:val="005C43E8"/>
    <w:rsid w:val="005E31D4"/>
    <w:rsid w:val="00614CA6"/>
    <w:rsid w:val="00630310"/>
    <w:rsid w:val="00637850"/>
    <w:rsid w:val="00643B7E"/>
    <w:rsid w:val="0064627E"/>
    <w:rsid w:val="006A4358"/>
    <w:rsid w:val="006A5BAB"/>
    <w:rsid w:val="00732EDC"/>
    <w:rsid w:val="007908D8"/>
    <w:rsid w:val="007A2741"/>
    <w:rsid w:val="007A4472"/>
    <w:rsid w:val="007D2903"/>
    <w:rsid w:val="007D2DFF"/>
    <w:rsid w:val="007E0B8F"/>
    <w:rsid w:val="007E33B2"/>
    <w:rsid w:val="007E6D6C"/>
    <w:rsid w:val="00804732"/>
    <w:rsid w:val="00811476"/>
    <w:rsid w:val="00821E3E"/>
    <w:rsid w:val="0083492D"/>
    <w:rsid w:val="008739BE"/>
    <w:rsid w:val="008B6D75"/>
    <w:rsid w:val="00900FF3"/>
    <w:rsid w:val="00901CB8"/>
    <w:rsid w:val="00907B7F"/>
    <w:rsid w:val="00913330"/>
    <w:rsid w:val="00972F32"/>
    <w:rsid w:val="0097397D"/>
    <w:rsid w:val="009C3F3A"/>
    <w:rsid w:val="009C68AD"/>
    <w:rsid w:val="009D3DBC"/>
    <w:rsid w:val="009D7905"/>
    <w:rsid w:val="009E3D4F"/>
    <w:rsid w:val="009E6A2A"/>
    <w:rsid w:val="00A05A04"/>
    <w:rsid w:val="00A252F8"/>
    <w:rsid w:val="00A3792B"/>
    <w:rsid w:val="00A45613"/>
    <w:rsid w:val="00A55978"/>
    <w:rsid w:val="00A8234C"/>
    <w:rsid w:val="00A94725"/>
    <w:rsid w:val="00AA4B85"/>
    <w:rsid w:val="00AC5551"/>
    <w:rsid w:val="00AF548A"/>
    <w:rsid w:val="00AF593B"/>
    <w:rsid w:val="00B07758"/>
    <w:rsid w:val="00B20AE2"/>
    <w:rsid w:val="00B218B0"/>
    <w:rsid w:val="00B2319A"/>
    <w:rsid w:val="00B62B57"/>
    <w:rsid w:val="00B74CDC"/>
    <w:rsid w:val="00BF0EE9"/>
    <w:rsid w:val="00C51E61"/>
    <w:rsid w:val="00C61568"/>
    <w:rsid w:val="00C95322"/>
    <w:rsid w:val="00CA1209"/>
    <w:rsid w:val="00CA1676"/>
    <w:rsid w:val="00CB5E96"/>
    <w:rsid w:val="00D25E17"/>
    <w:rsid w:val="00D6366E"/>
    <w:rsid w:val="00D905C8"/>
    <w:rsid w:val="00D921E4"/>
    <w:rsid w:val="00DB509E"/>
    <w:rsid w:val="00DB7DB0"/>
    <w:rsid w:val="00DC6199"/>
    <w:rsid w:val="00E14BC3"/>
    <w:rsid w:val="00E31F16"/>
    <w:rsid w:val="00E63B34"/>
    <w:rsid w:val="00E645DA"/>
    <w:rsid w:val="00E95C13"/>
    <w:rsid w:val="00EA5EC5"/>
    <w:rsid w:val="00EA67A2"/>
    <w:rsid w:val="00ED524E"/>
    <w:rsid w:val="00EE3BC3"/>
    <w:rsid w:val="00F03A3B"/>
    <w:rsid w:val="00F14C35"/>
    <w:rsid w:val="00F20C60"/>
    <w:rsid w:val="00F21BCA"/>
    <w:rsid w:val="00F254B7"/>
    <w:rsid w:val="00F6476F"/>
    <w:rsid w:val="00F900CE"/>
    <w:rsid w:val="00FD583C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4E781C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0F3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DB7DB0"/>
    <w:pPr>
      <w:spacing w:after="0" w:line="240" w:lineRule="auto"/>
      <w:jc w:val="center"/>
    </w:pPr>
    <w:rPr>
      <w:rFonts w:cs="Arial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DB7DB0"/>
    <w:rPr>
      <w:rFonts w:ascii="Arial" w:eastAsia="Calibri" w:hAnsi="Arial" w:cs="Arial"/>
      <w:b/>
      <w:caps/>
      <w:lang w:eastAsia="cs-CZ"/>
    </w:rPr>
  </w:style>
  <w:style w:type="paragraph" w:styleId="Revize">
    <w:name w:val="Revision"/>
    <w:hidden/>
    <w:uiPriority w:val="99"/>
    <w:semiHidden/>
    <w:rsid w:val="000C0109"/>
    <w:pPr>
      <w:spacing w:after="0" w:line="240" w:lineRule="auto"/>
    </w:pPr>
    <w:rPr>
      <w:rFonts w:ascii="Arial" w:eastAsia="Calibri" w:hAnsi="Arial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1069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4</cp:revision>
  <dcterms:created xsi:type="dcterms:W3CDTF">2025-01-21T10:28:00Z</dcterms:created>
  <dcterms:modified xsi:type="dcterms:W3CDTF">2025-01-21T10:46:00Z</dcterms:modified>
</cp:coreProperties>
</file>