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300" w:after="20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 M L O U V A O D Í L O</w:t>
      </w:r>
    </w:p>
    <w:p>
      <w:pPr>
        <w:pStyle w:val="Style9"/>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24"/>
          <w:szCs w:val="24"/>
          <w:shd w:val="clear" w:color="auto" w:fill="auto"/>
          <w:lang w:val="cs-CZ" w:eastAsia="cs-CZ" w:bidi="cs-CZ"/>
        </w:rPr>
        <w:t>č. smlouvy: 82/2025</w:t>
      </w:r>
      <w:bookmarkEnd w:id="0"/>
      <w:bookmarkEnd w:id="1"/>
      <w:bookmarkEnd w:id="2"/>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je uzavřena dle ust. § 2586 a násl. zákona 89/2012 Sb., občanského zákoníku, ve znění pozdějších předpisů.</w:t>
      </w:r>
    </w:p>
    <w:p>
      <w:pPr>
        <w:pStyle w:val="Style9"/>
        <w:keepNext/>
        <w:keepLines/>
        <w:widowControl w:val="0"/>
        <w:shd w:val="clear" w:color="auto" w:fill="auto"/>
        <w:bidi w:val="0"/>
        <w:spacing w:before="0" w:after="20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sz w:val="24"/>
          <w:szCs w:val="24"/>
          <w:shd w:val="clear" w:color="auto" w:fill="auto"/>
          <w:lang w:val="cs-CZ" w:eastAsia="cs-CZ" w:bidi="cs-CZ"/>
        </w:rPr>
        <w:t>Název díla:</w:t>
        <w:br/>
        <w:t>„Rekonstrukce podlah A109, A115, A118“</w:t>
      </w:r>
      <w:bookmarkEnd w:id="3"/>
      <w:bookmarkEnd w:id="4"/>
      <w:bookmarkEnd w:id="5"/>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byla uzavřena mezi:</w:t>
      </w:r>
    </w:p>
    <w:tbl>
      <w:tblPr>
        <w:tblOverlap w:val="never"/>
        <w:jc w:val="center"/>
        <w:tblLayout w:type="fixed"/>
      </w:tblPr>
      <w:tblGrid>
        <w:gridCol w:w="3725"/>
        <w:gridCol w:w="5400"/>
      </w:tblGrid>
      <w:tr>
        <w:trPr>
          <w:trHeight w:val="56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Bezručova 4219, 430 03 Chomutov</w:t>
            </w:r>
          </w:p>
        </w:tc>
      </w:tr>
      <w:tr>
        <w:trPr>
          <w:trHeight w:val="1243"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DIČ:</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zastoupený: zástupce ve věcech smluvních:</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70889988</w:t>
            </w:r>
          </w:p>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CZ 70889988</w:t>
            </w:r>
          </w:p>
        </w:tc>
      </w:tr>
      <w:tr>
        <w:trPr>
          <w:trHeight w:val="686"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technický dozor investora:</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tel:</w:t>
            </w:r>
          </w:p>
        </w:tc>
      </w:tr>
      <w:tr>
        <w:trPr>
          <w:trHeight w:val="653"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Bankovní spojení: číslo účtu:</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Komerční banka, a.s., pobočka Chomutov</w:t>
            </w:r>
          </w:p>
        </w:tc>
      </w:tr>
    </w:tbl>
    <w:p>
      <w:pPr>
        <w:widowControl w:val="0"/>
        <w:spacing w:after="199" w:line="1" w:lineRule="exact"/>
      </w:pP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„objednatel“) na straně jedné a</w:t>
      </w:r>
    </w:p>
    <w:tbl>
      <w:tblPr>
        <w:tblOverlap w:val="never"/>
        <w:jc w:val="center"/>
        <w:tblLayout w:type="fixed"/>
      </w:tblPr>
      <w:tblGrid>
        <w:gridCol w:w="3725"/>
        <w:gridCol w:w="5400"/>
      </w:tblGrid>
      <w:tr>
        <w:trPr>
          <w:trHeight w:val="56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Jiří Tomášek</w:t>
            </w:r>
          </w:p>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Suchdol 7, 430 01 Křimov</w:t>
            </w:r>
          </w:p>
        </w:tc>
      </w:tr>
      <w:tr>
        <w:trPr>
          <w:trHeight w:val="1819"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DIČ: zastoupený:</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42431999</w:t>
            </w:r>
          </w:p>
          <w:p>
            <w:pPr>
              <w:pStyle w:val="Style13"/>
              <w:keepNext w:val="0"/>
              <w:keepLines w:val="0"/>
              <w:widowControl w:val="0"/>
              <w:shd w:val="clear" w:color="auto" w:fill="auto"/>
              <w:bidi w:val="0"/>
              <w:spacing w:before="0" w:after="34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CZ</w:t>
            </w:r>
          </w:p>
          <w:p>
            <w:pPr>
              <w:pStyle w:val="Style13"/>
              <w:keepNext w:val="0"/>
              <w:keepLines w:val="0"/>
              <w:widowControl w:val="0"/>
              <w:shd w:val="clear" w:color="auto" w:fill="auto"/>
              <w:bidi w:val="0"/>
              <w:spacing w:before="0" w:after="6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tel. č.</w:t>
            </w:r>
          </w:p>
          <w:p>
            <w:pPr>
              <w:pStyle w:val="Style13"/>
              <w:keepNext w:val="0"/>
              <w:keepLines w:val="0"/>
              <w:widowControl w:val="0"/>
              <w:shd w:val="clear" w:color="auto" w:fill="auto"/>
              <w:bidi w:val="0"/>
              <w:spacing w:before="0" w:after="20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e-mail:</w:t>
            </w:r>
          </w:p>
        </w:tc>
      </w:tr>
      <w:tr>
        <w:trPr>
          <w:trHeight w:val="845"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bankovní spojení: číslo účtu:</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Komerční banka, a.s., pobočka Chomutov</w:t>
            </w:r>
          </w:p>
        </w:tc>
      </w:tr>
    </w:tbl>
    <w:p>
      <w:pPr>
        <w:widowControl w:val="0"/>
        <w:spacing w:after="199" w:line="1" w:lineRule="exact"/>
      </w:pPr>
    </w:p>
    <w:p>
      <w:pPr>
        <w:pStyle w:val="Style2"/>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držitelem živnostenského listu č. j. MMCH/32838/2017, sp. značka SZ MMCH/32812/2017, Magistrát města Chomutova</w:t>
      </w:r>
    </w:p>
    <w:p>
      <w:pPr>
        <w:pStyle w:val="Style2"/>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Vzhledem k tomu, že si objednatel přeje, aby zhotovitel provedl dílo, s názvem:</w:t>
      </w:r>
    </w:p>
    <w:p>
      <w:pPr>
        <w:pStyle w:val="Style9"/>
        <w:keepNext/>
        <w:keepLines/>
        <w:widowControl w:val="0"/>
        <w:shd w:val="clear" w:color="auto" w:fill="auto"/>
        <w:bidi w:val="0"/>
        <w:spacing w:before="0" w:line="240" w:lineRule="auto"/>
        <w:ind w:left="0" w:right="0" w:firstLine="0"/>
        <w:jc w:val="center"/>
      </w:pPr>
      <w:bookmarkStart w:id="6" w:name="bookmark6"/>
      <w:bookmarkStart w:id="7" w:name="bookmark7"/>
      <w:bookmarkStart w:id="8" w:name="bookmark8"/>
      <w:r>
        <w:rPr>
          <w:rFonts w:ascii="Times New Roman" w:eastAsia="Times New Roman" w:hAnsi="Times New Roman" w:cs="Times New Roman"/>
          <w:color w:val="000000"/>
          <w:spacing w:val="0"/>
          <w:w w:val="100"/>
          <w:position w:val="0"/>
          <w:sz w:val="24"/>
          <w:szCs w:val="24"/>
          <w:shd w:val="clear" w:color="auto" w:fill="auto"/>
          <w:lang w:val="cs-CZ" w:eastAsia="cs-CZ" w:bidi="cs-CZ"/>
        </w:rPr>
        <w:t>„Rekonstrukce podlah A109, A115, A118“</w:t>
      </w:r>
      <w:bookmarkEnd w:id="6"/>
      <w:bookmarkEnd w:id="7"/>
      <w:bookmarkEnd w:id="8"/>
    </w:p>
    <w:p>
      <w:pPr>
        <w:pStyle w:val="Style2"/>
        <w:keepNext w:val="0"/>
        <w:keepLines w:val="0"/>
        <w:widowControl w:val="0"/>
        <w:shd w:val="clear" w:color="auto" w:fill="auto"/>
        <w:bidi w:val="0"/>
        <w:spacing w:before="0" w:after="3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a přijal nabídku zhotovitele na provedení a dokončení tohoto díla, se smluvní strany dohodly na následujícím:</w:t>
      </w:r>
    </w:p>
    <w:p>
      <w:pPr>
        <w:pStyle w:val="Style9"/>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sz w:val="24"/>
          <w:szCs w:val="24"/>
          <w:shd w:val="clear" w:color="auto" w:fill="auto"/>
          <w:lang w:val="cs-CZ" w:eastAsia="cs-CZ" w:bidi="cs-CZ"/>
        </w:rPr>
        <w:t>Čl. II. PŘEDMĚT DÍLA</w:t>
      </w:r>
      <w:bookmarkEnd w:id="10"/>
      <w:bookmarkEnd w:id="11"/>
      <w:bookmarkEnd w:id="9"/>
    </w:p>
    <w:p>
      <w:pPr>
        <w:pStyle w:val="Style2"/>
        <w:keepNext w:val="0"/>
        <w:keepLines w:val="0"/>
        <w:widowControl w:val="0"/>
        <w:numPr>
          <w:ilvl w:val="0"/>
          <w:numId w:val="1"/>
        </w:numPr>
        <w:shd w:val="clear" w:color="auto" w:fill="auto"/>
        <w:tabs>
          <w:tab w:pos="394" w:val="left"/>
        </w:tabs>
        <w:bidi w:val="0"/>
        <w:spacing w:before="0" w:line="240" w:lineRule="auto"/>
        <w:ind w:left="380" w:right="0" w:hanging="380"/>
        <w:jc w:val="both"/>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se zavazuje provést výše uvedené dílo, výměnu podlahové krytiny a úpravy v rozsahu přijaté nabídky zhotovitele, a to v kancelářích A109, A115 a A118 na adrese Bezručova 4219, 430 03 Chomutov.</w:t>
      </w:r>
    </w:p>
    <w:p>
      <w:pPr>
        <w:pStyle w:val="Style2"/>
        <w:keepNext w:val="0"/>
        <w:keepLines w:val="0"/>
        <w:widowControl w:val="0"/>
        <w:numPr>
          <w:ilvl w:val="0"/>
          <w:numId w:val="1"/>
        </w:numPr>
        <w:shd w:val="clear" w:color="auto" w:fill="auto"/>
        <w:tabs>
          <w:tab w:pos="394" w:val="left"/>
        </w:tabs>
        <w:bidi w:val="0"/>
        <w:spacing w:before="0" w:line="240" w:lineRule="auto"/>
        <w:ind w:left="380" w:right="0" w:hanging="380"/>
        <w:jc w:val="both"/>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pPr>
        <w:pStyle w:val="Style2"/>
        <w:keepNext w:val="0"/>
        <w:keepLines w:val="0"/>
        <w:widowControl w:val="0"/>
        <w:numPr>
          <w:ilvl w:val="0"/>
          <w:numId w:val="1"/>
        </w:numPr>
        <w:shd w:val="clear" w:color="auto" w:fill="auto"/>
        <w:tabs>
          <w:tab w:pos="394" w:val="left"/>
        </w:tabs>
        <w:bidi w:val="0"/>
        <w:spacing w:before="0" w:line="240" w:lineRule="auto"/>
        <w:ind w:left="380" w:right="0" w:hanging="380"/>
        <w:jc w:val="both"/>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se seznámil se staveništěm tak, aby mohlo být dílo řádně provedeno podle ustanovení této smlouvy, není třeba žádných změn nebo úprav zadání.</w:t>
      </w:r>
    </w:p>
    <w:p>
      <w:pPr>
        <w:pStyle w:val="Style2"/>
        <w:keepNext w:val="0"/>
        <w:keepLines w:val="0"/>
        <w:widowControl w:val="0"/>
        <w:numPr>
          <w:ilvl w:val="0"/>
          <w:numId w:val="1"/>
        </w:numPr>
        <w:shd w:val="clear" w:color="auto" w:fill="auto"/>
        <w:tabs>
          <w:tab w:pos="394" w:val="left"/>
        </w:tabs>
        <w:bidi w:val="0"/>
        <w:spacing w:before="0" w:line="240" w:lineRule="auto"/>
        <w:ind w:left="380" w:right="0" w:hanging="380"/>
        <w:jc w:val="both"/>
      </w:pPr>
      <w:bookmarkStart w:id="15" w:name="bookmark15"/>
      <w:bookmarkEnd w:id="15"/>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dále prohlašuje, že si prohlédl staveniště a že se přesvědčil o jeho skutečném stavu a že jsou mu známé všechny okolnosti pro řádné plnění díla.</w:t>
      </w:r>
    </w:p>
    <w:p>
      <w:pPr>
        <w:pStyle w:val="Style2"/>
        <w:keepNext w:val="0"/>
        <w:keepLines w:val="0"/>
        <w:widowControl w:val="0"/>
        <w:numPr>
          <w:ilvl w:val="0"/>
          <w:numId w:val="1"/>
        </w:numPr>
        <w:shd w:val="clear" w:color="auto" w:fill="auto"/>
        <w:tabs>
          <w:tab w:pos="394" w:val="left"/>
        </w:tabs>
        <w:bidi w:val="0"/>
        <w:spacing w:before="0" w:after="0" w:line="240" w:lineRule="auto"/>
        <w:ind w:left="0" w:right="0" w:firstLine="0"/>
        <w:jc w:val="both"/>
      </w:pPr>
      <w:bookmarkStart w:id="16" w:name="bookmark16"/>
      <w:bookmarkEnd w:id="16"/>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předá zhotoviteli staveniště prosté práv třetích osob.</w:t>
      </w:r>
    </w:p>
    <w:p>
      <w:pPr>
        <w:pStyle w:val="Style2"/>
        <w:keepNext w:val="0"/>
        <w:keepLines w:val="0"/>
        <w:widowControl w:val="0"/>
        <w:shd w:val="clear" w:color="auto" w:fill="auto"/>
        <w:bidi w:val="0"/>
        <w:spacing w:before="0" w:after="500" w:line="240" w:lineRule="auto"/>
        <w:ind w:left="380" w:right="0" w:firstLine="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Předání staveniště zhotoviteli bude objednatelem provedeno dle termínu uvedeného v této smlouvě..</w:t>
      </w:r>
    </w:p>
    <w:p>
      <w:pPr>
        <w:pStyle w:val="Style9"/>
        <w:keepNext/>
        <w:keepLines/>
        <w:widowControl w:val="0"/>
        <w:shd w:val="clear" w:color="auto" w:fill="auto"/>
        <w:bidi w:val="0"/>
        <w:spacing w:before="0" w:line="240" w:lineRule="auto"/>
        <w:ind w:left="0" w:right="0" w:firstLine="0"/>
        <w:jc w:val="center"/>
      </w:pPr>
      <w:bookmarkStart w:id="17" w:name="bookmark17"/>
      <w:bookmarkStart w:id="18" w:name="bookmark18"/>
      <w:bookmarkStart w:id="19" w:name="bookmark19"/>
      <w:r>
        <w:rPr>
          <w:rFonts w:ascii="Times New Roman" w:eastAsia="Times New Roman" w:hAnsi="Times New Roman" w:cs="Times New Roman"/>
          <w:color w:val="000000"/>
          <w:spacing w:val="0"/>
          <w:w w:val="100"/>
          <w:position w:val="0"/>
          <w:sz w:val="24"/>
          <w:szCs w:val="24"/>
          <w:shd w:val="clear" w:color="auto" w:fill="auto"/>
          <w:lang w:val="cs-CZ" w:eastAsia="cs-CZ" w:bidi="cs-CZ"/>
        </w:rPr>
        <w:t>Čl. III. TERMÍN PLNĚNÍ</w:t>
      </w:r>
      <w:bookmarkEnd w:id="17"/>
      <w:bookmarkEnd w:id="18"/>
      <w:bookmarkEnd w:id="19"/>
    </w:p>
    <w:p>
      <w:pPr>
        <w:pStyle w:val="Style9"/>
        <w:keepNext/>
        <w:keepLines/>
        <w:widowControl w:val="0"/>
        <w:numPr>
          <w:ilvl w:val="0"/>
          <w:numId w:val="3"/>
        </w:numPr>
        <w:shd w:val="clear" w:color="auto" w:fill="auto"/>
        <w:tabs>
          <w:tab w:pos="2828" w:val="left"/>
          <w:tab w:pos="6073" w:val="right"/>
        </w:tabs>
        <w:bidi w:val="0"/>
        <w:spacing w:before="0" w:after="0" w:line="240" w:lineRule="auto"/>
        <w:ind w:left="0" w:right="0" w:firstLine="380"/>
        <w:jc w:val="both"/>
      </w:pPr>
      <w:bookmarkStart w:id="20" w:name="bookmark20"/>
      <w:bookmarkStart w:id="21" w:name="bookmark21"/>
      <w:bookmarkStart w:id="22" w:name="bookmark22"/>
      <w:bookmarkStart w:id="23" w:name="bookmark23"/>
      <w:bookmarkEnd w:id="22"/>
      <w:r>
        <w:rPr>
          <w:rFonts w:ascii="Times New Roman" w:eastAsia="Times New Roman" w:hAnsi="Times New Roman" w:cs="Times New Roman"/>
          <w:color w:val="000000"/>
          <w:spacing w:val="0"/>
          <w:w w:val="100"/>
          <w:position w:val="0"/>
          <w:sz w:val="24"/>
          <w:szCs w:val="24"/>
          <w:shd w:val="clear" w:color="auto" w:fill="auto"/>
          <w:lang w:val="cs-CZ" w:eastAsia="cs-CZ" w:bidi="cs-CZ"/>
        </w:rPr>
        <w:t>Zahájení díla:</w:t>
        <w:tab/>
      </w: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03.02.2025</w:t>
      </w:r>
      <w:bookmarkEnd w:id="20"/>
      <w:bookmarkEnd w:id="21"/>
      <w:bookmarkEnd w:id="23"/>
    </w:p>
    <w:p>
      <w:pPr>
        <w:pStyle w:val="Style9"/>
        <w:keepNext/>
        <w:keepLines/>
        <w:widowControl w:val="0"/>
        <w:numPr>
          <w:ilvl w:val="0"/>
          <w:numId w:val="3"/>
        </w:numPr>
        <w:shd w:val="clear" w:color="auto" w:fill="auto"/>
        <w:tabs>
          <w:tab w:pos="2828" w:val="left"/>
          <w:tab w:pos="6073" w:val="right"/>
        </w:tabs>
        <w:bidi w:val="0"/>
        <w:spacing w:before="0" w:line="240" w:lineRule="auto"/>
        <w:ind w:left="0" w:right="0" w:firstLine="380"/>
        <w:jc w:val="both"/>
      </w:pPr>
      <w:bookmarkStart w:id="20" w:name="bookmark20"/>
      <w:bookmarkStart w:id="21" w:name="bookmark21"/>
      <w:bookmarkStart w:id="24" w:name="bookmark24"/>
      <w:bookmarkStart w:id="25" w:name="bookmark25"/>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Ukončení díla:</w:t>
        <w:tab/>
      </w:r>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31.03.2025</w:t>
      </w:r>
      <w:bookmarkEnd w:id="20"/>
      <w:bookmarkEnd w:id="21"/>
      <w:bookmarkEnd w:id="25"/>
    </w:p>
    <w:p>
      <w:pPr>
        <w:pStyle w:val="Style2"/>
        <w:keepNext w:val="0"/>
        <w:keepLines w:val="0"/>
        <w:widowControl w:val="0"/>
        <w:numPr>
          <w:ilvl w:val="0"/>
          <w:numId w:val="5"/>
        </w:numPr>
        <w:shd w:val="clear" w:color="auto" w:fill="auto"/>
        <w:tabs>
          <w:tab w:pos="394" w:val="left"/>
        </w:tabs>
        <w:bidi w:val="0"/>
        <w:spacing w:before="0" w:line="240" w:lineRule="auto"/>
        <w:ind w:left="380" w:right="0" w:hanging="38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se zavazuje, že v době ode dne zahájení díla do předání staveniště, vynaloží veškeré úsilí k zajištění realizace provedení díla.</w:t>
      </w:r>
    </w:p>
    <w:p>
      <w:pPr>
        <w:pStyle w:val="Style2"/>
        <w:keepNext w:val="0"/>
        <w:keepLines w:val="0"/>
        <w:widowControl w:val="0"/>
        <w:numPr>
          <w:ilvl w:val="0"/>
          <w:numId w:val="5"/>
        </w:numPr>
        <w:shd w:val="clear" w:color="auto" w:fill="auto"/>
        <w:tabs>
          <w:tab w:pos="394" w:val="left"/>
        </w:tabs>
        <w:bidi w:val="0"/>
        <w:spacing w:before="0" w:after="500" w:line="240" w:lineRule="auto"/>
        <w:ind w:left="380" w:right="0" w:hanging="380"/>
        <w:jc w:val="both"/>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Dílo bude dokončeno zhotovitelem a předáno objednateli písemně na základě zápisu o předání a převzetí.</w:t>
      </w:r>
    </w:p>
    <w:p>
      <w:pPr>
        <w:pStyle w:val="Style9"/>
        <w:keepNext/>
        <w:keepLines/>
        <w:widowControl w:val="0"/>
        <w:shd w:val="clear" w:color="auto" w:fill="auto"/>
        <w:bidi w:val="0"/>
        <w:spacing w:before="0" w:line="240" w:lineRule="auto"/>
        <w:ind w:left="0" w:right="0" w:firstLine="0"/>
        <w:jc w:val="center"/>
      </w:pPr>
      <w:bookmarkStart w:id="28" w:name="bookmark28"/>
      <w:bookmarkStart w:id="29" w:name="bookmark29"/>
      <w:bookmarkStart w:id="30" w:name="bookmark30"/>
      <w:r>
        <w:rPr>
          <w:rFonts w:ascii="Times New Roman" w:eastAsia="Times New Roman" w:hAnsi="Times New Roman" w:cs="Times New Roman"/>
          <w:color w:val="000000"/>
          <w:spacing w:val="0"/>
          <w:w w:val="100"/>
          <w:position w:val="0"/>
          <w:sz w:val="24"/>
          <w:szCs w:val="24"/>
          <w:shd w:val="clear" w:color="auto" w:fill="auto"/>
          <w:lang w:val="cs-CZ" w:eastAsia="cs-CZ" w:bidi="cs-CZ"/>
        </w:rPr>
        <w:t>Čl. IV. CENA</w:t>
      </w:r>
      <w:bookmarkEnd w:id="28"/>
      <w:bookmarkEnd w:id="29"/>
      <w:bookmarkEnd w:id="30"/>
    </w:p>
    <w:p>
      <w:pPr>
        <w:pStyle w:val="Style2"/>
        <w:keepNext w:val="0"/>
        <w:keepLines w:val="0"/>
        <w:widowControl w:val="0"/>
        <w:numPr>
          <w:ilvl w:val="0"/>
          <w:numId w:val="7"/>
        </w:numPr>
        <w:shd w:val="clear" w:color="auto" w:fill="auto"/>
        <w:tabs>
          <w:tab w:pos="394" w:val="left"/>
        </w:tabs>
        <w:bidi w:val="0"/>
        <w:spacing w:before="0" w:line="240" w:lineRule="auto"/>
        <w:ind w:left="380" w:right="0" w:hanging="380"/>
        <w:jc w:val="both"/>
      </w:pPr>
      <w:bookmarkStart w:id="31" w:name="bookmark31"/>
      <w:bookmarkEnd w:id="31"/>
      <w:r>
        <w:rPr>
          <w:rFonts w:ascii="Times New Roman" w:eastAsia="Times New Roman" w:hAnsi="Times New Roman" w:cs="Times New Roman"/>
          <w:color w:val="000000"/>
          <w:spacing w:val="0"/>
          <w:w w:val="100"/>
          <w:position w:val="0"/>
          <w:sz w:val="24"/>
          <w:szCs w:val="24"/>
          <w:shd w:val="clear" w:color="auto" w:fill="auto"/>
          <w:lang w:val="cs-CZ" w:eastAsia="cs-CZ" w:bidi="cs-CZ"/>
        </w:rPr>
        <w:t>Cena za dílo je stanovená jako nejvýše přípustná smluvní cena z předložené nabídky, platná po dobu realizace díla, t.j. až do doby protokolárního předání a převzetí řádně provedeného díla.</w:t>
      </w:r>
    </w:p>
    <w:p>
      <w:pPr>
        <w:pStyle w:val="Style2"/>
        <w:keepNext w:val="0"/>
        <w:keepLines w:val="0"/>
        <w:widowControl w:val="0"/>
        <w:numPr>
          <w:ilvl w:val="0"/>
          <w:numId w:val="7"/>
        </w:numPr>
        <w:shd w:val="clear" w:color="auto" w:fill="auto"/>
        <w:tabs>
          <w:tab w:pos="394" w:val="left"/>
        </w:tabs>
        <w:bidi w:val="0"/>
        <w:spacing w:before="0" w:line="240" w:lineRule="auto"/>
        <w:ind w:left="380" w:right="0" w:hanging="380"/>
        <w:jc w:val="both"/>
      </w:pPr>
      <w:bookmarkStart w:id="32" w:name="bookmark32"/>
      <w:bookmarkEnd w:id="32"/>
      <w:r>
        <w:rPr>
          <w:rFonts w:ascii="Times New Roman" w:eastAsia="Times New Roman" w:hAnsi="Times New Roman" w:cs="Times New Roman"/>
          <w:color w:val="000000"/>
          <w:spacing w:val="0"/>
          <w:w w:val="100"/>
          <w:position w:val="0"/>
          <w:sz w:val="24"/>
          <w:szCs w:val="24"/>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7"/>
        </w:numPr>
        <w:shd w:val="clear" w:color="auto" w:fill="auto"/>
        <w:tabs>
          <w:tab w:pos="394" w:val="left"/>
        </w:tabs>
        <w:bidi w:val="0"/>
        <w:spacing w:before="0" w:after="420" w:line="240" w:lineRule="auto"/>
        <w:ind w:left="380" w:right="0" w:hanging="380"/>
        <w:jc w:val="both"/>
      </w:pPr>
      <w:bookmarkStart w:id="33" w:name="bookmark33"/>
      <w:bookmarkEnd w:id="3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Výše ceny díla může být změněna pouze a jen na podkladě skutečností, které se vyskytly v průběhu provádění prací na stavbě, přičemž jejich zajištění je podmínkou pro řádné </w:t>
      </w:r>
      <w:r>
        <w:rPr>
          <w:rFonts w:ascii="Times New Roman" w:eastAsia="Times New Roman" w:hAnsi="Times New Roman" w:cs="Times New Roman"/>
          <w:color w:val="000000"/>
          <w:spacing w:val="0"/>
          <w:w w:val="100"/>
          <w:position w:val="0"/>
          <w:sz w:val="24"/>
          <w:szCs w:val="24"/>
          <w:shd w:val="clear" w:color="auto" w:fill="auto"/>
          <w:lang w:val="cs-CZ" w:eastAsia="cs-CZ" w:bidi="cs-CZ"/>
        </w:rPr>
        <w:t>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7"/>
        </w:numPr>
        <w:shd w:val="clear" w:color="auto" w:fill="auto"/>
        <w:tabs>
          <w:tab w:pos="360" w:val="left"/>
        </w:tabs>
        <w:bidi w:val="0"/>
        <w:spacing w:before="0" w:after="200" w:line="240" w:lineRule="auto"/>
        <w:ind w:left="300" w:right="0" w:hanging="300"/>
        <w:jc w:val="both"/>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after="760" w:line="240" w:lineRule="auto"/>
        <w:ind w:left="0" w:right="0" w:firstLine="30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Celková smluvní cena bez DPH ……………..73 955,70 Kč</w:t>
      </w:r>
    </w:p>
    <w:p>
      <w:pPr>
        <w:pStyle w:val="Style2"/>
        <w:keepNext w:val="0"/>
        <w:keepLines w:val="0"/>
        <w:widowControl w:val="0"/>
        <w:numPr>
          <w:ilvl w:val="0"/>
          <w:numId w:val="7"/>
        </w:numPr>
        <w:shd w:val="clear" w:color="auto" w:fill="auto"/>
        <w:tabs>
          <w:tab w:pos="360" w:val="left"/>
        </w:tabs>
        <w:bidi w:val="0"/>
        <w:spacing w:before="0" w:after="500" w:line="240" w:lineRule="auto"/>
        <w:ind w:left="300" w:right="0" w:hanging="30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výslovně prohlašují, že touto smlouvou sjednaná cena za provedení díla není považována za skutečnost tvořící obchodní tajemství ve smyslu ustanovení § 504 zák. č. 89/2012 Sb. občanský zákoník v platném znění.</w:t>
      </w:r>
    </w:p>
    <w:p>
      <w:pPr>
        <w:pStyle w:val="Style9"/>
        <w:keepNext/>
        <w:keepLines/>
        <w:widowControl w:val="0"/>
        <w:shd w:val="clear" w:color="auto" w:fill="auto"/>
        <w:bidi w:val="0"/>
        <w:spacing w:before="0" w:after="200" w:line="288" w:lineRule="auto"/>
        <w:ind w:left="0" w:right="0" w:firstLine="0"/>
        <w:jc w:val="center"/>
      </w:pPr>
      <w:bookmarkStart w:id="36" w:name="bookmark36"/>
      <w:bookmarkStart w:id="37" w:name="bookmark37"/>
      <w:bookmarkStart w:id="38" w:name="bookmark38"/>
      <w:r>
        <w:rPr>
          <w:rFonts w:ascii="Times New Roman" w:eastAsia="Times New Roman" w:hAnsi="Times New Roman" w:cs="Times New Roman"/>
          <w:color w:val="000000"/>
          <w:spacing w:val="0"/>
          <w:w w:val="100"/>
          <w:position w:val="0"/>
          <w:sz w:val="24"/>
          <w:szCs w:val="24"/>
          <w:shd w:val="clear" w:color="auto" w:fill="auto"/>
          <w:lang w:val="cs-CZ" w:eastAsia="cs-CZ" w:bidi="cs-CZ"/>
        </w:rPr>
        <w:t>Čl. V. PLATEBNÍ PODMÍNKY</w:t>
      </w:r>
      <w:bookmarkEnd w:id="36"/>
      <w:bookmarkEnd w:id="37"/>
      <w:bookmarkEnd w:id="38"/>
    </w:p>
    <w:p>
      <w:pPr>
        <w:pStyle w:val="Style2"/>
        <w:keepNext w:val="0"/>
        <w:keepLines w:val="0"/>
        <w:widowControl w:val="0"/>
        <w:numPr>
          <w:ilvl w:val="0"/>
          <w:numId w:val="9"/>
        </w:numPr>
        <w:shd w:val="clear" w:color="auto" w:fill="auto"/>
        <w:tabs>
          <w:tab w:pos="360" w:val="left"/>
        </w:tabs>
        <w:bidi w:val="0"/>
        <w:spacing w:before="0" w:after="120" w:line="288" w:lineRule="auto"/>
        <w:ind w:left="0" w:right="0" w:firstLine="0"/>
        <w:jc w:val="both"/>
      </w:pPr>
      <w:bookmarkStart w:id="39" w:name="bookmark39"/>
      <w:bookmarkEnd w:id="39"/>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neposkytne zhotoviteli zálohu.</w:t>
      </w:r>
    </w:p>
    <w:p>
      <w:pPr>
        <w:pStyle w:val="Style2"/>
        <w:keepNext w:val="0"/>
        <w:keepLines w:val="0"/>
        <w:widowControl w:val="0"/>
        <w:numPr>
          <w:ilvl w:val="0"/>
          <w:numId w:val="9"/>
        </w:numPr>
        <w:shd w:val="clear" w:color="auto" w:fill="auto"/>
        <w:tabs>
          <w:tab w:pos="360" w:val="left"/>
        </w:tabs>
        <w:bidi w:val="0"/>
        <w:spacing w:before="0" w:after="200" w:line="240" w:lineRule="auto"/>
        <w:ind w:left="300" w:right="0" w:hanging="300"/>
        <w:jc w:val="both"/>
      </w:pPr>
      <w:bookmarkStart w:id="40" w:name="bookmark40"/>
      <w:bookmarkEnd w:id="40"/>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Cena díla bude hrazena na základě daňového dokladu po dokončení, předání a převzetí díla.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Daňový doklad je zhotovitel povinen vystavit nejpozději do 7 pracovních dnů ode dne uskutečnění zdanitelného plnění.</w:t>
      </w:r>
    </w:p>
    <w:p>
      <w:pPr>
        <w:pStyle w:val="Style2"/>
        <w:keepNext w:val="0"/>
        <w:keepLines w:val="0"/>
        <w:widowControl w:val="0"/>
        <w:numPr>
          <w:ilvl w:val="0"/>
          <w:numId w:val="9"/>
        </w:numPr>
        <w:shd w:val="clear" w:color="auto" w:fill="auto"/>
        <w:tabs>
          <w:tab w:pos="360" w:val="left"/>
        </w:tabs>
        <w:bidi w:val="0"/>
        <w:spacing w:before="0" w:after="120" w:line="240" w:lineRule="auto"/>
        <w:ind w:left="300" w:right="0" w:hanging="300"/>
        <w:jc w:val="both"/>
      </w:pPr>
      <w:bookmarkStart w:id="41" w:name="bookmark41"/>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Nedojde-li mezi oběma smluvními stranami k dohodě při odsouhlasení množství nebo druhu provedených prací, je zhotovitel oprávněn fakturovat pouze ty práce, dodávky a služby, u kterých nedošlo k rozporu.</w:t>
      </w:r>
    </w:p>
    <w:p>
      <w:pPr>
        <w:pStyle w:val="Style2"/>
        <w:keepNext w:val="0"/>
        <w:keepLines w:val="0"/>
        <w:widowControl w:val="0"/>
        <w:numPr>
          <w:ilvl w:val="0"/>
          <w:numId w:val="9"/>
        </w:numPr>
        <w:shd w:val="clear" w:color="auto" w:fill="auto"/>
        <w:tabs>
          <w:tab w:pos="360" w:val="left"/>
        </w:tabs>
        <w:bidi w:val="0"/>
        <w:spacing w:before="0" w:after="120" w:line="288" w:lineRule="auto"/>
        <w:ind w:left="300" w:right="0" w:hanging="300"/>
        <w:jc w:val="both"/>
      </w:pPr>
      <w:bookmarkStart w:id="42" w:name="bookmark42"/>
      <w:bookmarkEnd w:id="42"/>
      <w:r>
        <w:rPr>
          <w:rFonts w:ascii="Times New Roman" w:eastAsia="Times New Roman" w:hAnsi="Times New Roman" w:cs="Times New Roman"/>
          <w:color w:val="000000"/>
          <w:spacing w:val="0"/>
          <w:w w:val="100"/>
          <w:position w:val="0"/>
          <w:sz w:val="24"/>
          <w:szCs w:val="24"/>
          <w:shd w:val="clear" w:color="auto" w:fill="auto"/>
          <w:lang w:val="cs-CZ" w:eastAsia="cs-CZ" w:bidi="cs-CZ"/>
        </w:rPr>
        <w:t>Vyúčtování celkové smluvní ceny díla bude provedeno po dokončení, předání a převzetí díla. Daňový doklad musí obsahovat celkovou smluvní cenu dokončeného díla a platnou sazbu DPH.</w:t>
      </w:r>
    </w:p>
    <w:p>
      <w:pPr>
        <w:pStyle w:val="Style2"/>
        <w:keepNext w:val="0"/>
        <w:keepLines w:val="0"/>
        <w:widowControl w:val="0"/>
        <w:numPr>
          <w:ilvl w:val="0"/>
          <w:numId w:val="9"/>
        </w:numPr>
        <w:shd w:val="clear" w:color="auto" w:fill="auto"/>
        <w:tabs>
          <w:tab w:pos="360" w:val="left"/>
        </w:tabs>
        <w:bidi w:val="0"/>
        <w:spacing w:before="0" w:after="420" w:line="288" w:lineRule="auto"/>
        <w:ind w:left="0" w:right="0" w:firstLine="0"/>
        <w:jc w:val="both"/>
      </w:pPr>
      <w:bookmarkStart w:id="43" w:name="bookmark43"/>
      <w:bookmarkEnd w:id="43"/>
      <w:r>
        <w:rPr>
          <w:rFonts w:ascii="Times New Roman" w:eastAsia="Times New Roman" w:hAnsi="Times New Roman" w:cs="Times New Roman"/>
          <w:color w:val="000000"/>
          <w:spacing w:val="0"/>
          <w:w w:val="100"/>
          <w:position w:val="0"/>
          <w:sz w:val="24"/>
          <w:szCs w:val="24"/>
          <w:shd w:val="clear" w:color="auto" w:fill="auto"/>
          <w:lang w:val="cs-CZ" w:eastAsia="cs-CZ" w:bidi="cs-CZ"/>
        </w:rPr>
        <w:t>Datem uskutečnění zdanitelného plnění bude den předání a převzetí díla uvedený na předávacím a přejímacím protokolu. Protokol bude nedílnou součástí konečného daňového dokladu.</w:t>
      </w:r>
    </w:p>
    <w:p>
      <w:pPr>
        <w:pStyle w:val="Style2"/>
        <w:keepNext w:val="0"/>
        <w:keepLines w:val="0"/>
        <w:widowControl w:val="0"/>
        <w:numPr>
          <w:ilvl w:val="0"/>
          <w:numId w:val="9"/>
        </w:numPr>
        <w:shd w:val="clear" w:color="auto" w:fill="auto"/>
        <w:tabs>
          <w:tab w:pos="360" w:val="left"/>
        </w:tabs>
        <w:bidi w:val="0"/>
        <w:spacing w:before="0" w:after="120" w:line="288" w:lineRule="auto"/>
        <w:ind w:left="300" w:right="0" w:hanging="30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Všechny daňové doklady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pPr>
        <w:pStyle w:val="Style2"/>
        <w:keepNext w:val="0"/>
        <w:keepLines w:val="0"/>
        <w:widowControl w:val="0"/>
        <w:numPr>
          <w:ilvl w:val="0"/>
          <w:numId w:val="9"/>
        </w:numPr>
        <w:shd w:val="clear" w:color="auto" w:fill="auto"/>
        <w:tabs>
          <w:tab w:pos="360" w:val="left"/>
        </w:tabs>
        <w:bidi w:val="0"/>
        <w:spacing w:before="0" w:after="200" w:line="276" w:lineRule="auto"/>
        <w:ind w:left="300" w:right="0" w:hanging="300"/>
        <w:jc w:val="both"/>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Pokud zhotovitel nedodrží postup fakturace, a poruší tím režim přenesení daňové povinnosti na objednatele, v důsledku čehož dojde u objednatele k prodlení s odvodem DPH, zavazuje se zhotovitel zaplatit objednateli smluvní pokutu ve výši 1,5 násobku částky, která bude správcem daně vyměřena objednateli jako úrok z prodlení s odvodem DPH.</w:t>
      </w:r>
    </w:p>
    <w:p>
      <w:pPr>
        <w:pStyle w:val="Style2"/>
        <w:keepNext w:val="0"/>
        <w:keepLines w:val="0"/>
        <w:widowControl w:val="0"/>
        <w:numPr>
          <w:ilvl w:val="0"/>
          <w:numId w:val="9"/>
        </w:numPr>
        <w:shd w:val="clear" w:color="auto" w:fill="auto"/>
        <w:tabs>
          <w:tab w:pos="360" w:val="left"/>
        </w:tabs>
        <w:bidi w:val="0"/>
        <w:spacing w:before="0" w:after="120" w:line="288" w:lineRule="auto"/>
        <w:ind w:left="380" w:right="0" w:hanging="380"/>
        <w:jc w:val="both"/>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Zhotovitel na konečné faktuře uvede jako den splatnosti datum odpovídající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lhůtě splatnosti 30 dnů </w:t>
      </w:r>
      <w:r>
        <w:rPr>
          <w:rFonts w:ascii="Times New Roman" w:eastAsia="Times New Roman" w:hAnsi="Times New Roman" w:cs="Times New Roman"/>
          <w:color w:val="000000"/>
          <w:spacing w:val="0"/>
          <w:w w:val="100"/>
          <w:position w:val="0"/>
          <w:sz w:val="24"/>
          <w:szCs w:val="24"/>
          <w:shd w:val="clear" w:color="auto" w:fill="auto"/>
          <w:lang w:val="cs-CZ" w:eastAsia="cs-CZ" w:bidi="cs-CZ"/>
        </w:rPr>
        <w:t>od data doručení faktury.</w:t>
      </w:r>
    </w:p>
    <w:p>
      <w:pPr>
        <w:pStyle w:val="Style2"/>
        <w:keepNext w:val="0"/>
        <w:keepLines w:val="0"/>
        <w:widowControl w:val="0"/>
        <w:numPr>
          <w:ilvl w:val="0"/>
          <w:numId w:val="9"/>
        </w:numPr>
        <w:shd w:val="clear" w:color="auto" w:fill="auto"/>
        <w:tabs>
          <w:tab w:pos="360" w:val="left"/>
        </w:tabs>
        <w:bidi w:val="0"/>
        <w:spacing w:before="0" w:after="400" w:line="288" w:lineRule="auto"/>
        <w:ind w:left="380" w:right="0" w:hanging="380"/>
        <w:jc w:val="both"/>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Peněžitý závazek (dluh) objednatele se považuje za splněný v den, kdy je dlužná částka připsána na účet zhotovitele.</w:t>
      </w:r>
    </w:p>
    <w:p>
      <w:pPr>
        <w:pStyle w:val="Style9"/>
        <w:keepNext/>
        <w:keepLines/>
        <w:widowControl w:val="0"/>
        <w:shd w:val="clear" w:color="auto" w:fill="auto"/>
        <w:bidi w:val="0"/>
        <w:spacing w:before="0" w:line="240" w:lineRule="auto"/>
        <w:ind w:left="0" w:right="0" w:firstLine="0"/>
        <w:jc w:val="center"/>
      </w:pPr>
      <w:bookmarkStart w:id="48" w:name="bookmark48"/>
      <w:bookmarkStart w:id="49" w:name="bookmark49"/>
      <w:bookmarkStart w:id="50" w:name="bookmark50"/>
      <w:r>
        <w:rPr>
          <w:rFonts w:ascii="Times New Roman" w:eastAsia="Times New Roman" w:hAnsi="Times New Roman" w:cs="Times New Roman"/>
          <w:color w:val="000000"/>
          <w:spacing w:val="0"/>
          <w:w w:val="100"/>
          <w:position w:val="0"/>
          <w:sz w:val="24"/>
          <w:szCs w:val="24"/>
          <w:shd w:val="clear" w:color="auto" w:fill="auto"/>
          <w:lang w:val="cs-CZ" w:eastAsia="cs-CZ" w:bidi="cs-CZ"/>
        </w:rPr>
        <w:t>Čl. VI. SANKCE</w:t>
      </w:r>
      <w:bookmarkEnd w:id="48"/>
      <w:bookmarkEnd w:id="49"/>
      <w:bookmarkEnd w:id="50"/>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51" w:name="bookmark51"/>
      <w:bookmarkEnd w:id="51"/>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zhotovitel v prodlení proti termínu předání a převzetí díla sjednanému podle smlouvy, je povinen zaplatit objednateli smluvní pokutu ve výši 0,3 % z ceny díla za každý i započatý den prodlení.</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52" w:name="bookmark52"/>
      <w:bookmarkEnd w:id="52"/>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53" w:name="bookmark53"/>
      <w:bookmarkEnd w:id="53"/>
      <w:r>
        <w:rPr>
          <w:rFonts w:ascii="Times New Roman" w:eastAsia="Times New Roman" w:hAnsi="Times New Roman" w:cs="Times New Roman"/>
          <w:color w:val="000000"/>
          <w:spacing w:val="0"/>
          <w:w w:val="100"/>
          <w:position w:val="0"/>
          <w:sz w:val="24"/>
          <w:szCs w:val="24"/>
          <w:shd w:val="clear" w:color="auto" w:fill="auto"/>
          <w:lang w:val="cs-CZ" w:eastAsia="cs-CZ" w:bidi="cs-CZ"/>
        </w:rPr>
        <w:t>Pokud bude objednatel v prodlení s úhradou faktury proti sjednanému termínu je povinen zaplatit zhotoviteli úrok z prodlení ve výši 0,3 % z dlužné částky za každý i započatý den prodlení.</w:t>
      </w:r>
    </w:p>
    <w:p>
      <w:pPr>
        <w:pStyle w:val="Style2"/>
        <w:keepNext w:val="0"/>
        <w:keepLines w:val="0"/>
        <w:widowControl w:val="0"/>
        <w:numPr>
          <w:ilvl w:val="0"/>
          <w:numId w:val="11"/>
        </w:numPr>
        <w:shd w:val="clear" w:color="auto" w:fill="auto"/>
        <w:tabs>
          <w:tab w:pos="360" w:val="left"/>
        </w:tabs>
        <w:bidi w:val="0"/>
        <w:spacing w:before="0" w:line="240" w:lineRule="auto"/>
        <w:ind w:left="380" w:right="0" w:hanging="380"/>
        <w:jc w:val="both"/>
      </w:pPr>
      <w:bookmarkStart w:id="54" w:name="bookmark54"/>
      <w:bookmarkEnd w:id="54"/>
      <w:r>
        <w:rPr>
          <w:rFonts w:ascii="Times New Roman" w:eastAsia="Times New Roman" w:hAnsi="Times New Roman" w:cs="Times New Roman"/>
          <w:color w:val="000000"/>
          <w:spacing w:val="0"/>
          <w:w w:val="100"/>
          <w:position w:val="0"/>
          <w:sz w:val="24"/>
          <w:szCs w:val="24"/>
          <w:shd w:val="clear" w:color="auto" w:fill="auto"/>
          <w:lang w:val="cs-CZ" w:eastAsia="cs-CZ" w:bidi="cs-CZ"/>
        </w:rPr>
        <w:t>Pro zajištění úhrady oprávněných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1"/>
        </w:numPr>
        <w:shd w:val="clear" w:color="auto" w:fill="auto"/>
        <w:tabs>
          <w:tab w:pos="360" w:val="left"/>
        </w:tabs>
        <w:bidi w:val="0"/>
        <w:spacing w:before="0" w:line="240" w:lineRule="auto"/>
        <w:ind w:left="0" w:right="0" w:firstLine="0"/>
        <w:jc w:val="both"/>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Splatnost sankcí uvedených v této smlouvě nastává okamžikem jejich vzniku.</w:t>
      </w:r>
    </w:p>
    <w:p>
      <w:pPr>
        <w:pStyle w:val="Style2"/>
        <w:keepNext w:val="0"/>
        <w:keepLines w:val="0"/>
        <w:widowControl w:val="0"/>
        <w:numPr>
          <w:ilvl w:val="0"/>
          <w:numId w:val="11"/>
        </w:numPr>
        <w:shd w:val="clear" w:color="auto" w:fill="auto"/>
        <w:tabs>
          <w:tab w:pos="360" w:val="left"/>
        </w:tabs>
        <w:bidi w:val="0"/>
        <w:spacing w:before="0" w:after="500" w:line="240" w:lineRule="auto"/>
        <w:ind w:left="380" w:right="0" w:hanging="380"/>
        <w:jc w:val="both"/>
      </w:pPr>
      <w:bookmarkStart w:id="56" w:name="bookmark56"/>
      <w:bookmarkEnd w:id="56"/>
      <w:r>
        <w:rPr>
          <w:rFonts w:ascii="Times New Roman" w:eastAsia="Times New Roman" w:hAnsi="Times New Roman" w:cs="Times New Roman"/>
          <w:color w:val="000000"/>
          <w:spacing w:val="0"/>
          <w:w w:val="100"/>
          <w:position w:val="0"/>
          <w:sz w:val="24"/>
          <w:szCs w:val="24"/>
          <w:shd w:val="clear" w:color="auto" w:fill="auto"/>
          <w:lang w:val="cs-CZ" w:eastAsia="cs-CZ" w:bidi="cs-CZ"/>
        </w:rPr>
        <w:t>Zaplacení smluvní pokuty nemá vliv na vznik práva na náhradu škody v důsledku porušení povinností zhotovitele vyplývajících z této smlouvy.</w:t>
      </w:r>
    </w:p>
    <w:p>
      <w:pPr>
        <w:pStyle w:val="Style9"/>
        <w:keepNext/>
        <w:keepLines/>
        <w:widowControl w:val="0"/>
        <w:shd w:val="clear" w:color="auto" w:fill="auto"/>
        <w:bidi w:val="0"/>
        <w:spacing w:before="0" w:line="240" w:lineRule="auto"/>
        <w:ind w:left="0" w:right="0" w:firstLine="0"/>
        <w:jc w:val="center"/>
      </w:pPr>
      <w:bookmarkStart w:id="57" w:name="bookmark57"/>
      <w:bookmarkStart w:id="58" w:name="bookmark58"/>
      <w:bookmarkStart w:id="59" w:name="bookmark59"/>
      <w:r>
        <w:rPr>
          <w:rFonts w:ascii="Times New Roman" w:eastAsia="Times New Roman" w:hAnsi="Times New Roman" w:cs="Times New Roman"/>
          <w:color w:val="000000"/>
          <w:spacing w:val="0"/>
          <w:w w:val="100"/>
          <w:position w:val="0"/>
          <w:sz w:val="24"/>
          <w:szCs w:val="24"/>
          <w:shd w:val="clear" w:color="auto" w:fill="auto"/>
          <w:lang w:val="cs-CZ" w:eastAsia="cs-CZ" w:bidi="cs-CZ"/>
        </w:rPr>
        <w:t>Čl. VII. ZAJIŠTĚNÍ ZÁVAZKU, ZÁRUKA</w:t>
      </w:r>
      <w:bookmarkEnd w:id="57"/>
      <w:bookmarkEnd w:id="58"/>
      <w:bookmarkEnd w:id="59"/>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60" w:name="bookmark60"/>
      <w:bookmarkEnd w:id="60"/>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Po ukončení prací bude dílo předáno bez vad a nedodělků. Záruční doba se sjednává na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60 měsíců </w:t>
      </w:r>
      <w:r>
        <w:rPr>
          <w:rFonts w:ascii="Times New Roman" w:eastAsia="Times New Roman" w:hAnsi="Times New Roman" w:cs="Times New Roman"/>
          <w:color w:val="000000"/>
          <w:spacing w:val="0"/>
          <w:w w:val="100"/>
          <w:position w:val="0"/>
          <w:sz w:val="24"/>
          <w:szCs w:val="24"/>
          <w:shd w:val="clear" w:color="auto" w:fill="auto"/>
          <w:lang w:val="cs-CZ" w:eastAsia="cs-CZ" w:bidi="cs-CZ"/>
        </w:rPr>
        <w:t>ode dne předání a převzetí díla objednatelem.</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61" w:name="bookmark61"/>
      <w:bookmarkEnd w:id="61"/>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povinen nejpozději do 14-ti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30-ti dnů ode dne obdržení reklamace. Současně zhotovitel písemně navrhne, do kterého termínu vadu odstraní.</w:t>
      </w:r>
    </w:p>
    <w:p>
      <w:pPr>
        <w:pStyle w:val="Style2"/>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62" w:name="bookmark62"/>
      <w:bookmarkEnd w:id="62"/>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je povinen nastoupit neprodleně k odstranění reklamované vady, nejpozději však do 30-ti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pPr>
        <w:pStyle w:val="Style2"/>
        <w:keepNext w:val="0"/>
        <w:keepLines w:val="0"/>
        <w:widowControl w:val="0"/>
        <w:numPr>
          <w:ilvl w:val="0"/>
          <w:numId w:val="13"/>
        </w:numPr>
        <w:shd w:val="clear" w:color="auto" w:fill="auto"/>
        <w:tabs>
          <w:tab w:pos="378" w:val="left"/>
        </w:tabs>
        <w:bidi w:val="0"/>
        <w:spacing w:before="0" w:after="380" w:line="293" w:lineRule="auto"/>
        <w:ind w:left="380" w:right="0" w:hanging="380"/>
        <w:jc w:val="both"/>
      </w:pPr>
      <w:bookmarkStart w:id="63" w:name="bookmark63"/>
      <w:bookmarkEnd w:id="63"/>
      <w:r>
        <w:rPr>
          <w:rFonts w:ascii="Times New Roman" w:eastAsia="Times New Roman" w:hAnsi="Times New Roman" w:cs="Times New Roman"/>
          <w:color w:val="000000"/>
          <w:spacing w:val="0"/>
          <w:w w:val="100"/>
          <w:position w:val="0"/>
          <w:sz w:val="24"/>
          <w:szCs w:val="24"/>
          <w:shd w:val="clear" w:color="auto" w:fill="auto"/>
          <w:lang w:val="cs-CZ" w:eastAsia="cs-CZ" w:bidi="cs-CZ"/>
        </w:rPr>
        <w:t>Pokud zhotovitel nenastoupí k provedení díla do 15-ti dnů od termínu zahájení díla, může objednatel odstoupit od smlouvy.</w:t>
      </w:r>
    </w:p>
    <w:p>
      <w:pPr>
        <w:pStyle w:val="Style9"/>
        <w:keepNext/>
        <w:keepLines/>
        <w:widowControl w:val="0"/>
        <w:shd w:val="clear" w:color="auto" w:fill="auto"/>
        <w:bidi w:val="0"/>
        <w:spacing w:before="0" w:line="240" w:lineRule="auto"/>
        <w:ind w:left="0" w:right="0" w:firstLine="0"/>
        <w:jc w:val="center"/>
      </w:pPr>
      <w:bookmarkStart w:id="64" w:name="bookmark64"/>
      <w:bookmarkStart w:id="65" w:name="bookmark65"/>
      <w:bookmarkStart w:id="66" w:name="bookmark66"/>
      <w:r>
        <w:rPr>
          <w:rFonts w:ascii="Times New Roman" w:eastAsia="Times New Roman" w:hAnsi="Times New Roman" w:cs="Times New Roman"/>
          <w:color w:val="000000"/>
          <w:spacing w:val="0"/>
          <w:w w:val="100"/>
          <w:position w:val="0"/>
          <w:sz w:val="24"/>
          <w:szCs w:val="24"/>
          <w:shd w:val="clear" w:color="auto" w:fill="auto"/>
          <w:lang w:val="cs-CZ" w:eastAsia="cs-CZ" w:bidi="cs-CZ"/>
        </w:rPr>
        <w:t>Čl. VIII. NÁHRADA ŠKODY</w:t>
      </w:r>
      <w:bookmarkEnd w:id="64"/>
      <w:bookmarkEnd w:id="65"/>
      <w:bookmarkEnd w:id="66"/>
    </w:p>
    <w:p>
      <w:pPr>
        <w:pStyle w:val="Style2"/>
        <w:keepNext w:val="0"/>
        <w:keepLines w:val="0"/>
        <w:widowControl w:val="0"/>
        <w:numPr>
          <w:ilvl w:val="0"/>
          <w:numId w:val="15"/>
        </w:numPr>
        <w:shd w:val="clear" w:color="auto" w:fill="auto"/>
        <w:tabs>
          <w:tab w:pos="378" w:val="left"/>
        </w:tabs>
        <w:bidi w:val="0"/>
        <w:spacing w:before="0" w:line="240" w:lineRule="auto"/>
        <w:ind w:left="380" w:right="0" w:hanging="380"/>
        <w:jc w:val="both"/>
      </w:pPr>
      <w:bookmarkStart w:id="67" w:name="bookmark67"/>
      <w:bookmarkEnd w:id="67"/>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5"/>
        </w:numPr>
        <w:shd w:val="clear" w:color="auto" w:fill="auto"/>
        <w:tabs>
          <w:tab w:pos="378" w:val="left"/>
        </w:tabs>
        <w:bidi w:val="0"/>
        <w:spacing w:before="0" w:after="460" w:line="240" w:lineRule="auto"/>
        <w:ind w:left="380" w:right="0" w:hanging="380"/>
        <w:jc w:val="both"/>
      </w:pPr>
      <w:bookmarkStart w:id="68" w:name="bookmark68"/>
      <w:bookmarkEnd w:id="68"/>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9"/>
        <w:keepNext/>
        <w:keepLines/>
        <w:widowControl w:val="0"/>
        <w:shd w:val="clear" w:color="auto" w:fill="auto"/>
        <w:bidi w:val="0"/>
        <w:spacing w:before="0" w:after="320" w:line="240" w:lineRule="auto"/>
        <w:ind w:left="0" w:right="0" w:firstLine="0"/>
        <w:jc w:val="center"/>
      </w:pPr>
      <w:bookmarkStart w:id="69" w:name="bookmark69"/>
      <w:bookmarkStart w:id="70" w:name="bookmark70"/>
      <w:bookmarkStart w:id="71" w:name="bookmark71"/>
      <w:r>
        <w:rPr>
          <w:rFonts w:ascii="Times New Roman" w:eastAsia="Times New Roman" w:hAnsi="Times New Roman" w:cs="Times New Roman"/>
          <w:color w:val="000000"/>
          <w:spacing w:val="0"/>
          <w:w w:val="100"/>
          <w:position w:val="0"/>
          <w:sz w:val="24"/>
          <w:szCs w:val="24"/>
          <w:shd w:val="clear" w:color="auto" w:fill="auto"/>
          <w:lang w:val="cs-CZ" w:eastAsia="cs-CZ" w:bidi="cs-CZ"/>
        </w:rPr>
        <w:t>Čl. IX. OSTATNÍ USTANOVENÍ</w:t>
      </w:r>
      <w:bookmarkEnd w:id="69"/>
      <w:bookmarkEnd w:id="70"/>
      <w:bookmarkEnd w:id="71"/>
    </w:p>
    <w:p>
      <w:pPr>
        <w:pStyle w:val="Style2"/>
        <w:keepNext w:val="0"/>
        <w:keepLines w:val="0"/>
        <w:widowControl w:val="0"/>
        <w:numPr>
          <w:ilvl w:val="0"/>
          <w:numId w:val="17"/>
        </w:numPr>
        <w:shd w:val="clear" w:color="auto" w:fill="auto"/>
        <w:tabs>
          <w:tab w:pos="378" w:val="left"/>
        </w:tabs>
        <w:bidi w:val="0"/>
        <w:spacing w:before="0" w:line="240" w:lineRule="auto"/>
        <w:ind w:left="380" w:right="0" w:hanging="380"/>
        <w:jc w:val="both"/>
      </w:pPr>
      <w:bookmarkStart w:id="72" w:name="bookmark72"/>
      <w:bookmarkEnd w:id="72"/>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17"/>
        </w:numPr>
        <w:shd w:val="clear" w:color="auto" w:fill="auto"/>
        <w:tabs>
          <w:tab w:pos="378" w:val="left"/>
        </w:tabs>
        <w:bidi w:val="0"/>
        <w:spacing w:before="0" w:after="0" w:line="240" w:lineRule="auto"/>
        <w:ind w:left="0" w:right="0" w:firstLine="0"/>
        <w:jc w:val="both"/>
      </w:pPr>
      <w:bookmarkStart w:id="73" w:name="bookmark73"/>
      <w:bookmarkEnd w:id="73"/>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umožní:</w:t>
      </w:r>
    </w:p>
    <w:p>
      <w:pPr>
        <w:pStyle w:val="Style2"/>
        <w:keepNext w:val="0"/>
        <w:keepLines w:val="0"/>
        <w:widowControl w:val="0"/>
        <w:shd w:val="clear" w:color="auto" w:fill="auto"/>
        <w:bidi w:val="0"/>
        <w:spacing w:before="0" w:line="240" w:lineRule="auto"/>
        <w:ind w:left="380" w:right="0" w:firstLine="0"/>
        <w:jc w:val="both"/>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:napojení na vnitřní rozvody elektro 230V a uložení materiálu a nářadí v uzamykatelném prostoru.)</w:t>
      </w:r>
    </w:p>
    <w:p>
      <w:pPr>
        <w:pStyle w:val="Style9"/>
        <w:keepNext/>
        <w:keepLines/>
        <w:widowControl w:val="0"/>
        <w:shd w:val="clear" w:color="auto" w:fill="auto"/>
        <w:bidi w:val="0"/>
        <w:spacing w:before="0" w:line="240" w:lineRule="auto"/>
        <w:ind w:left="0" w:right="0" w:firstLine="0"/>
        <w:jc w:val="center"/>
      </w:pPr>
      <w:bookmarkStart w:id="74" w:name="bookmark74"/>
      <w:bookmarkStart w:id="75" w:name="bookmark75"/>
      <w:bookmarkStart w:id="76" w:name="bookmark76"/>
      <w:r>
        <w:rPr>
          <w:rFonts w:ascii="Times New Roman" w:eastAsia="Times New Roman" w:hAnsi="Times New Roman" w:cs="Times New Roman"/>
          <w:color w:val="000000"/>
          <w:spacing w:val="0"/>
          <w:w w:val="100"/>
          <w:position w:val="0"/>
          <w:sz w:val="24"/>
          <w:szCs w:val="24"/>
          <w:shd w:val="clear" w:color="auto" w:fill="auto"/>
          <w:lang w:val="cs-CZ" w:eastAsia="cs-CZ" w:bidi="cs-CZ"/>
        </w:rPr>
        <w:t>Čl. X. COMPLIANCE DOLOŽKA</w:t>
      </w:r>
      <w:bookmarkEnd w:id="74"/>
      <w:bookmarkEnd w:id="75"/>
      <w:bookmarkEnd w:id="76"/>
    </w:p>
    <w:p>
      <w:pPr>
        <w:pStyle w:val="Style2"/>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77" w:name="bookmark77"/>
      <w:bookmarkEnd w:id="7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78" w:name="bookmark78"/>
      <w:bookmarkEnd w:id="7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9"/>
        </w:numPr>
        <w:shd w:val="clear" w:color="auto" w:fill="auto"/>
        <w:tabs>
          <w:tab w:pos="378" w:val="left"/>
        </w:tabs>
        <w:bidi w:val="0"/>
        <w:spacing w:before="0" w:after="0" w:line="240" w:lineRule="auto"/>
        <w:ind w:left="0" w:right="0" w:firstLine="0"/>
        <w:jc w:val="both"/>
      </w:pPr>
      <w:bookmarkStart w:id="79" w:name="bookmark79"/>
      <w:bookmarkEnd w:id="79"/>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prohlašuje, že se seznámil se zásadami, hodnotami a cíli Compliance programu</w:t>
      </w:r>
    </w:p>
    <w:p>
      <w:pPr>
        <w:pStyle w:val="Style2"/>
        <w:keepNext w:val="0"/>
        <w:keepLines w:val="0"/>
        <w:widowControl w:val="0"/>
        <w:shd w:val="clear" w:color="auto" w:fill="auto"/>
        <w:tabs>
          <w:tab w:pos="2458" w:val="left"/>
          <w:tab w:pos="4786" w:val="left"/>
          <w:tab w:pos="6725" w:val="left"/>
          <w:tab w:pos="8688"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w:t>
        <w:tab/>
        <w:t>Ohře,</w:t>
        <w:tab/>
        <w:t>s.</w:t>
        <w:tab/>
        <w:t>p.</w:t>
        <w:tab/>
        <w:t>(viz</w:t>
      </w:r>
    </w:p>
    <w:p>
      <w:pPr>
        <w:pStyle w:val="Style2"/>
        <w:keepNext w:val="0"/>
        <w:keepLines w:val="0"/>
        <w:widowControl w:val="0"/>
        <w:shd w:val="clear" w:color="auto" w:fill="auto"/>
        <w:bidi w:val="0"/>
        <w:spacing w:before="0" w:line="240" w:lineRule="auto"/>
        <w:ind w:left="0" w:right="0" w:firstLine="0"/>
        <w:jc w:val="both"/>
      </w:pP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http://www.poh.cz/protikorupcni-a-compliance-program/d-1346/p1=1458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378" w:val="left"/>
        </w:tabs>
        <w:bidi w:val="0"/>
        <w:spacing w:before="0" w:line="240" w:lineRule="auto"/>
        <w:ind w:left="0" w:right="0" w:firstLine="0"/>
        <w:jc w:val="both"/>
      </w:pPr>
      <w:bookmarkStart w:id="80" w:name="bookmark80"/>
      <w:bookmarkEnd w:id="8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keepLines/>
        <w:widowControl w:val="0"/>
        <w:shd w:val="clear" w:color="auto" w:fill="auto"/>
        <w:bidi w:val="0"/>
        <w:spacing w:before="0" w:line="240" w:lineRule="auto"/>
        <w:ind w:left="0" w:right="0" w:firstLine="0"/>
        <w:jc w:val="center"/>
      </w:pPr>
      <w:bookmarkStart w:id="81" w:name="bookmark81"/>
      <w:bookmarkStart w:id="82" w:name="bookmark82"/>
      <w:bookmarkStart w:id="83" w:name="bookmark83"/>
      <w:r>
        <w:rPr>
          <w:rFonts w:ascii="Times New Roman" w:eastAsia="Times New Roman" w:hAnsi="Times New Roman" w:cs="Times New Roman"/>
          <w:color w:val="000000"/>
          <w:spacing w:val="0"/>
          <w:w w:val="100"/>
          <w:position w:val="0"/>
          <w:sz w:val="24"/>
          <w:szCs w:val="24"/>
          <w:shd w:val="clear" w:color="auto" w:fill="auto"/>
          <w:lang w:val="cs-CZ" w:eastAsia="cs-CZ" w:bidi="cs-CZ"/>
        </w:rPr>
        <w:t>Čl. XI. Ochrana a zpracování osobních údajů</w:t>
      </w:r>
      <w:bookmarkEnd w:id="81"/>
      <w:bookmarkEnd w:id="82"/>
      <w:bookmarkEnd w:id="83"/>
    </w:p>
    <w:p>
      <w:pPr>
        <w:pStyle w:val="Style2"/>
        <w:keepNext w:val="0"/>
        <w:keepLines w:val="0"/>
        <w:widowControl w:val="0"/>
        <w:shd w:val="clear" w:color="auto" w:fill="auto"/>
        <w:bidi w:val="0"/>
        <w:spacing w:before="0" w:after="3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http://www.poh.cz/informace-o-zpracovani-osobnich-udaju/d-</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1369/p1=1459</w:t>
      </w:r>
      <w:r>
        <w:fldChar w:fldCharType="end"/>
      </w:r>
    </w:p>
    <w:p>
      <w:pPr>
        <w:pStyle w:val="Style9"/>
        <w:keepNext/>
        <w:keepLines/>
        <w:widowControl w:val="0"/>
        <w:shd w:val="clear" w:color="auto" w:fill="auto"/>
        <w:bidi w:val="0"/>
        <w:spacing w:before="0" w:after="340" w:line="240" w:lineRule="auto"/>
        <w:ind w:left="0" w:right="0" w:firstLine="0"/>
        <w:jc w:val="center"/>
      </w:pPr>
      <w:bookmarkStart w:id="84" w:name="bookmark84"/>
      <w:bookmarkStart w:id="85" w:name="bookmark85"/>
      <w:bookmarkStart w:id="86" w:name="bookmark86"/>
      <w:r>
        <w:rPr>
          <w:rFonts w:ascii="Times New Roman" w:eastAsia="Times New Roman" w:hAnsi="Times New Roman" w:cs="Times New Roman"/>
          <w:color w:val="000000"/>
          <w:spacing w:val="0"/>
          <w:w w:val="100"/>
          <w:position w:val="0"/>
          <w:sz w:val="24"/>
          <w:szCs w:val="24"/>
          <w:shd w:val="clear" w:color="auto" w:fill="auto"/>
          <w:lang w:val="cs-CZ" w:eastAsia="cs-CZ" w:bidi="cs-CZ"/>
        </w:rPr>
        <w:t>Čl. XII. ZÁVĚREČNÁ USTANOVENÍ</w:t>
      </w:r>
      <w:bookmarkEnd w:id="84"/>
      <w:bookmarkEnd w:id="85"/>
      <w:bookmarkEnd w:id="86"/>
    </w:p>
    <w:p>
      <w:pPr>
        <w:pStyle w:val="Style2"/>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87" w:name="bookmark87"/>
      <w:bookmarkEnd w:id="87"/>
      <w:r>
        <w:rPr>
          <w:rFonts w:ascii="Times New Roman" w:eastAsia="Times New Roman" w:hAnsi="Times New Roman" w:cs="Times New Roman"/>
          <w:color w:val="000000"/>
          <w:spacing w:val="0"/>
          <w:w w:val="100"/>
          <w:position w:val="0"/>
          <w:sz w:val="24"/>
          <w:szCs w:val="24"/>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1"/>
        </w:numPr>
        <w:shd w:val="clear" w:color="auto" w:fill="auto"/>
        <w:tabs>
          <w:tab w:pos="372" w:val="left"/>
        </w:tabs>
        <w:bidi w:val="0"/>
        <w:spacing w:before="0" w:line="288" w:lineRule="auto"/>
        <w:ind w:left="380" w:right="0" w:hanging="380"/>
        <w:jc w:val="both"/>
      </w:pPr>
      <w:bookmarkStart w:id="88" w:name="bookmark88"/>
      <w:bookmarkEnd w:id="8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pPr>
        <w:pStyle w:val="Style2"/>
        <w:keepNext w:val="0"/>
        <w:keepLines w:val="0"/>
        <w:widowControl w:val="0"/>
        <w:numPr>
          <w:ilvl w:val="0"/>
          <w:numId w:val="21"/>
        </w:numPr>
        <w:shd w:val="clear" w:color="auto" w:fill="auto"/>
        <w:tabs>
          <w:tab w:pos="372" w:val="left"/>
        </w:tabs>
        <w:bidi w:val="0"/>
        <w:spacing w:before="0" w:after="140" w:line="240" w:lineRule="auto"/>
        <w:ind w:left="0" w:right="0" w:firstLine="0"/>
        <w:jc w:val="left"/>
      </w:pPr>
      <w:bookmarkStart w:id="89" w:name="bookmark89"/>
      <w:bookmarkEnd w:id="89"/>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90" w:name="bookmark90"/>
      <w:bookmarkEnd w:id="90"/>
      <w:r>
        <w:rPr>
          <w:rFonts w:ascii="Times New Roman" w:eastAsia="Times New Roman" w:hAnsi="Times New Roman" w:cs="Times New Roman"/>
          <w:color w:val="000000"/>
          <w:spacing w:val="0"/>
          <w:w w:val="100"/>
          <w:position w:val="0"/>
          <w:sz w:val="24"/>
          <w:szCs w:val="24"/>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předloženy příslušnému soudu.</w:t>
      </w:r>
    </w:p>
    <w:p>
      <w:pPr>
        <w:pStyle w:val="Style2"/>
        <w:keepNext w:val="0"/>
        <w:keepLines w:val="0"/>
        <w:widowControl w:val="0"/>
        <w:numPr>
          <w:ilvl w:val="0"/>
          <w:numId w:val="21"/>
        </w:numPr>
        <w:shd w:val="clear" w:color="auto" w:fill="auto"/>
        <w:tabs>
          <w:tab w:pos="372" w:val="left"/>
        </w:tabs>
        <w:bidi w:val="0"/>
        <w:spacing w:before="0" w:after="0" w:line="240" w:lineRule="auto"/>
        <w:ind w:left="380" w:right="0" w:hanging="380"/>
        <w:jc w:val="both"/>
      </w:pPr>
      <w:bookmarkStart w:id="91" w:name="bookmark91"/>
      <w:bookmarkEnd w:id="91"/>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 je oprávněn odstoupit od smlouvy při podstatném porušení smlouvy zhotovitelem, a to zejména při:</w:t>
      </w:r>
    </w:p>
    <w:p>
      <w:pPr>
        <w:pStyle w:val="Style2"/>
        <w:keepNext w:val="0"/>
        <w:keepLines w:val="0"/>
        <w:widowControl w:val="0"/>
        <w:numPr>
          <w:ilvl w:val="0"/>
          <w:numId w:val="23"/>
        </w:numPr>
        <w:shd w:val="clear" w:color="auto" w:fill="auto"/>
        <w:tabs>
          <w:tab w:pos="740" w:val="left"/>
        </w:tabs>
        <w:bidi w:val="0"/>
        <w:spacing w:before="0" w:after="0" w:line="240" w:lineRule="auto"/>
        <w:ind w:left="0" w:right="0" w:firstLine="380"/>
        <w:jc w:val="both"/>
      </w:pPr>
      <w:bookmarkStart w:id="92" w:name="bookmark92"/>
      <w:bookmarkEnd w:id="92"/>
      <w:r>
        <w:rPr>
          <w:rFonts w:ascii="Times New Roman" w:eastAsia="Times New Roman" w:hAnsi="Times New Roman" w:cs="Times New Roman"/>
          <w:color w:val="000000"/>
          <w:spacing w:val="0"/>
          <w:w w:val="100"/>
          <w:position w:val="0"/>
          <w:sz w:val="24"/>
          <w:szCs w:val="24"/>
          <w:shd w:val="clear" w:color="auto" w:fill="auto"/>
          <w:lang w:val="cs-CZ" w:eastAsia="cs-CZ" w:bidi="cs-CZ"/>
        </w:rPr>
        <w:t>prodlení zhotovitele se splněním termínu předání díla,</w:t>
      </w:r>
    </w:p>
    <w:p>
      <w:pPr>
        <w:pStyle w:val="Style2"/>
        <w:keepNext w:val="0"/>
        <w:keepLines w:val="0"/>
        <w:widowControl w:val="0"/>
        <w:numPr>
          <w:ilvl w:val="0"/>
          <w:numId w:val="23"/>
        </w:numPr>
        <w:shd w:val="clear" w:color="auto" w:fill="auto"/>
        <w:tabs>
          <w:tab w:pos="752" w:val="left"/>
        </w:tabs>
        <w:bidi w:val="0"/>
        <w:spacing w:before="0" w:after="0" w:line="240" w:lineRule="auto"/>
        <w:ind w:left="0" w:right="0" w:firstLine="380"/>
        <w:jc w:val="both"/>
      </w:pPr>
      <w:bookmarkStart w:id="93" w:name="bookmark93"/>
      <w:bookmarkEnd w:id="93"/>
      <w:r>
        <w:rPr>
          <w:rFonts w:ascii="Times New Roman" w:eastAsia="Times New Roman" w:hAnsi="Times New Roman" w:cs="Times New Roman"/>
          <w:color w:val="000000"/>
          <w:spacing w:val="0"/>
          <w:w w:val="100"/>
          <w:position w:val="0"/>
          <w:sz w:val="24"/>
          <w:szCs w:val="24"/>
          <w:shd w:val="clear" w:color="auto" w:fill="auto"/>
          <w:lang w:val="cs-CZ" w:eastAsia="cs-CZ" w:bidi="cs-CZ"/>
        </w:rPr>
        <w:t>bezdůvodném přerušení prací zhotovitelem, které trvá více než 14 dnů,</w:t>
      </w:r>
    </w:p>
    <w:p>
      <w:pPr>
        <w:pStyle w:val="Style2"/>
        <w:keepNext w:val="0"/>
        <w:keepLines w:val="0"/>
        <w:widowControl w:val="0"/>
        <w:numPr>
          <w:ilvl w:val="0"/>
          <w:numId w:val="23"/>
        </w:numPr>
        <w:shd w:val="clear" w:color="auto" w:fill="auto"/>
        <w:tabs>
          <w:tab w:pos="752" w:val="left"/>
        </w:tabs>
        <w:bidi w:val="0"/>
        <w:spacing w:before="0" w:line="240" w:lineRule="auto"/>
        <w:ind w:left="740" w:right="0" w:hanging="360"/>
        <w:jc w:val="both"/>
      </w:pPr>
      <w:bookmarkStart w:id="94" w:name="bookmark94"/>
      <w:bookmarkEnd w:id="94"/>
      <w:r>
        <w:rPr>
          <w:rFonts w:ascii="Times New Roman" w:eastAsia="Times New Roman" w:hAnsi="Times New Roman" w:cs="Times New Roman"/>
          <w:color w:val="000000"/>
          <w:spacing w:val="0"/>
          <w:w w:val="100"/>
          <w:position w:val="0"/>
          <w:sz w:val="24"/>
          <w:szCs w:val="24"/>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pPr>
        <w:pStyle w:val="Style2"/>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95" w:name="bookmark95"/>
      <w:bookmarkEnd w:id="95"/>
      <w:r>
        <w:rPr>
          <w:rFonts w:ascii="Times New Roman" w:eastAsia="Times New Roman" w:hAnsi="Times New Roman" w:cs="Times New Roman"/>
          <w:color w:val="000000"/>
          <w:spacing w:val="0"/>
          <w:w w:val="100"/>
          <w:position w:val="0"/>
          <w:sz w:val="24"/>
          <w:szCs w:val="24"/>
          <w:shd w:val="clear" w:color="auto" w:fill="auto"/>
          <w:lang w:val="cs-CZ" w:eastAsia="cs-CZ" w:bidi="cs-CZ"/>
        </w:rPr>
        <w:t>Práce nad rámec zadání, budou oboustranně odsouhlaseny, a budou předmětem dodatku k této smlouvě.</w:t>
      </w:r>
    </w:p>
    <w:p>
      <w:pPr>
        <w:pStyle w:val="Style2"/>
        <w:keepNext w:val="0"/>
        <w:keepLines w:val="0"/>
        <w:widowControl w:val="0"/>
        <w:numPr>
          <w:ilvl w:val="0"/>
          <w:numId w:val="21"/>
        </w:numPr>
        <w:shd w:val="clear" w:color="auto" w:fill="auto"/>
        <w:tabs>
          <w:tab w:pos="372" w:val="left"/>
        </w:tabs>
        <w:bidi w:val="0"/>
        <w:spacing w:before="0" w:line="240" w:lineRule="auto"/>
        <w:ind w:left="380" w:right="0" w:hanging="380"/>
        <w:jc w:val="both"/>
      </w:pPr>
      <w:bookmarkStart w:id="96" w:name="bookmark96"/>
      <w:bookmarkEnd w:id="9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se s obsahem smlouvy seznámily, s ním souhlasí, neboť tento odpovídá jejich projevené vůli a na důkaz připojují svoje podpisy.</w:t>
      </w:r>
    </w:p>
    <w:p>
      <w:pPr>
        <w:pStyle w:val="Style2"/>
        <w:keepNext w:val="0"/>
        <w:keepLines w:val="0"/>
        <w:widowControl w:val="0"/>
        <w:numPr>
          <w:ilvl w:val="0"/>
          <w:numId w:val="21"/>
        </w:numPr>
        <w:shd w:val="clear" w:color="auto" w:fill="auto"/>
        <w:tabs>
          <w:tab w:pos="372" w:val="left"/>
        </w:tabs>
        <w:bidi w:val="0"/>
        <w:spacing w:before="0" w:line="240" w:lineRule="auto"/>
        <w:ind w:left="0" w:right="0" w:firstLine="0"/>
        <w:jc w:val="left"/>
      </w:pPr>
      <w:bookmarkStart w:id="97" w:name="bookmark97"/>
      <w:bookmarkEnd w:id="97"/>
      <w:r>
        <w:rPr>
          <w:rFonts w:ascii="Times New Roman" w:eastAsia="Times New Roman" w:hAnsi="Times New Roman" w:cs="Times New Roman"/>
          <w:color w:val="000000"/>
          <w:spacing w:val="0"/>
          <w:w w:val="100"/>
          <w:position w:val="0"/>
          <w:sz w:val="24"/>
          <w:szCs w:val="24"/>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r>
        <w:br w:type="page"/>
      </w:r>
    </w:p>
    <w:p>
      <w:pPr>
        <w:pStyle w:val="Style2"/>
        <w:keepNext w:val="0"/>
        <w:keepLines w:val="0"/>
        <w:widowControl w:val="0"/>
        <w:numPr>
          <w:ilvl w:val="0"/>
          <w:numId w:val="21"/>
        </w:numPr>
        <w:shd w:val="clear" w:color="auto" w:fill="auto"/>
        <w:tabs>
          <w:tab w:pos="378" w:val="left"/>
        </w:tabs>
        <w:bidi w:val="0"/>
        <w:spacing w:before="0" w:line="240" w:lineRule="auto"/>
        <w:ind w:left="300" w:right="0" w:hanging="300"/>
        <w:jc w:val="left"/>
      </w:pPr>
      <w:bookmarkStart w:id="98" w:name="bookmark98"/>
      <w:bookmarkEnd w:id="98"/>
      <w:r>
        <w:rPr>
          <w:rFonts w:ascii="Times New Roman" w:eastAsia="Times New Roman" w:hAnsi="Times New Roman" w:cs="Times New Roman"/>
          <w:color w:val="000000"/>
          <w:spacing w:val="0"/>
          <w:w w:val="100"/>
          <w:position w:val="0"/>
          <w:sz w:val="24"/>
          <w:szCs w:val="24"/>
          <w:shd w:val="clear" w:color="auto" w:fill="auto"/>
          <w:lang w:val="cs-CZ" w:eastAsia="cs-CZ" w:bidi="cs-CZ"/>
        </w:rPr>
        <w:t>Na svědectví tohoto smluvní strany tímto podepisují smlouvu. Tato smlouva je vyhotovena ve třech vyhotoveních, z nichž každé má platnost originálu.</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č. 1 – Zápis o předání, převzetí</w:t>
      </w:r>
    </w:p>
    <w:p>
      <w:pPr>
        <w:pStyle w:val="Style2"/>
        <w:keepNext w:val="0"/>
        <w:keepLines w:val="0"/>
        <w:widowControl w:val="0"/>
        <w:shd w:val="clear" w:color="auto" w:fill="auto"/>
        <w:bidi w:val="0"/>
        <w:spacing w:before="0" w:after="16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 č. 2 – Nabídka zhotovitele – Soupis prací (CN.č.2025004)</w:t>
      </w:r>
    </w:p>
    <w:p>
      <w:pPr>
        <w:pStyle w:val="Style2"/>
        <w:keepNext w:val="0"/>
        <w:keepLines w:val="0"/>
        <w:widowControl w:val="0"/>
        <w:shd w:val="clear" w:color="auto" w:fill="auto"/>
        <w:bidi w:val="0"/>
        <w:spacing w:before="0" w:after="13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 ……………</w:t>
      </w:r>
    </w:p>
    <w:p>
      <w:pPr>
        <w:pStyle w:val="Style2"/>
        <w:keepNext w:val="0"/>
        <w:keepLines w:val="0"/>
        <w:widowControl w:val="0"/>
        <w:shd w:val="clear" w:color="auto" w:fill="auto"/>
        <w:bidi w:val="0"/>
        <w:spacing w:before="0" w:after="50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zástupce objednatele</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1051560" distL="114300" distR="114300" simplePos="0" relativeHeight="125829378" behindDoc="0" locked="0" layoutInCell="1" allowOverlap="1">
                <wp:simplePos x="0" y="0"/>
                <wp:positionH relativeFrom="page">
                  <wp:posOffset>4088765</wp:posOffset>
                </wp:positionH>
                <wp:positionV relativeFrom="margin">
                  <wp:posOffset>2138045</wp:posOffset>
                </wp:positionV>
                <wp:extent cx="2383790" cy="243840"/>
                <wp:wrapSquare wrapText="left"/>
                <wp:docPr id="1" name="Shape 1"/>
                <a:graphic xmlns:a="http://schemas.openxmlformats.org/drawingml/2006/main">
                  <a:graphicData uri="http://schemas.microsoft.com/office/word/2010/wordprocessingShape">
                    <wps:wsp>
                      <wps:cNvSpPr txBox="1"/>
                      <wps:spPr>
                        <a:xfrm>
                          <a:ext cx="2383790" cy="243840"/>
                        </a:xfrm>
                        <a:prstGeom prst="rect"/>
                        <a:noFill/>
                      </wps:spPr>
                      <wps:txbx>
                        <w:txbxContent>
                          <w:p>
                            <w:pPr>
                              <w:pStyle w:val="Style2"/>
                              <w:keepNext w:val="0"/>
                              <w:keepLines w:val="0"/>
                              <w:widowControl w:val="0"/>
                              <w:shd w:val="clear" w:color="auto" w:fill="auto"/>
                              <w:tabs>
                                <w:tab w:pos="185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w:t>
                            </w:r>
                            <w:r>
                              <w:rPr>
                                <w:u w:val="single"/>
                              </w:rPr>
                              <w:t xml:space="preserve"> </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1.94999999999999pt;margin-top:168.34999999999999pt;width:187.70000000000002pt;height:19.199999999999999pt;z-index:-125829375;mso-wrap-distance-left:9.pt;mso-wrap-distance-right:9.pt;mso-wrap-distance-bottom:82.799999999999997pt;mso-position-horizontal-relative:page;mso-position-vertical-relative:margin" filled="f" stroked="f">
                <v:textbox inset="0,0,0,0">
                  <w:txbxContent>
                    <w:p>
                      <w:pPr>
                        <w:pStyle w:val="Style2"/>
                        <w:keepNext w:val="0"/>
                        <w:keepLines w:val="0"/>
                        <w:widowControl w:val="0"/>
                        <w:shd w:val="clear" w:color="auto" w:fill="auto"/>
                        <w:tabs>
                          <w:tab w:pos="185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w:t>
                      </w:r>
                      <w:r>
                        <w:rPr>
                          <w:u w:val="single"/>
                        </w:rPr>
                        <w:t xml:space="preserve"> </w:t>
                        <w:tab/>
                      </w:r>
                      <w:r>
                        <w:rPr>
                          <w:rFonts w:ascii="Times New Roman" w:eastAsia="Times New Roman" w:hAnsi="Times New Roman" w:cs="Times New Roman"/>
                          <w:color w:val="000000"/>
                          <w:spacing w:val="0"/>
                          <w:w w:val="100"/>
                          <w:position w:val="0"/>
                          <w:sz w:val="24"/>
                          <w:szCs w:val="24"/>
                          <w:shd w:val="clear" w:color="auto" w:fill="auto"/>
                          <w:lang w:val="cs-CZ" w:eastAsia="cs-CZ" w:bidi="cs-CZ"/>
                        </w:rPr>
                        <w:t>dne……………….</w:t>
                      </w:r>
                    </w:p>
                  </w:txbxContent>
                </v:textbox>
                <w10:wrap type="square" side="left" anchorx="page" anchory="margin"/>
              </v:shape>
            </w:pict>
          </mc:Fallback>
        </mc:AlternateContent>
      </w:r>
      <w:r>
        <mc:AlternateContent>
          <mc:Choice Requires="wps">
            <w:drawing>
              <wp:anchor distT="1051560" distB="0" distL="266700" distR="391795" simplePos="0" relativeHeight="125829380" behindDoc="0" locked="0" layoutInCell="1" allowOverlap="1">
                <wp:simplePos x="0" y="0"/>
                <wp:positionH relativeFrom="page">
                  <wp:posOffset>4241165</wp:posOffset>
                </wp:positionH>
                <wp:positionV relativeFrom="margin">
                  <wp:posOffset>3189605</wp:posOffset>
                </wp:positionV>
                <wp:extent cx="1953895" cy="243840"/>
                <wp:wrapSquare wrapText="left"/>
                <wp:docPr id="3" name="Shape 3"/>
                <a:graphic xmlns:a="http://schemas.openxmlformats.org/drawingml/2006/main">
                  <a:graphicData uri="http://schemas.microsoft.com/office/word/2010/wordprocessingShape">
                    <wps:wsp>
                      <wps:cNvSpPr txBox="1"/>
                      <wps:spPr>
                        <a:xfrm>
                          <a:ext cx="1953895"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zástupce zhotovitele</w:t>
                            </w:r>
                          </w:p>
                        </w:txbxContent>
                      </wps:txbx>
                      <wps:bodyPr wrap="none" lIns="0" tIns="0" rIns="0" bIns="0">
                        <a:noAutoFit/>
                      </wps:bodyPr>
                    </wps:wsp>
                  </a:graphicData>
                </a:graphic>
              </wp:anchor>
            </w:drawing>
          </mc:Choice>
          <mc:Fallback>
            <w:pict>
              <v:shape id="_x0000_s1029" type="#_x0000_t202" style="position:absolute;margin-left:333.94999999999999pt;margin-top:251.15000000000001pt;width:153.84999999999999pt;height:19.199999999999999pt;z-index:-125829373;mso-wrap-distance-left:21.pt;mso-wrap-distance-top:82.799999999999997pt;mso-wrap-distance-right:30.8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zástupce zhotovitele</w:t>
                      </w:r>
                    </w:p>
                  </w:txbxContent>
                </v:textbox>
                <w10:wrap type="square" side="left" anchorx="page" anchory="margin"/>
              </v:shape>
            </w:pict>
          </mc:Fallback>
        </mc:AlternateContent>
      </w: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w:t>
      </w:r>
    </w:p>
    <w:sectPr>
      <w:footerReference w:type="default" r:id="rId5"/>
      <w:footnotePr>
        <w:pos w:val="pageBottom"/>
        <w:numFmt w:val="decimal"/>
        <w:numRestart w:val="continuous"/>
      </w:footnotePr>
      <w:pgSz w:w="11909" w:h="16838"/>
      <w:pgMar w:top="794" w:left="1392" w:right="1386" w:bottom="1295" w:header="36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5862955</wp:posOffset>
              </wp:positionH>
              <wp:positionV relativeFrom="page">
                <wp:posOffset>9933305</wp:posOffset>
              </wp:positionV>
              <wp:extent cx="801370" cy="210185"/>
              <wp:wrapNone/>
              <wp:docPr id="5" name="Shape 5"/>
              <a:graphic xmlns:a="http://schemas.openxmlformats.org/drawingml/2006/main">
                <a:graphicData uri="http://schemas.microsoft.com/office/word/2010/wordprocessingShape">
                  <wps:wsp>
                    <wps:cNvSpPr txBox="1"/>
                    <wps:spPr>
                      <a:xfrm>
                        <a:ext cx="801370" cy="2101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wps:txbx>
                    <wps:bodyPr wrap="none" lIns="0" tIns="0" rIns="0" bIns="0">
                      <a:spAutoFit/>
                    </wps:bodyPr>
                  </wps:wsp>
                </a:graphicData>
              </a:graphic>
            </wp:anchor>
          </w:drawing>
        </mc:Choice>
        <mc:Fallback>
          <w:pict>
            <v:shape id="_x0000_s1031" type="#_x0000_t202" style="position:absolute;margin-left:461.65000000000003pt;margin-top:782.14999999999998pt;width:63.100000000000001pt;height:16.5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18"/>
      <w:szCs w:val="18"/>
      <w:u w:val="none"/>
    </w:rPr>
  </w:style>
  <w:style w:type="character" w:customStyle="1" w:styleId="CharStyle14">
    <w:name w:val="Char Style 14"/>
    <w:basedOn w:val="DefaultParagraphFont"/>
    <w:link w:val="Style13"/>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220"/>
    </w:pPr>
    <w:rPr>
      <w:b w:val="0"/>
      <w:bCs w:val="0"/>
      <w:i w:val="0"/>
      <w:iCs w:val="0"/>
      <w:smallCaps w:val="0"/>
      <w:strike w:val="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20"/>
      <w:jc w:val="center"/>
      <w:outlineLvl w:val="0"/>
    </w:pPr>
    <w:rPr>
      <w:b/>
      <w:bCs/>
      <w:i w:val="0"/>
      <w:iCs w:val="0"/>
      <w:smallCaps w:val="0"/>
      <w:strike w:val="0"/>
      <w:u w:val="none"/>
    </w:rPr>
  </w:style>
  <w:style w:type="paragraph" w:customStyle="1" w:styleId="Style11">
    <w:name w:val="Style 11"/>
    <w:basedOn w:val="Normal"/>
    <w:link w:val="CharStyle12"/>
    <w:pPr>
      <w:widowControl w:val="0"/>
      <w:shd w:val="clear" w:color="auto" w:fill="FFFFFF"/>
      <w:spacing w:after="420"/>
      <w:jc w:val="center"/>
    </w:pPr>
    <w:rPr>
      <w:rFonts w:ascii="Arial" w:eastAsia="Arial" w:hAnsi="Arial" w:cs="Arial"/>
      <w:b w:val="0"/>
      <w:bCs w:val="0"/>
      <w:i w:val="0"/>
      <w:iCs w:val="0"/>
      <w:smallCaps w:val="0"/>
      <w:strike w:val="0"/>
      <w:sz w:val="18"/>
      <w:szCs w:val="18"/>
      <w:u w:val="none"/>
    </w:rPr>
  </w:style>
  <w:style w:type="paragraph" w:customStyle="1" w:styleId="Style13">
    <w:name w:val="Style 13"/>
    <w:basedOn w:val="Normal"/>
    <w:link w:val="CharStyle14"/>
    <w:pPr>
      <w:widowControl w:val="0"/>
      <w:shd w:val="clear" w:color="auto" w:fill="FFFFFF"/>
      <w:spacing w:after="22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