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68D7E"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65CEEC25" w14:textId="77777777" w:rsidR="00C84727" w:rsidRPr="0093306C" w:rsidRDefault="00C84727" w:rsidP="002E7917">
      <w:pPr>
        <w:pStyle w:val="Zkladntext"/>
        <w:spacing w:beforeLines="20" w:before="48"/>
        <w:jc w:val="center"/>
        <w:rPr>
          <w:rFonts w:ascii="Times New Roman" w:hAnsi="Times New Roman"/>
          <w:i w:val="0"/>
          <w:caps/>
          <w:spacing w:val="100"/>
          <w:sz w:val="22"/>
          <w:szCs w:val="28"/>
        </w:rPr>
      </w:pPr>
    </w:p>
    <w:p w14:paraId="4E462B52"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74F8C77F"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6647AD2D" w14:textId="77777777" w:rsidTr="00AE745D">
        <w:trPr>
          <w:trHeight w:val="317"/>
          <w:jc w:val="center"/>
        </w:trPr>
        <w:tc>
          <w:tcPr>
            <w:tcW w:w="3614" w:type="dxa"/>
            <w:shd w:val="clear" w:color="00FFFF" w:fill="auto"/>
          </w:tcPr>
          <w:p w14:paraId="070A43C2" w14:textId="77777777" w:rsidR="006D6F14" w:rsidRPr="00095FDB" w:rsidRDefault="00AE2642" w:rsidP="002E7917">
            <w:pPr>
              <w:spacing w:beforeLines="20" w:before="48"/>
              <w:rPr>
                <w:b/>
                <w:sz w:val="24"/>
              </w:rPr>
            </w:pPr>
            <w:r w:rsidRPr="00095FDB">
              <w:rPr>
                <w:b/>
                <w:sz w:val="24"/>
              </w:rPr>
              <w:t xml:space="preserve">OBJEDNATEL:    </w:t>
            </w:r>
          </w:p>
          <w:p w14:paraId="2FD61D41"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442D0DCC"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F771405" w14:textId="77777777"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36591CB1" w14:textId="77777777" w:rsidTr="00AE745D">
        <w:trPr>
          <w:trHeight w:val="280"/>
          <w:jc w:val="center"/>
        </w:trPr>
        <w:tc>
          <w:tcPr>
            <w:tcW w:w="3614" w:type="dxa"/>
          </w:tcPr>
          <w:p w14:paraId="66CB7B60"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2748FE86" w14:textId="695DF666" w:rsidR="00AE2642" w:rsidRPr="00095FDB" w:rsidRDefault="00A1548B" w:rsidP="008C7C04">
            <w:pPr>
              <w:spacing w:beforeLines="20" w:before="48"/>
              <w:rPr>
                <w:sz w:val="24"/>
              </w:rPr>
            </w:pPr>
            <w:r>
              <w:rPr>
                <w:sz w:val="24"/>
              </w:rPr>
              <w:t>XXXXX</w:t>
            </w:r>
          </w:p>
        </w:tc>
      </w:tr>
      <w:tr w:rsidR="00AE2642" w:rsidRPr="00095FDB" w14:paraId="03C689B9" w14:textId="77777777" w:rsidTr="00AE745D">
        <w:trPr>
          <w:trHeight w:val="369"/>
          <w:jc w:val="center"/>
        </w:trPr>
        <w:tc>
          <w:tcPr>
            <w:tcW w:w="3614" w:type="dxa"/>
          </w:tcPr>
          <w:p w14:paraId="13AE8D1E" w14:textId="77777777" w:rsidR="00AE2642" w:rsidRPr="00095FDB" w:rsidRDefault="00AE2642" w:rsidP="002E7917">
            <w:pPr>
              <w:spacing w:beforeLines="20" w:before="48"/>
              <w:rPr>
                <w:i/>
                <w:sz w:val="24"/>
              </w:rPr>
            </w:pPr>
            <w:r w:rsidRPr="00095FDB">
              <w:rPr>
                <w:i/>
                <w:sz w:val="24"/>
              </w:rPr>
              <w:t>Sídlo:</w:t>
            </w:r>
          </w:p>
        </w:tc>
        <w:tc>
          <w:tcPr>
            <w:tcW w:w="6164" w:type="dxa"/>
          </w:tcPr>
          <w:p w14:paraId="2A687112"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7A4C905B" w14:textId="77777777" w:rsidTr="00AE745D">
        <w:trPr>
          <w:trHeight w:val="482"/>
          <w:jc w:val="center"/>
        </w:trPr>
        <w:tc>
          <w:tcPr>
            <w:tcW w:w="3614" w:type="dxa"/>
            <w:tcBorders>
              <w:bottom w:val="nil"/>
            </w:tcBorders>
          </w:tcPr>
          <w:p w14:paraId="729E2AF0" w14:textId="77777777" w:rsidR="00AE2642" w:rsidRPr="00095FDB" w:rsidRDefault="00036744" w:rsidP="002E7917">
            <w:pPr>
              <w:spacing w:beforeLines="20" w:before="48"/>
              <w:rPr>
                <w:i/>
                <w:sz w:val="24"/>
              </w:rPr>
            </w:pPr>
            <w:r w:rsidRPr="00095FDB">
              <w:rPr>
                <w:i/>
                <w:sz w:val="24"/>
              </w:rPr>
              <w:t>IČ</w:t>
            </w:r>
            <w:r w:rsidR="00B334C7">
              <w:rPr>
                <w:i/>
                <w:sz w:val="24"/>
              </w:rPr>
              <w:t>O</w:t>
            </w:r>
            <w:r w:rsidRPr="00095FDB">
              <w:rPr>
                <w:i/>
                <w:sz w:val="24"/>
              </w:rPr>
              <w:t>:</w:t>
            </w:r>
          </w:p>
          <w:p w14:paraId="38E223E3" w14:textId="77777777"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14:paraId="5687881E" w14:textId="77777777" w:rsidR="00AE2642" w:rsidRPr="00095FDB" w:rsidRDefault="00AE2642" w:rsidP="002E7917">
            <w:pPr>
              <w:spacing w:beforeLines="20" w:before="48"/>
              <w:rPr>
                <w:sz w:val="24"/>
              </w:rPr>
            </w:pPr>
            <w:r w:rsidRPr="00095FDB">
              <w:rPr>
                <w:sz w:val="24"/>
              </w:rPr>
              <w:t>60460580</w:t>
            </w:r>
          </w:p>
          <w:p w14:paraId="287DB9C5" w14:textId="77777777" w:rsidR="00AE2642" w:rsidRPr="00095FDB" w:rsidRDefault="00AE2642" w:rsidP="002E7917">
            <w:pPr>
              <w:spacing w:beforeLines="20" w:before="48"/>
              <w:rPr>
                <w:sz w:val="24"/>
              </w:rPr>
            </w:pPr>
            <w:r w:rsidRPr="00095FDB">
              <w:rPr>
                <w:sz w:val="24"/>
              </w:rPr>
              <w:t xml:space="preserve">CZ60460580 </w:t>
            </w:r>
          </w:p>
        </w:tc>
      </w:tr>
      <w:tr w:rsidR="00AE2642" w:rsidRPr="00095FDB" w14:paraId="545B9C56" w14:textId="77777777" w:rsidTr="00AE745D">
        <w:trPr>
          <w:cantSplit/>
          <w:trHeight w:val="480"/>
          <w:jc w:val="center"/>
        </w:trPr>
        <w:tc>
          <w:tcPr>
            <w:tcW w:w="3614" w:type="dxa"/>
            <w:tcBorders>
              <w:bottom w:val="nil"/>
            </w:tcBorders>
          </w:tcPr>
          <w:p w14:paraId="664AF26F" w14:textId="77777777"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14:paraId="6443846F" w14:textId="77777777" w:rsidR="00AE2642" w:rsidRPr="00095FDB" w:rsidRDefault="00AE2642" w:rsidP="002E7917">
            <w:pPr>
              <w:spacing w:beforeLines="20" w:before="48"/>
              <w:rPr>
                <w:i/>
                <w:sz w:val="24"/>
              </w:rPr>
            </w:pPr>
            <w:r w:rsidRPr="00095FDB">
              <w:rPr>
                <w:i/>
                <w:sz w:val="24"/>
              </w:rPr>
              <w:t>Fax:</w:t>
            </w:r>
          </w:p>
        </w:tc>
        <w:tc>
          <w:tcPr>
            <w:tcW w:w="6164" w:type="dxa"/>
            <w:tcBorders>
              <w:bottom w:val="nil"/>
            </w:tcBorders>
          </w:tcPr>
          <w:p w14:paraId="0D3C76AF" w14:textId="77777777"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63A1E1AD" w14:textId="77777777" w:rsidR="00AE2642" w:rsidRPr="00095FDB" w:rsidRDefault="005963A8" w:rsidP="002E7917">
            <w:pPr>
              <w:spacing w:beforeLines="20" w:before="48"/>
              <w:rPr>
                <w:sz w:val="24"/>
              </w:rPr>
            </w:pPr>
            <w:r w:rsidRPr="00095FDB">
              <w:rPr>
                <w:sz w:val="24"/>
              </w:rPr>
              <w:t>973 204 092</w:t>
            </w:r>
          </w:p>
        </w:tc>
      </w:tr>
      <w:tr w:rsidR="00AE2642" w:rsidRPr="00095FDB" w14:paraId="23BB69C9" w14:textId="77777777" w:rsidTr="00AE745D">
        <w:trPr>
          <w:trHeight w:val="357"/>
          <w:jc w:val="center"/>
        </w:trPr>
        <w:tc>
          <w:tcPr>
            <w:tcW w:w="3614" w:type="dxa"/>
          </w:tcPr>
          <w:p w14:paraId="59897E0F" w14:textId="77777777" w:rsidR="00753CAB" w:rsidRPr="00095FDB" w:rsidRDefault="00753CAB" w:rsidP="002E7917">
            <w:pPr>
              <w:spacing w:beforeLines="20" w:before="48"/>
              <w:rPr>
                <w:i/>
                <w:sz w:val="24"/>
              </w:rPr>
            </w:pPr>
            <w:r w:rsidRPr="00095FDB">
              <w:rPr>
                <w:i/>
                <w:sz w:val="24"/>
              </w:rPr>
              <w:t>ID datové schránky:</w:t>
            </w:r>
          </w:p>
          <w:p w14:paraId="0AB5F818"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01FB60C0"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5ACFED8" w14:textId="77777777" w:rsidTr="00AE745D">
        <w:trPr>
          <w:trHeight w:val="294"/>
          <w:jc w:val="center"/>
        </w:trPr>
        <w:tc>
          <w:tcPr>
            <w:tcW w:w="3614" w:type="dxa"/>
          </w:tcPr>
          <w:p w14:paraId="67D61B29" w14:textId="77777777" w:rsidR="00AE2642" w:rsidRPr="00095FDB" w:rsidRDefault="00AE2642" w:rsidP="00773F23">
            <w:pPr>
              <w:rPr>
                <w:i/>
                <w:sz w:val="24"/>
              </w:rPr>
            </w:pPr>
            <w:r w:rsidRPr="00095FDB">
              <w:rPr>
                <w:i/>
                <w:sz w:val="24"/>
              </w:rPr>
              <w:t>- jednat ve věcech smluvních:</w:t>
            </w:r>
          </w:p>
        </w:tc>
        <w:tc>
          <w:tcPr>
            <w:tcW w:w="6164" w:type="dxa"/>
          </w:tcPr>
          <w:p w14:paraId="1BDCEE41" w14:textId="45D7775A" w:rsidR="00AE2642" w:rsidRPr="00095FDB" w:rsidRDefault="00A1548B" w:rsidP="000344C5">
            <w:pPr>
              <w:rPr>
                <w:sz w:val="24"/>
              </w:rPr>
            </w:pPr>
            <w:r>
              <w:rPr>
                <w:sz w:val="24"/>
              </w:rPr>
              <w:t>XXXXX</w:t>
            </w:r>
          </w:p>
        </w:tc>
      </w:tr>
      <w:tr w:rsidR="00AE2642" w:rsidRPr="00095FDB" w14:paraId="288C0754" w14:textId="77777777" w:rsidTr="00606C15">
        <w:trPr>
          <w:trHeight w:val="480"/>
          <w:jc w:val="center"/>
        </w:trPr>
        <w:tc>
          <w:tcPr>
            <w:tcW w:w="3614" w:type="dxa"/>
          </w:tcPr>
          <w:p w14:paraId="58B96608"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5B8C1845" w14:textId="10F38A1F" w:rsidR="00AE745D" w:rsidRPr="00095FDB" w:rsidRDefault="00A1548B" w:rsidP="00C15AAC">
            <w:pPr>
              <w:rPr>
                <w:sz w:val="24"/>
              </w:rPr>
            </w:pPr>
            <w:r>
              <w:rPr>
                <w:sz w:val="24"/>
              </w:rPr>
              <w:t>XXXXX</w:t>
            </w:r>
          </w:p>
        </w:tc>
      </w:tr>
      <w:tr w:rsidR="00A37116" w:rsidRPr="00095FDB" w14:paraId="011D3A75" w14:textId="77777777" w:rsidTr="00AE745D">
        <w:trPr>
          <w:trHeight w:val="480"/>
          <w:jc w:val="center"/>
        </w:trPr>
        <w:tc>
          <w:tcPr>
            <w:tcW w:w="3614" w:type="dxa"/>
          </w:tcPr>
          <w:p w14:paraId="1F01E973" w14:textId="77777777" w:rsidR="00A37116" w:rsidRPr="00095FDB" w:rsidRDefault="00A37116" w:rsidP="00773F23">
            <w:pPr>
              <w:rPr>
                <w:i/>
                <w:sz w:val="24"/>
              </w:rPr>
            </w:pPr>
            <w:r w:rsidRPr="00095FDB">
              <w:rPr>
                <w:i/>
                <w:sz w:val="24"/>
              </w:rPr>
              <w:t>(dále jen „objednatel“)</w:t>
            </w:r>
          </w:p>
        </w:tc>
        <w:tc>
          <w:tcPr>
            <w:tcW w:w="6164" w:type="dxa"/>
          </w:tcPr>
          <w:p w14:paraId="2765A2A4" w14:textId="77777777" w:rsidR="00A37116" w:rsidRPr="00095FDB" w:rsidRDefault="00A37116" w:rsidP="006D6F14">
            <w:pPr>
              <w:rPr>
                <w:sz w:val="24"/>
              </w:rPr>
            </w:pPr>
          </w:p>
        </w:tc>
      </w:tr>
    </w:tbl>
    <w:p w14:paraId="59585BEA"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1F3AF2" w14:paraId="3BE30600" w14:textId="77777777" w:rsidTr="00B612D5">
        <w:trPr>
          <w:trHeight w:val="284"/>
          <w:jc w:val="center"/>
        </w:trPr>
        <w:tc>
          <w:tcPr>
            <w:tcW w:w="3614" w:type="dxa"/>
            <w:shd w:val="clear" w:color="auto" w:fill="auto"/>
          </w:tcPr>
          <w:p w14:paraId="2DCB0FCE" w14:textId="77777777" w:rsidR="00722094" w:rsidRPr="001F3AF2" w:rsidRDefault="00722094" w:rsidP="00FD46EB">
            <w:pPr>
              <w:spacing w:before="120" w:after="120"/>
              <w:rPr>
                <w:b/>
                <w:sz w:val="24"/>
              </w:rPr>
            </w:pPr>
            <w:r w:rsidRPr="001F3AF2">
              <w:rPr>
                <w:b/>
                <w:sz w:val="24"/>
              </w:rPr>
              <w:t xml:space="preserve">ZHOTOVITEL:        </w:t>
            </w:r>
          </w:p>
          <w:p w14:paraId="622A1113" w14:textId="77777777" w:rsidR="00722094" w:rsidRPr="001F3AF2" w:rsidRDefault="00722094" w:rsidP="00FD46EB">
            <w:pPr>
              <w:spacing w:before="120" w:after="120"/>
              <w:rPr>
                <w:b/>
                <w:sz w:val="24"/>
              </w:rPr>
            </w:pPr>
            <w:r w:rsidRPr="001F3AF2">
              <w:rPr>
                <w:bCs/>
                <w:i/>
                <w:sz w:val="24"/>
              </w:rPr>
              <w:t>Zapsaný v obchodním rejstříku u:</w:t>
            </w:r>
          </w:p>
        </w:tc>
        <w:tc>
          <w:tcPr>
            <w:tcW w:w="6164" w:type="dxa"/>
            <w:shd w:val="clear" w:color="auto" w:fill="auto"/>
          </w:tcPr>
          <w:p w14:paraId="02DDEB6F" w14:textId="323EA83C" w:rsidR="004C1FA9" w:rsidRPr="001F3AF2" w:rsidRDefault="00E21DAA" w:rsidP="004C1FA9">
            <w:pPr>
              <w:spacing w:before="120"/>
              <w:rPr>
                <w:b/>
                <w:bCs/>
                <w:sz w:val="24"/>
              </w:rPr>
            </w:pPr>
            <w:r>
              <w:rPr>
                <w:b/>
                <w:bCs/>
                <w:sz w:val="24"/>
              </w:rPr>
              <w:t>VALC, s.r.o.</w:t>
            </w:r>
          </w:p>
          <w:p w14:paraId="169DB986" w14:textId="5350D017" w:rsidR="00722094" w:rsidRPr="001F3AF2" w:rsidRDefault="001F3AF2" w:rsidP="00E21DAA">
            <w:pPr>
              <w:spacing w:before="120"/>
              <w:rPr>
                <w:bCs/>
                <w:sz w:val="24"/>
              </w:rPr>
            </w:pPr>
            <w:r w:rsidRPr="001F3AF2">
              <w:rPr>
                <w:bCs/>
                <w:sz w:val="24"/>
              </w:rPr>
              <w:t>Krajského soudu v</w:t>
            </w:r>
            <w:r w:rsidR="00E21DAA">
              <w:rPr>
                <w:bCs/>
                <w:sz w:val="24"/>
              </w:rPr>
              <w:t> Hradci Králové</w:t>
            </w:r>
            <w:r w:rsidRPr="001F3AF2">
              <w:rPr>
                <w:bCs/>
                <w:sz w:val="24"/>
              </w:rPr>
              <w:t xml:space="preserve">, oddíl C, vložka </w:t>
            </w:r>
            <w:r w:rsidR="00E21DAA">
              <w:rPr>
                <w:bCs/>
                <w:sz w:val="24"/>
              </w:rPr>
              <w:t>1677</w:t>
            </w:r>
          </w:p>
        </w:tc>
      </w:tr>
      <w:tr w:rsidR="00722094" w:rsidRPr="001F3AF2" w14:paraId="22F961BE" w14:textId="77777777" w:rsidTr="00B612D5">
        <w:trPr>
          <w:trHeight w:val="267"/>
          <w:jc w:val="center"/>
        </w:trPr>
        <w:tc>
          <w:tcPr>
            <w:tcW w:w="3614" w:type="dxa"/>
            <w:shd w:val="clear" w:color="auto" w:fill="auto"/>
          </w:tcPr>
          <w:p w14:paraId="0F6A00F3" w14:textId="77777777" w:rsidR="00722094" w:rsidRPr="001F3AF2" w:rsidRDefault="00722094" w:rsidP="00FD46EB">
            <w:pPr>
              <w:rPr>
                <w:i/>
                <w:sz w:val="24"/>
              </w:rPr>
            </w:pPr>
            <w:r w:rsidRPr="001F3AF2">
              <w:rPr>
                <w:i/>
                <w:sz w:val="24"/>
              </w:rPr>
              <w:t>Zastoupený:</w:t>
            </w:r>
          </w:p>
        </w:tc>
        <w:tc>
          <w:tcPr>
            <w:tcW w:w="6164" w:type="dxa"/>
            <w:shd w:val="clear" w:color="auto" w:fill="auto"/>
          </w:tcPr>
          <w:p w14:paraId="70B320AC" w14:textId="184B978E" w:rsidR="00722094" w:rsidRPr="001F3AF2" w:rsidRDefault="00A1548B" w:rsidP="00E21DAA">
            <w:pPr>
              <w:spacing w:before="120"/>
              <w:rPr>
                <w:bCs/>
                <w:sz w:val="24"/>
              </w:rPr>
            </w:pPr>
            <w:r>
              <w:rPr>
                <w:bCs/>
                <w:sz w:val="24"/>
              </w:rPr>
              <w:t>XXXXX</w:t>
            </w:r>
          </w:p>
        </w:tc>
      </w:tr>
      <w:tr w:rsidR="00722094" w:rsidRPr="001F3AF2" w14:paraId="0216BE3D" w14:textId="77777777" w:rsidTr="00B612D5">
        <w:trPr>
          <w:trHeight w:val="207"/>
          <w:jc w:val="center"/>
        </w:trPr>
        <w:tc>
          <w:tcPr>
            <w:tcW w:w="3614" w:type="dxa"/>
            <w:tcBorders>
              <w:bottom w:val="nil"/>
            </w:tcBorders>
            <w:shd w:val="clear" w:color="auto" w:fill="auto"/>
          </w:tcPr>
          <w:p w14:paraId="54278838" w14:textId="77777777" w:rsidR="00722094" w:rsidRPr="001F3AF2" w:rsidRDefault="00722094" w:rsidP="00FD46EB">
            <w:pPr>
              <w:rPr>
                <w:i/>
                <w:sz w:val="24"/>
              </w:rPr>
            </w:pPr>
            <w:r w:rsidRPr="001F3AF2">
              <w:rPr>
                <w:i/>
                <w:sz w:val="24"/>
              </w:rPr>
              <w:t>Sídlo:</w:t>
            </w:r>
          </w:p>
        </w:tc>
        <w:tc>
          <w:tcPr>
            <w:tcW w:w="6164" w:type="dxa"/>
            <w:tcBorders>
              <w:bottom w:val="nil"/>
            </w:tcBorders>
            <w:shd w:val="clear" w:color="auto" w:fill="auto"/>
          </w:tcPr>
          <w:p w14:paraId="54EF798B" w14:textId="5798813B" w:rsidR="00722094" w:rsidRPr="001F3AF2" w:rsidRDefault="00E21DAA" w:rsidP="00CC796D">
            <w:pPr>
              <w:spacing w:before="120"/>
            </w:pPr>
            <w:r w:rsidRPr="00E21DAA">
              <w:rPr>
                <w:bCs/>
                <w:sz w:val="24"/>
              </w:rPr>
              <w:t>Pražská třída 13/84, Kukleny, 500 04 Hradec Králové</w:t>
            </w:r>
          </w:p>
        </w:tc>
      </w:tr>
      <w:tr w:rsidR="00722094" w:rsidRPr="001F3AF2" w14:paraId="58202C13" w14:textId="77777777" w:rsidTr="00B612D5">
        <w:trPr>
          <w:trHeight w:val="20"/>
          <w:jc w:val="center"/>
        </w:trPr>
        <w:tc>
          <w:tcPr>
            <w:tcW w:w="3614" w:type="dxa"/>
            <w:shd w:val="clear" w:color="auto" w:fill="auto"/>
          </w:tcPr>
          <w:p w14:paraId="3D8CDD7D" w14:textId="77777777" w:rsidR="00722094" w:rsidRPr="001F3AF2" w:rsidRDefault="00722094" w:rsidP="00FD46EB">
            <w:pPr>
              <w:rPr>
                <w:i/>
                <w:sz w:val="24"/>
              </w:rPr>
            </w:pPr>
            <w:r w:rsidRPr="001F3AF2">
              <w:rPr>
                <w:i/>
                <w:sz w:val="24"/>
              </w:rPr>
              <w:t>IČ</w:t>
            </w:r>
            <w:r w:rsidR="00B334C7" w:rsidRPr="001F3AF2">
              <w:rPr>
                <w:i/>
                <w:sz w:val="24"/>
              </w:rPr>
              <w:t>O</w:t>
            </w:r>
            <w:r w:rsidRPr="001F3AF2">
              <w:rPr>
                <w:i/>
                <w:sz w:val="24"/>
              </w:rPr>
              <w:t>, DIČ:</w:t>
            </w:r>
          </w:p>
        </w:tc>
        <w:tc>
          <w:tcPr>
            <w:tcW w:w="6164" w:type="dxa"/>
            <w:shd w:val="clear" w:color="auto" w:fill="auto"/>
          </w:tcPr>
          <w:p w14:paraId="6019C825" w14:textId="549A9061" w:rsidR="00722094" w:rsidRPr="001F3AF2" w:rsidRDefault="00E21DAA" w:rsidP="00CC796D">
            <w:pPr>
              <w:spacing w:before="120"/>
              <w:rPr>
                <w:bCs/>
                <w:sz w:val="24"/>
              </w:rPr>
            </w:pPr>
            <w:r>
              <w:rPr>
                <w:bCs/>
                <w:sz w:val="24"/>
              </w:rPr>
              <w:t>45537151</w:t>
            </w:r>
            <w:r w:rsidR="001F3AF2" w:rsidRPr="001F3AF2">
              <w:rPr>
                <w:bCs/>
                <w:sz w:val="24"/>
              </w:rPr>
              <w:t>, CZ</w:t>
            </w:r>
            <w:r>
              <w:rPr>
                <w:bCs/>
                <w:sz w:val="24"/>
              </w:rPr>
              <w:t>45537151</w:t>
            </w:r>
          </w:p>
        </w:tc>
      </w:tr>
      <w:tr w:rsidR="00722094" w:rsidRPr="001F3AF2" w14:paraId="5FA0D839" w14:textId="77777777" w:rsidTr="00B612D5">
        <w:trPr>
          <w:trHeight w:val="20"/>
          <w:jc w:val="center"/>
        </w:trPr>
        <w:tc>
          <w:tcPr>
            <w:tcW w:w="3614" w:type="dxa"/>
            <w:shd w:val="clear" w:color="auto" w:fill="auto"/>
          </w:tcPr>
          <w:p w14:paraId="6547BFAC" w14:textId="77777777" w:rsidR="00722094" w:rsidRPr="001F3AF2" w:rsidRDefault="00722094" w:rsidP="00FD46EB">
            <w:pPr>
              <w:rPr>
                <w:i/>
                <w:sz w:val="24"/>
              </w:rPr>
            </w:pPr>
            <w:r w:rsidRPr="001F3AF2">
              <w:rPr>
                <w:i/>
                <w:sz w:val="24"/>
              </w:rPr>
              <w:t>Bankovní spojení:</w:t>
            </w:r>
          </w:p>
          <w:p w14:paraId="0C912379" w14:textId="77777777" w:rsidR="00722094" w:rsidRPr="001F3AF2" w:rsidRDefault="00722094" w:rsidP="00E869EB">
            <w:pPr>
              <w:rPr>
                <w:i/>
                <w:sz w:val="24"/>
              </w:rPr>
            </w:pPr>
            <w:r w:rsidRPr="001F3AF2">
              <w:rPr>
                <w:i/>
                <w:sz w:val="24"/>
              </w:rPr>
              <w:t>Číslo účtu:</w:t>
            </w:r>
          </w:p>
          <w:p w14:paraId="370A8158" w14:textId="77777777" w:rsidR="00722094" w:rsidRPr="001F3AF2" w:rsidRDefault="00722094" w:rsidP="00E869EB">
            <w:pPr>
              <w:rPr>
                <w:i/>
                <w:sz w:val="24"/>
              </w:rPr>
            </w:pPr>
          </w:p>
          <w:p w14:paraId="2910E323" w14:textId="77777777" w:rsidR="00722094" w:rsidRPr="001F3AF2" w:rsidRDefault="00722094" w:rsidP="00E869EB">
            <w:pPr>
              <w:rPr>
                <w:i/>
                <w:sz w:val="24"/>
              </w:rPr>
            </w:pPr>
            <w:r w:rsidRPr="001F3AF2">
              <w:rPr>
                <w:i/>
                <w:sz w:val="24"/>
              </w:rPr>
              <w:t>ID datové schránky:</w:t>
            </w:r>
          </w:p>
        </w:tc>
        <w:tc>
          <w:tcPr>
            <w:tcW w:w="6164" w:type="dxa"/>
            <w:shd w:val="clear" w:color="auto" w:fill="auto"/>
          </w:tcPr>
          <w:p w14:paraId="07E68B36" w14:textId="0EEAD98E" w:rsidR="00722094" w:rsidRPr="001F3AF2" w:rsidRDefault="00A1548B" w:rsidP="00CC796D">
            <w:pPr>
              <w:spacing w:before="120"/>
              <w:rPr>
                <w:bCs/>
                <w:sz w:val="24"/>
              </w:rPr>
            </w:pPr>
            <w:r>
              <w:rPr>
                <w:bCs/>
                <w:sz w:val="24"/>
              </w:rPr>
              <w:t>XXXXX</w:t>
            </w:r>
          </w:p>
          <w:p w14:paraId="327753C3" w14:textId="000695B7" w:rsidR="004C1FA9" w:rsidRPr="001F3AF2" w:rsidRDefault="00A1548B" w:rsidP="004C1FA9">
            <w:pPr>
              <w:spacing w:before="120"/>
              <w:rPr>
                <w:bCs/>
                <w:sz w:val="24"/>
              </w:rPr>
            </w:pPr>
            <w:r>
              <w:rPr>
                <w:bCs/>
                <w:sz w:val="24"/>
              </w:rPr>
              <w:t>XXXXX</w:t>
            </w:r>
          </w:p>
          <w:p w14:paraId="26D51BB6" w14:textId="4C8F9C6B" w:rsidR="00722094" w:rsidRPr="001F3AF2" w:rsidRDefault="00E21DAA" w:rsidP="00CC796D">
            <w:pPr>
              <w:spacing w:before="120"/>
              <w:rPr>
                <w:bCs/>
                <w:sz w:val="24"/>
              </w:rPr>
            </w:pPr>
            <w:r>
              <w:rPr>
                <w:bCs/>
                <w:sz w:val="24"/>
              </w:rPr>
              <w:t>d5t9nnu</w:t>
            </w:r>
          </w:p>
          <w:p w14:paraId="5894CD9D" w14:textId="77777777" w:rsidR="00722094" w:rsidRPr="001F3AF2" w:rsidRDefault="00722094" w:rsidP="00CC796D">
            <w:pPr>
              <w:rPr>
                <w:sz w:val="24"/>
              </w:rPr>
            </w:pPr>
          </w:p>
        </w:tc>
      </w:tr>
      <w:tr w:rsidR="00722094" w:rsidRPr="001F3AF2" w14:paraId="29999884" w14:textId="77777777" w:rsidTr="00B612D5">
        <w:trPr>
          <w:trHeight w:val="20"/>
          <w:jc w:val="center"/>
        </w:trPr>
        <w:tc>
          <w:tcPr>
            <w:tcW w:w="3614" w:type="dxa"/>
            <w:shd w:val="clear" w:color="auto" w:fill="auto"/>
          </w:tcPr>
          <w:p w14:paraId="3893FAE5" w14:textId="77777777" w:rsidR="00722094" w:rsidRPr="001F3AF2" w:rsidRDefault="00722094" w:rsidP="00E869EB">
            <w:pPr>
              <w:rPr>
                <w:i/>
                <w:sz w:val="24"/>
              </w:rPr>
            </w:pPr>
            <w:r w:rsidRPr="001F3AF2">
              <w:rPr>
                <w:i/>
                <w:sz w:val="24"/>
              </w:rPr>
              <w:t>Odpovědní zástupci pro jednání:</w:t>
            </w:r>
          </w:p>
        </w:tc>
        <w:tc>
          <w:tcPr>
            <w:tcW w:w="6164" w:type="dxa"/>
            <w:shd w:val="clear" w:color="auto" w:fill="auto"/>
          </w:tcPr>
          <w:p w14:paraId="200CE428" w14:textId="77777777" w:rsidR="00722094" w:rsidRPr="001F3AF2" w:rsidRDefault="00722094" w:rsidP="00CC796D">
            <w:pPr>
              <w:spacing w:before="120"/>
              <w:rPr>
                <w:sz w:val="24"/>
              </w:rPr>
            </w:pPr>
          </w:p>
        </w:tc>
      </w:tr>
      <w:tr w:rsidR="00722094" w:rsidRPr="001F3AF2" w14:paraId="5125CBB9" w14:textId="77777777" w:rsidTr="00B612D5">
        <w:trPr>
          <w:trHeight w:val="20"/>
          <w:jc w:val="center"/>
        </w:trPr>
        <w:tc>
          <w:tcPr>
            <w:tcW w:w="3614" w:type="dxa"/>
            <w:shd w:val="clear" w:color="auto" w:fill="auto"/>
          </w:tcPr>
          <w:p w14:paraId="047CCC75" w14:textId="77777777" w:rsidR="00722094" w:rsidRPr="001F3AF2" w:rsidRDefault="00722094" w:rsidP="00E869EB">
            <w:pPr>
              <w:rPr>
                <w:i/>
                <w:sz w:val="24"/>
              </w:rPr>
            </w:pPr>
            <w:r w:rsidRPr="001F3AF2">
              <w:rPr>
                <w:i/>
                <w:sz w:val="24"/>
              </w:rPr>
              <w:t>- jednat ve věcech smluvních:</w:t>
            </w:r>
          </w:p>
        </w:tc>
        <w:tc>
          <w:tcPr>
            <w:tcW w:w="6164" w:type="dxa"/>
            <w:shd w:val="clear" w:color="auto" w:fill="auto"/>
          </w:tcPr>
          <w:p w14:paraId="42BC6970" w14:textId="786B559B" w:rsidR="00722094" w:rsidRPr="001F3AF2" w:rsidRDefault="00A1548B" w:rsidP="00E21DAA">
            <w:pPr>
              <w:spacing w:before="120"/>
              <w:rPr>
                <w:sz w:val="24"/>
              </w:rPr>
            </w:pPr>
            <w:r>
              <w:rPr>
                <w:bCs/>
                <w:sz w:val="24"/>
              </w:rPr>
              <w:t>XXXXX</w:t>
            </w:r>
          </w:p>
        </w:tc>
      </w:tr>
      <w:tr w:rsidR="00722094" w:rsidRPr="001F3AF2" w14:paraId="70C22497" w14:textId="77777777" w:rsidTr="00B612D5">
        <w:trPr>
          <w:trHeight w:val="20"/>
          <w:jc w:val="center"/>
        </w:trPr>
        <w:tc>
          <w:tcPr>
            <w:tcW w:w="3614" w:type="dxa"/>
            <w:shd w:val="clear" w:color="auto" w:fill="auto"/>
          </w:tcPr>
          <w:p w14:paraId="32055079" w14:textId="77777777" w:rsidR="00722094" w:rsidRPr="001F3AF2" w:rsidRDefault="00722094" w:rsidP="00FD46EB">
            <w:pPr>
              <w:rPr>
                <w:i/>
                <w:sz w:val="24"/>
              </w:rPr>
            </w:pPr>
            <w:r w:rsidRPr="001F3AF2">
              <w:rPr>
                <w:i/>
                <w:sz w:val="24"/>
              </w:rPr>
              <w:t>- jednat ve věcech technických:</w:t>
            </w:r>
          </w:p>
        </w:tc>
        <w:tc>
          <w:tcPr>
            <w:tcW w:w="6164" w:type="dxa"/>
            <w:shd w:val="clear" w:color="auto" w:fill="auto"/>
          </w:tcPr>
          <w:p w14:paraId="10ED0AC0" w14:textId="0D6B74AC" w:rsidR="00722094" w:rsidRPr="001F3AF2" w:rsidRDefault="00A1548B" w:rsidP="00E21DAA">
            <w:pPr>
              <w:spacing w:before="120"/>
              <w:rPr>
                <w:sz w:val="24"/>
              </w:rPr>
            </w:pPr>
            <w:r>
              <w:rPr>
                <w:bCs/>
                <w:sz w:val="24"/>
              </w:rPr>
              <w:t>XXXXX</w:t>
            </w:r>
          </w:p>
        </w:tc>
      </w:tr>
      <w:tr w:rsidR="00E869EB" w14:paraId="74511CF2" w14:textId="77777777" w:rsidTr="005E3302">
        <w:trPr>
          <w:trHeight w:val="20"/>
          <w:jc w:val="center"/>
        </w:trPr>
        <w:tc>
          <w:tcPr>
            <w:tcW w:w="3614" w:type="dxa"/>
            <w:tcBorders>
              <w:bottom w:val="nil"/>
            </w:tcBorders>
            <w:shd w:val="clear" w:color="auto" w:fill="auto"/>
          </w:tcPr>
          <w:p w14:paraId="6302A193" w14:textId="77777777" w:rsidR="00E869EB" w:rsidRDefault="00E869EB" w:rsidP="00FD46EB">
            <w:pPr>
              <w:spacing w:after="120"/>
              <w:rPr>
                <w:i/>
                <w:sz w:val="24"/>
              </w:rPr>
            </w:pPr>
            <w:r w:rsidRPr="001F3AF2">
              <w:rPr>
                <w:i/>
                <w:sz w:val="24"/>
              </w:rPr>
              <w:t>(dále jen „zhotovitel“)</w:t>
            </w:r>
            <w:r>
              <w:rPr>
                <w:i/>
                <w:sz w:val="24"/>
              </w:rPr>
              <w:t xml:space="preserve">  </w:t>
            </w:r>
          </w:p>
        </w:tc>
        <w:tc>
          <w:tcPr>
            <w:tcW w:w="6164" w:type="dxa"/>
            <w:tcBorders>
              <w:bottom w:val="nil"/>
            </w:tcBorders>
          </w:tcPr>
          <w:p w14:paraId="76FD73D1" w14:textId="77777777" w:rsidR="00E869EB" w:rsidRDefault="00E869EB" w:rsidP="00FD46EB">
            <w:pPr>
              <w:spacing w:beforeLines="20" w:before="48"/>
              <w:rPr>
                <w:sz w:val="24"/>
              </w:rPr>
            </w:pPr>
          </w:p>
        </w:tc>
      </w:tr>
    </w:tbl>
    <w:p w14:paraId="66D07236" w14:textId="77777777" w:rsidR="00E869EB" w:rsidRDefault="00E869EB" w:rsidP="002E7917">
      <w:pPr>
        <w:spacing w:beforeLines="20" w:before="48"/>
        <w:ind w:left="-284"/>
        <w:jc w:val="both"/>
        <w:rPr>
          <w:sz w:val="24"/>
        </w:rPr>
      </w:pPr>
    </w:p>
    <w:p w14:paraId="65BA7D06" w14:textId="77777777" w:rsidR="00AE2642" w:rsidRDefault="00AE2642" w:rsidP="002E7917">
      <w:pPr>
        <w:spacing w:beforeLines="20" w:before="48"/>
        <w:ind w:left="-284"/>
        <w:jc w:val="both"/>
        <w:rPr>
          <w:sz w:val="24"/>
        </w:rPr>
      </w:pPr>
      <w:r w:rsidRPr="007B268E">
        <w:rPr>
          <w:sz w:val="24"/>
        </w:rPr>
        <w:t>za takto dohodnutých podmínek:</w:t>
      </w:r>
    </w:p>
    <w:p w14:paraId="3E5B2F3D" w14:textId="77777777" w:rsidR="00C042BD" w:rsidRDefault="00C042BD" w:rsidP="002E7917">
      <w:pPr>
        <w:spacing w:beforeLines="20" w:before="48"/>
        <w:ind w:left="-284"/>
        <w:jc w:val="both"/>
        <w:rPr>
          <w:sz w:val="24"/>
        </w:rPr>
      </w:pPr>
    </w:p>
    <w:p w14:paraId="4B300BC1" w14:textId="77777777" w:rsidR="007814F4" w:rsidRDefault="007814F4" w:rsidP="002E7917">
      <w:pPr>
        <w:spacing w:beforeLines="20" w:before="48"/>
        <w:ind w:left="-284"/>
        <w:jc w:val="both"/>
        <w:rPr>
          <w:sz w:val="24"/>
        </w:rPr>
      </w:pPr>
    </w:p>
    <w:p w14:paraId="0D3FC7BA" w14:textId="77777777" w:rsidR="007814F4" w:rsidRDefault="007814F4" w:rsidP="002E7917">
      <w:pPr>
        <w:spacing w:beforeLines="20" w:before="48"/>
        <w:ind w:left="-284"/>
        <w:jc w:val="both"/>
        <w:rPr>
          <w:sz w:val="24"/>
        </w:rPr>
      </w:pPr>
    </w:p>
    <w:p w14:paraId="62DDF187" w14:textId="77777777" w:rsidR="007814F4" w:rsidRDefault="007814F4" w:rsidP="002E7917">
      <w:pPr>
        <w:spacing w:beforeLines="20" w:before="48"/>
        <w:ind w:left="-284"/>
        <w:jc w:val="both"/>
        <w:rPr>
          <w:sz w:val="24"/>
        </w:rPr>
      </w:pPr>
    </w:p>
    <w:p w14:paraId="7787A267" w14:textId="77777777" w:rsidR="007814F4" w:rsidRDefault="007814F4" w:rsidP="002E7917">
      <w:pPr>
        <w:spacing w:beforeLines="20" w:before="48"/>
        <w:ind w:left="-284"/>
        <w:jc w:val="both"/>
        <w:rPr>
          <w:sz w:val="24"/>
        </w:rPr>
      </w:pPr>
    </w:p>
    <w:p w14:paraId="296E4BDF" w14:textId="77777777" w:rsidR="00857513" w:rsidRPr="0093306C" w:rsidRDefault="00CC1D62" w:rsidP="003A4CC7">
      <w:pPr>
        <w:shd w:val="clear" w:color="00FFFF" w:fill="auto"/>
        <w:spacing w:beforeLines="20" w:before="48" w:after="120"/>
        <w:jc w:val="center"/>
        <w:rPr>
          <w:b/>
          <w:caps/>
          <w:sz w:val="24"/>
        </w:rPr>
      </w:pPr>
      <w:r w:rsidRPr="0093306C">
        <w:rPr>
          <w:b/>
          <w:caps/>
          <w:sz w:val="24"/>
        </w:rPr>
        <w:lastRenderedPageBreak/>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076166A2" w14:textId="77777777" w:rsidR="00A660B6" w:rsidRDefault="007814F4" w:rsidP="00D468A2">
      <w:pPr>
        <w:pStyle w:val="Zhlav"/>
        <w:spacing w:after="240"/>
        <w:jc w:val="both"/>
        <w:rPr>
          <w:sz w:val="24"/>
          <w:szCs w:val="24"/>
        </w:rPr>
      </w:pPr>
      <w:r w:rsidRPr="0088413A">
        <w:rPr>
          <w:sz w:val="24"/>
          <w:szCs w:val="24"/>
        </w:rPr>
        <w:t>Předmětem této smlouvy je závazek zhotovitele zajistit</w:t>
      </w:r>
      <w:r>
        <w:rPr>
          <w:sz w:val="24"/>
          <w:szCs w:val="24"/>
        </w:rPr>
        <w:t xml:space="preserve"> pro objednatele </w:t>
      </w:r>
      <w:r w:rsidR="00A660B6">
        <w:rPr>
          <w:sz w:val="24"/>
          <w:szCs w:val="24"/>
        </w:rPr>
        <w:t>výměnu prosklené fasády a související stavební úpravy tělocvičny v Hradci Králové, ul. Heyrovského č. p. 1213.</w:t>
      </w:r>
    </w:p>
    <w:p w14:paraId="421DB3AE" w14:textId="77777777" w:rsidR="007814F4" w:rsidRDefault="007814F4" w:rsidP="00D468A2">
      <w:pPr>
        <w:spacing w:beforeLines="20" w:before="48" w:after="240"/>
        <w:jc w:val="both"/>
        <w:rPr>
          <w:sz w:val="24"/>
          <w:szCs w:val="24"/>
        </w:rPr>
      </w:pPr>
      <w:r>
        <w:rPr>
          <w:sz w:val="24"/>
          <w:szCs w:val="24"/>
        </w:rPr>
        <w:t>Podrobná specifikace prací:</w:t>
      </w:r>
    </w:p>
    <w:p w14:paraId="22358FC5" w14:textId="43CC3161" w:rsidR="007814F4"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vlastní realizaci díla podle zpracované projektové dokumentace „Výměna prosklené fasády a spojené stavební úpravy se zateplením objektu – tělocvična – Heyrovského ulice – Hradec Králové“, zpracovaná ATELIER SCHMIED SDRUŽENÍ, KONGRESOVÉ CENTRUM ALDIS, Eliščino Nábřeží 375, Hradec Králové 500 03</w:t>
      </w:r>
      <w:r w:rsidR="0036491E">
        <w:rPr>
          <w:rFonts w:ascii="Times New Roman" w:eastAsia="Times New Roman" w:hAnsi="Times New Roman" w:cs="Times New Roman"/>
          <w:sz w:val="24"/>
          <w:szCs w:val="24"/>
        </w:rPr>
        <w:t xml:space="preserve"> a dle oceněného soupisu stavebních prací, dodávek a služeb, který je nedílnou přílohou č. 2 </w:t>
      </w:r>
      <w:proofErr w:type="gramStart"/>
      <w:r w:rsidR="0036491E">
        <w:rPr>
          <w:rFonts w:ascii="Times New Roman" w:eastAsia="Times New Roman" w:hAnsi="Times New Roman" w:cs="Times New Roman"/>
          <w:sz w:val="24"/>
          <w:szCs w:val="24"/>
        </w:rPr>
        <w:t>této</w:t>
      </w:r>
      <w:proofErr w:type="gramEnd"/>
      <w:r w:rsidR="0036491E">
        <w:rPr>
          <w:rFonts w:ascii="Times New Roman" w:eastAsia="Times New Roman" w:hAnsi="Times New Roman" w:cs="Times New Roman"/>
          <w:sz w:val="24"/>
          <w:szCs w:val="24"/>
        </w:rPr>
        <w:t xml:space="preserve"> smlouvy.</w:t>
      </w:r>
    </w:p>
    <w:p w14:paraId="7BD9304F" w14:textId="7B91CC69"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Provést výměnu ležatých dešťových svodů. Nové dešťové svody budou napojeny na</w:t>
      </w:r>
      <w:r w:rsidR="001F3AF2">
        <w:rPr>
          <w:rFonts w:ascii="Times New Roman" w:eastAsia="Times New Roman" w:hAnsi="Times New Roman" w:cs="Times New Roman"/>
          <w:sz w:val="24"/>
          <w:szCs w:val="24"/>
        </w:rPr>
        <w:t> </w:t>
      </w:r>
      <w:r w:rsidRPr="00A660B6">
        <w:rPr>
          <w:rFonts w:ascii="Times New Roman" w:eastAsia="Times New Roman" w:hAnsi="Times New Roman" w:cs="Times New Roman"/>
          <w:sz w:val="24"/>
          <w:szCs w:val="24"/>
        </w:rPr>
        <w:t>vyhřívané střešní vpusti z roku 2012. Rozvody budou z plastu, vedeny nad podhledem v původní trase a budou také vyhřívány pomocí topných kabelů, které budou okolo potrubí omotány. Potrubí vedené pod střechou (svody) bude izolováno v</w:t>
      </w:r>
      <w:r w:rsidR="001F3AF2">
        <w:rPr>
          <w:rFonts w:ascii="Times New Roman" w:eastAsia="Times New Roman" w:hAnsi="Times New Roman" w:cs="Times New Roman"/>
          <w:sz w:val="24"/>
          <w:szCs w:val="24"/>
        </w:rPr>
        <w:t> </w:t>
      </w:r>
      <w:r w:rsidRPr="00A660B6">
        <w:rPr>
          <w:rFonts w:ascii="Times New Roman" w:eastAsia="Times New Roman" w:hAnsi="Times New Roman" w:cs="Times New Roman"/>
          <w:sz w:val="24"/>
          <w:szCs w:val="24"/>
        </w:rPr>
        <w:t>tloušťce 2 cm. Před napojením svodu do odpadu bude na potrubí osazen čistící kus. Dešťové svody jsou navrženy z trub plastových HT DN 150, spád svodů alespoň 2 %. Potrubí bude ukotveno do zdi (vedle potrubí kanalizace je v podhledu vedeno potrubí VZT). Vyhřívání svodů je navrženo pomocí topných kabelů omotaných kolem potrubí. Regulace systému je navržena pomocí regulátorů s vnějším teplotním senzorem. Výkonové zatížení pro ohřev svodů se uvažuje v rozmezí 40 – 50 W/m. Maximální instalovaný výkon pro plastové svody 40 W/m a pro kovové svody 50 W/m. Před uvedením do provozu musí být zařízení podrobeno výchozí revizi a musí být zajištěn souhlasný stav výkresové dokumentace se skutečným provedením. Napájení topných kabelů bude zajištěno z rozvaděče instalovaného v roce 2012 v místnosti vzduchotechniky.</w:t>
      </w:r>
    </w:p>
    <w:p w14:paraId="09BED45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Průběžně pořizovat fotodokumentaci.</w:t>
      </w:r>
    </w:p>
    <w:p w14:paraId="78E56B3D" w14:textId="15CC9CFA"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Doložit veškeré výchozí revize, protokoly o příslušných zkouškách, atesty výrobků a</w:t>
      </w:r>
      <w:r w:rsidR="001F3AF2">
        <w:rPr>
          <w:rFonts w:ascii="Times New Roman" w:eastAsia="Times New Roman" w:hAnsi="Times New Roman" w:cs="Times New Roman"/>
          <w:sz w:val="24"/>
          <w:szCs w:val="24"/>
        </w:rPr>
        <w:t> </w:t>
      </w:r>
      <w:r w:rsidRPr="00A660B6">
        <w:rPr>
          <w:rFonts w:ascii="Times New Roman" w:eastAsia="Times New Roman" w:hAnsi="Times New Roman" w:cs="Times New Roman"/>
          <w:sz w:val="24"/>
          <w:szCs w:val="24"/>
        </w:rPr>
        <w:t>materiálu, doložit prohlášení o shodě na dodané výrobky a ostatní doklady pro vydání kolaudačního souhlasu k provozu.</w:t>
      </w:r>
    </w:p>
    <w:p w14:paraId="14500E9B"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Zajistit vydání kolaudačního souhlasu.</w:t>
      </w:r>
    </w:p>
    <w:p w14:paraId="4BCAC55D" w14:textId="02C6EC19" w:rsidR="00A660B6" w:rsidRP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 xml:space="preserve">Zpracovat PD skutečného provedení stavby 3x v listinné podobě </w:t>
      </w:r>
      <w:r w:rsidRPr="000D4910">
        <w:rPr>
          <w:rFonts w:ascii="Times New Roman" w:eastAsia="Times New Roman" w:hAnsi="Times New Roman" w:cs="Times New Roman"/>
          <w:sz w:val="24"/>
          <w:szCs w:val="24"/>
        </w:rPr>
        <w:t>a 1x v elektronické podobě na CD (ve formátu *.</w:t>
      </w:r>
      <w:proofErr w:type="spellStart"/>
      <w:r w:rsidRPr="000D4910">
        <w:rPr>
          <w:rFonts w:ascii="Times New Roman" w:eastAsia="Times New Roman" w:hAnsi="Times New Roman" w:cs="Times New Roman"/>
          <w:sz w:val="24"/>
          <w:szCs w:val="24"/>
        </w:rPr>
        <w:t>pdf</w:t>
      </w:r>
      <w:proofErr w:type="spellEnd"/>
      <w:r w:rsidRPr="000D4910">
        <w:rPr>
          <w:rFonts w:ascii="Times New Roman" w:eastAsia="Times New Roman" w:hAnsi="Times New Roman" w:cs="Times New Roman"/>
          <w:sz w:val="24"/>
          <w:szCs w:val="24"/>
        </w:rPr>
        <w:t xml:space="preserve"> a také zároveň ve formátu *.doc, *.</w:t>
      </w:r>
      <w:proofErr w:type="spellStart"/>
      <w:r w:rsidRPr="000D4910">
        <w:rPr>
          <w:rFonts w:ascii="Times New Roman" w:eastAsia="Times New Roman" w:hAnsi="Times New Roman" w:cs="Times New Roman"/>
          <w:sz w:val="24"/>
          <w:szCs w:val="24"/>
        </w:rPr>
        <w:t>xls</w:t>
      </w:r>
      <w:proofErr w:type="spellEnd"/>
      <w:r w:rsidRPr="000D4910">
        <w:rPr>
          <w:rFonts w:ascii="Times New Roman" w:eastAsia="Times New Roman" w:hAnsi="Times New Roman" w:cs="Times New Roman"/>
          <w:sz w:val="24"/>
          <w:szCs w:val="24"/>
        </w:rPr>
        <w:t xml:space="preserve"> *.</w:t>
      </w:r>
      <w:proofErr w:type="spellStart"/>
      <w:r w:rsidRPr="000D4910">
        <w:rPr>
          <w:rFonts w:ascii="Times New Roman" w:eastAsia="Times New Roman" w:hAnsi="Times New Roman" w:cs="Times New Roman"/>
          <w:sz w:val="24"/>
          <w:szCs w:val="24"/>
        </w:rPr>
        <w:t>dwg</w:t>
      </w:r>
      <w:proofErr w:type="spellEnd"/>
      <w:r w:rsidRPr="000D4910">
        <w:rPr>
          <w:rFonts w:ascii="Times New Roman" w:eastAsia="Times New Roman" w:hAnsi="Times New Roman" w:cs="Times New Roman"/>
          <w:sz w:val="24"/>
          <w:szCs w:val="24"/>
        </w:rPr>
        <w:t>) – podle Vyhlášky č. 499/2006 Sb. v platném znění.</w:t>
      </w:r>
    </w:p>
    <w:p w14:paraId="3D025CB9" w14:textId="16A0E943" w:rsidR="00A660B6" w:rsidRPr="000D4910"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0D4910">
        <w:rPr>
          <w:rFonts w:ascii="Times New Roman" w:eastAsia="Times New Roman" w:hAnsi="Times New Roman" w:cs="Times New Roman"/>
          <w:sz w:val="24"/>
          <w:szCs w:val="24"/>
        </w:rPr>
        <w:t xml:space="preserve">Součástí plnění je průběžný a závěrečný úklid, odvoz a ekologická likvidace demontovaného materiálu a veškerého vzniklého odpadu včetně uložení na skládku. Doklady o likvidaci odpadu budou předány zástupci </w:t>
      </w:r>
      <w:r w:rsidR="0077705B">
        <w:rPr>
          <w:rFonts w:ascii="Times New Roman" w:eastAsia="Times New Roman" w:hAnsi="Times New Roman" w:cs="Times New Roman"/>
          <w:sz w:val="24"/>
          <w:szCs w:val="24"/>
        </w:rPr>
        <w:t>objednatele</w:t>
      </w:r>
      <w:r w:rsidRPr="000D4910">
        <w:rPr>
          <w:rFonts w:ascii="Times New Roman" w:eastAsia="Times New Roman" w:hAnsi="Times New Roman" w:cs="Times New Roman"/>
          <w:sz w:val="24"/>
          <w:szCs w:val="24"/>
        </w:rPr>
        <w:t xml:space="preserve"> nejpozději do týdne od jejich vystavení, a to včetně dokladů o výkupu – vážní lístky.</w:t>
      </w:r>
    </w:p>
    <w:p w14:paraId="6C3EC666" w14:textId="77777777" w:rsidR="00A660B6" w:rsidRPr="00A660B6" w:rsidRDefault="00A660B6" w:rsidP="00A660B6">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Bezpečnostní značení dle norem.</w:t>
      </w:r>
    </w:p>
    <w:p w14:paraId="3F4E39A8" w14:textId="77777777" w:rsidR="000D4910" w:rsidRDefault="00A660B6"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sidRPr="00A660B6">
        <w:rPr>
          <w:rFonts w:ascii="Times New Roman" w:eastAsia="Times New Roman" w:hAnsi="Times New Roman" w:cs="Times New Roman"/>
          <w:sz w:val="24"/>
          <w:szCs w:val="24"/>
        </w:rPr>
        <w:t>U veškerých prací a činností, které budou prováděny za plného provozu v budovách, je nutno dodržovat bezpečnostní předpisy, požární předpisy, požární dozor a dohled, příp. další technický dohled</w:t>
      </w:r>
      <w:r w:rsidR="000D4910">
        <w:rPr>
          <w:rFonts w:ascii="Times New Roman" w:eastAsia="Times New Roman" w:hAnsi="Times New Roman" w:cs="Times New Roman"/>
          <w:sz w:val="24"/>
          <w:szCs w:val="24"/>
        </w:rPr>
        <w:t>.</w:t>
      </w:r>
    </w:p>
    <w:p w14:paraId="3706AC96" w14:textId="0DBBD251" w:rsidR="000D4910" w:rsidRPr="000D4910" w:rsidRDefault="000D4910" w:rsidP="000D4910">
      <w:pPr>
        <w:pStyle w:val="Bodytext20"/>
        <w:numPr>
          <w:ilvl w:val="0"/>
          <w:numId w:val="37"/>
        </w:numPr>
        <w:shd w:val="clear" w:color="auto" w:fill="auto"/>
        <w:spacing w:before="0" w:after="0" w:line="24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Veškeré požadované práce realizovat za dodržení platných bezpečnostních a</w:t>
      </w:r>
      <w:r w:rsidR="001F3AF2">
        <w:rPr>
          <w:rFonts w:ascii="Times New Roman" w:eastAsia="Times New Roman" w:hAnsi="Times New Roman" w:cs="Times New Roman"/>
          <w:sz w:val="24"/>
          <w:szCs w:val="24"/>
        </w:rPr>
        <w:t> </w:t>
      </w:r>
      <w:r>
        <w:rPr>
          <w:rFonts w:ascii="Times New Roman" w:eastAsia="Times New Roman" w:hAnsi="Times New Roman" w:cs="Times New Roman"/>
          <w:sz w:val="24"/>
          <w:szCs w:val="24"/>
        </w:rPr>
        <w:t>hygienických norem a předpisů, předepsaných technologických postupů a</w:t>
      </w:r>
      <w:r w:rsidR="001F3AF2">
        <w:rPr>
          <w:rFonts w:ascii="Times New Roman" w:eastAsia="Times New Roman" w:hAnsi="Times New Roman" w:cs="Times New Roman"/>
          <w:sz w:val="24"/>
          <w:szCs w:val="24"/>
        </w:rPr>
        <w:t> </w:t>
      </w:r>
      <w:r>
        <w:rPr>
          <w:rFonts w:ascii="Times New Roman" w:eastAsia="Times New Roman" w:hAnsi="Times New Roman" w:cs="Times New Roman"/>
          <w:sz w:val="24"/>
          <w:szCs w:val="24"/>
        </w:rPr>
        <w:t>technických norem, které jsou pro uvedený předmět díla závazné. Dílo bude provedeno v nejvyšší kvalitě a dodávky materiálu budou v první jakostní třídě doloženy certifikáty a prohlášení o shodě, musí být jasně a zřetelně znám výrobce dodávaného výrobku či materiálu. Při realizaci díla nesmí být poškozena střecha budovy 003 – společenská část, která je v záruční době.</w:t>
      </w:r>
    </w:p>
    <w:p w14:paraId="1617C612" w14:textId="77777777" w:rsidR="007814F4" w:rsidRDefault="007814F4" w:rsidP="00566F27">
      <w:pPr>
        <w:spacing w:line="288" w:lineRule="auto"/>
        <w:ind w:left="714"/>
        <w:jc w:val="both"/>
        <w:rPr>
          <w:color w:val="FF0000"/>
          <w:sz w:val="24"/>
          <w:szCs w:val="24"/>
        </w:rPr>
      </w:pPr>
    </w:p>
    <w:p w14:paraId="63A0B204" w14:textId="77777777" w:rsidR="00D37ADB" w:rsidRPr="00C80DC9" w:rsidRDefault="00D37ADB" w:rsidP="00566F27">
      <w:pPr>
        <w:spacing w:line="288" w:lineRule="auto"/>
        <w:ind w:left="714"/>
        <w:jc w:val="both"/>
        <w:rPr>
          <w:color w:val="FF0000"/>
          <w:sz w:val="24"/>
          <w:szCs w:val="24"/>
        </w:rPr>
      </w:pPr>
    </w:p>
    <w:p w14:paraId="29165045" w14:textId="77777777"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58123597" w14:textId="1A31B96B"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7814F4">
        <w:rPr>
          <w:sz w:val="24"/>
          <w:szCs w:val="24"/>
        </w:rPr>
        <w:tab/>
      </w:r>
      <w:r w:rsidR="007814F4">
        <w:rPr>
          <w:sz w:val="24"/>
          <w:szCs w:val="24"/>
        </w:rPr>
        <w:tab/>
      </w:r>
      <w:r w:rsidR="00981300">
        <w:rPr>
          <w:sz w:val="24"/>
          <w:szCs w:val="24"/>
        </w:rPr>
        <w:t>dle č</w:t>
      </w:r>
      <w:r w:rsidR="001F3AF2">
        <w:rPr>
          <w:sz w:val="24"/>
          <w:szCs w:val="24"/>
        </w:rPr>
        <w:t>l</w:t>
      </w:r>
      <w:r w:rsidR="00981300">
        <w:rPr>
          <w:sz w:val="24"/>
          <w:szCs w:val="24"/>
        </w:rPr>
        <w:t xml:space="preserve">. </w:t>
      </w:r>
      <w:r w:rsidR="007A36AF">
        <w:rPr>
          <w:sz w:val="24"/>
          <w:szCs w:val="24"/>
        </w:rPr>
        <w:t>XII</w:t>
      </w:r>
      <w:r w:rsidR="00AE2BBA">
        <w:rPr>
          <w:sz w:val="24"/>
          <w:szCs w:val="24"/>
        </w:rPr>
        <w:t>.</w:t>
      </w:r>
      <w:r w:rsidR="007A36AF">
        <w:rPr>
          <w:sz w:val="24"/>
          <w:szCs w:val="24"/>
        </w:rPr>
        <w:t xml:space="preserve"> odst.</w:t>
      </w:r>
      <w:r w:rsidR="007814F4">
        <w:rPr>
          <w:sz w:val="24"/>
          <w:szCs w:val="24"/>
        </w:rPr>
        <w:t xml:space="preserve"> </w:t>
      </w:r>
      <w:r w:rsidR="00AE2BBA">
        <w:rPr>
          <w:sz w:val="24"/>
          <w:szCs w:val="24"/>
        </w:rPr>
        <w:t>2. této smlouvy</w:t>
      </w:r>
      <w:r w:rsidR="000B70BA">
        <w:rPr>
          <w:sz w:val="24"/>
          <w:szCs w:val="24"/>
        </w:rPr>
        <w:t xml:space="preserve"> </w:t>
      </w:r>
    </w:p>
    <w:p w14:paraId="6A47A0D5" w14:textId="77777777" w:rsidR="0036491E" w:rsidRDefault="0036491E" w:rsidP="007814F4">
      <w:pPr>
        <w:rPr>
          <w:sz w:val="24"/>
          <w:szCs w:val="24"/>
        </w:rPr>
      </w:pPr>
    </w:p>
    <w:p w14:paraId="4D9EC97B" w14:textId="538BC029" w:rsidR="007814F4" w:rsidRDefault="007814F4" w:rsidP="007814F4">
      <w:pPr>
        <w:rPr>
          <w:sz w:val="24"/>
          <w:szCs w:val="24"/>
        </w:rPr>
      </w:pPr>
      <w:r w:rsidRPr="00852925">
        <w:rPr>
          <w:sz w:val="24"/>
          <w:szCs w:val="24"/>
        </w:rPr>
        <w:t xml:space="preserve">Termín </w:t>
      </w:r>
      <w:r w:rsidR="00A660B6">
        <w:rPr>
          <w:sz w:val="24"/>
          <w:szCs w:val="24"/>
        </w:rPr>
        <w:t>dokončení a předání díla</w:t>
      </w:r>
      <w:r w:rsidR="0036491E">
        <w:rPr>
          <w:sz w:val="24"/>
          <w:szCs w:val="24"/>
        </w:rPr>
        <w:t xml:space="preserve"> včetně předložení kolaudačního souhlasu:</w:t>
      </w:r>
      <w:r w:rsidRPr="00852925">
        <w:rPr>
          <w:sz w:val="24"/>
          <w:szCs w:val="24"/>
        </w:rPr>
        <w:t xml:space="preserve"> </w:t>
      </w:r>
      <w:r>
        <w:rPr>
          <w:sz w:val="24"/>
          <w:szCs w:val="24"/>
        </w:rPr>
        <w:tab/>
      </w:r>
      <w:r>
        <w:rPr>
          <w:sz w:val="24"/>
          <w:szCs w:val="24"/>
        </w:rPr>
        <w:tab/>
      </w:r>
    </w:p>
    <w:p w14:paraId="698D29D1" w14:textId="77777777" w:rsidR="0036491E"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FA4558A" w14:textId="0126F26C" w:rsidR="007814F4" w:rsidRDefault="0036491E" w:rsidP="007814F4">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7814F4">
        <w:rPr>
          <w:sz w:val="24"/>
          <w:szCs w:val="24"/>
        </w:rPr>
        <w:tab/>
      </w:r>
      <w:r w:rsidR="007814F4">
        <w:rPr>
          <w:sz w:val="24"/>
          <w:szCs w:val="24"/>
        </w:rPr>
        <w:tab/>
      </w:r>
      <w:r w:rsidR="00257555">
        <w:rPr>
          <w:sz w:val="24"/>
          <w:szCs w:val="24"/>
        </w:rPr>
        <w:t xml:space="preserve">do </w:t>
      </w:r>
      <w:r w:rsidR="007814F4">
        <w:rPr>
          <w:sz w:val="24"/>
          <w:szCs w:val="24"/>
        </w:rPr>
        <w:t>15. 12. 2017</w:t>
      </w:r>
    </w:p>
    <w:p w14:paraId="3E727184" w14:textId="77777777" w:rsidR="007814F4" w:rsidRDefault="007814F4" w:rsidP="007814F4">
      <w:pPr>
        <w:rPr>
          <w:sz w:val="24"/>
          <w:szCs w:val="24"/>
        </w:rPr>
      </w:pPr>
    </w:p>
    <w:p w14:paraId="47799B63" w14:textId="77777777" w:rsidR="007814F4" w:rsidRPr="00852925" w:rsidRDefault="007814F4" w:rsidP="007814F4">
      <w:pPr>
        <w:rPr>
          <w:sz w:val="24"/>
          <w:szCs w:val="24"/>
        </w:rPr>
      </w:pPr>
      <w:r w:rsidRPr="00852925">
        <w:rPr>
          <w:sz w:val="24"/>
          <w:szCs w:val="24"/>
        </w:rPr>
        <w:t xml:space="preserve">Místo plnění: </w:t>
      </w:r>
      <w:r w:rsidR="00257555">
        <w:rPr>
          <w:sz w:val="24"/>
          <w:szCs w:val="24"/>
        </w:rPr>
        <w:tab/>
      </w:r>
      <w:r w:rsidR="00257555">
        <w:rPr>
          <w:sz w:val="24"/>
          <w:szCs w:val="24"/>
        </w:rPr>
        <w:tab/>
        <w:t>tělocvična ul. Heyrovského, Heyrovského 1213, Hradec Králové</w:t>
      </w:r>
    </w:p>
    <w:p w14:paraId="1F4AF4EA" w14:textId="77777777" w:rsidR="007814F4" w:rsidRDefault="007814F4" w:rsidP="007814F4">
      <w:pPr>
        <w:rPr>
          <w:sz w:val="24"/>
          <w:szCs w:val="24"/>
        </w:rPr>
      </w:pPr>
    </w:p>
    <w:p w14:paraId="3CC99BBC" w14:textId="77777777" w:rsidR="00160D7E" w:rsidRDefault="00160D7E" w:rsidP="00160D7E">
      <w:pPr>
        <w:rPr>
          <w:sz w:val="24"/>
          <w:szCs w:val="24"/>
        </w:rPr>
      </w:pPr>
    </w:p>
    <w:p w14:paraId="4658D067" w14:textId="0981978C" w:rsidR="00160D7E" w:rsidRPr="00160D7E" w:rsidRDefault="004C24D7" w:rsidP="004C24D7">
      <w:pPr>
        <w:spacing w:line="276" w:lineRule="auto"/>
        <w:jc w:val="both"/>
        <w:rPr>
          <w:sz w:val="24"/>
          <w:szCs w:val="24"/>
        </w:rPr>
      </w:pPr>
      <w:r w:rsidRPr="001E06AC">
        <w:rPr>
          <w:sz w:val="24"/>
          <w:szCs w:val="24"/>
        </w:rPr>
        <w:t>Výměnu ležatých dešťových svodů a prosklené fasády je nutné realizovat</w:t>
      </w:r>
      <w:r>
        <w:rPr>
          <w:sz w:val="24"/>
          <w:szCs w:val="24"/>
        </w:rPr>
        <w:t xml:space="preserve"> nejpozději do konce září 2017.</w:t>
      </w:r>
    </w:p>
    <w:p w14:paraId="3D5A60C6" w14:textId="77777777" w:rsidR="00160D7E" w:rsidRDefault="00160D7E" w:rsidP="007814F4">
      <w:pPr>
        <w:rPr>
          <w:sz w:val="24"/>
          <w:szCs w:val="24"/>
        </w:rPr>
      </w:pPr>
    </w:p>
    <w:p w14:paraId="26DA21A4" w14:textId="77777777" w:rsidR="00D37ADB" w:rsidRDefault="00D37ADB" w:rsidP="007814F4">
      <w:pPr>
        <w:rPr>
          <w:sz w:val="24"/>
          <w:szCs w:val="24"/>
        </w:rPr>
      </w:pPr>
    </w:p>
    <w:p w14:paraId="19A28795"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64EF2426" w14:textId="7EBA5825" w:rsidR="00962699" w:rsidRDefault="00962699" w:rsidP="00962699">
      <w:pPr>
        <w:spacing w:after="120"/>
        <w:jc w:val="both"/>
        <w:rPr>
          <w:sz w:val="24"/>
        </w:rPr>
      </w:pPr>
      <w:r>
        <w:rPr>
          <w:sz w:val="24"/>
        </w:rPr>
        <w:t>Cena za předmět díla bez DPH je cenou konečnou, nejvýše přípustnou, ve které jsou zahrnuty veškeré náklady dle článku I</w:t>
      </w:r>
      <w:r w:rsidR="001F3AF2">
        <w:rPr>
          <w:sz w:val="24"/>
        </w:rPr>
        <w:t>.</w:t>
      </w:r>
      <w:r>
        <w:rPr>
          <w:sz w:val="24"/>
        </w:rPr>
        <w:t xml:space="preserve"> této smlouvy a činí</w:t>
      </w:r>
      <w:r w:rsidR="0036491E">
        <w:rPr>
          <w:sz w:val="24"/>
        </w:rPr>
        <w:t xml:space="preserve"> </w:t>
      </w:r>
      <w:r w:rsidR="00E21DAA">
        <w:rPr>
          <w:sz w:val="24"/>
        </w:rPr>
        <w:t>9 231 982,47</w:t>
      </w:r>
      <w:r w:rsidR="0036491E" w:rsidRPr="000B70BA">
        <w:rPr>
          <w:sz w:val="24"/>
        </w:rPr>
        <w:t xml:space="preserve"> Kč</w:t>
      </w:r>
      <w:r w:rsidR="00910580">
        <w:rPr>
          <w:sz w:val="24"/>
        </w:rPr>
        <w:t>,</w:t>
      </w:r>
    </w:p>
    <w:p w14:paraId="35158930" w14:textId="77777777" w:rsidR="00962699" w:rsidRDefault="00962699" w:rsidP="00962699">
      <w:pPr>
        <w:tabs>
          <w:tab w:val="left" w:pos="1080"/>
          <w:tab w:val="right" w:pos="7740"/>
        </w:tabs>
        <w:jc w:val="both"/>
        <w:rPr>
          <w:sz w:val="24"/>
          <w:u w:val="single"/>
        </w:rPr>
      </w:pPr>
    </w:p>
    <w:p w14:paraId="163CCF01" w14:textId="4DD48524" w:rsidR="00962699" w:rsidRDefault="00962699" w:rsidP="00962699">
      <w:pPr>
        <w:tabs>
          <w:tab w:val="left" w:pos="1080"/>
          <w:tab w:val="right" w:pos="7740"/>
        </w:tabs>
        <w:jc w:val="both"/>
        <w:rPr>
          <w:sz w:val="24"/>
        </w:rPr>
      </w:pPr>
      <w:r>
        <w:rPr>
          <w:sz w:val="24"/>
        </w:rPr>
        <w:t>slovy:</w:t>
      </w:r>
      <w:r>
        <w:rPr>
          <w:sz w:val="24"/>
        </w:rPr>
        <w:tab/>
      </w:r>
      <w:r w:rsidR="00E21DAA">
        <w:rPr>
          <w:sz w:val="24"/>
        </w:rPr>
        <w:t>„</w:t>
      </w:r>
      <w:proofErr w:type="spellStart"/>
      <w:r w:rsidR="00E21DAA">
        <w:rPr>
          <w:sz w:val="24"/>
        </w:rPr>
        <w:t>devět</w:t>
      </w:r>
      <w:r w:rsidR="001F3AF2">
        <w:rPr>
          <w:sz w:val="24"/>
        </w:rPr>
        <w:t>milionů</w:t>
      </w:r>
      <w:r w:rsidR="00E21DAA">
        <w:rPr>
          <w:sz w:val="24"/>
        </w:rPr>
        <w:t>dvěstětřicetjedentisícdevětsetosmdesátdvě</w:t>
      </w:r>
      <w:proofErr w:type="spellEnd"/>
      <w:r w:rsidR="007A36AF">
        <w:rPr>
          <w:sz w:val="24"/>
        </w:rPr>
        <w:t xml:space="preserve">, </w:t>
      </w:r>
      <w:r w:rsidR="00E21DAA">
        <w:rPr>
          <w:sz w:val="24"/>
        </w:rPr>
        <w:t>47</w:t>
      </w:r>
      <w:r w:rsidR="007A36AF">
        <w:rPr>
          <w:sz w:val="24"/>
        </w:rPr>
        <w:t>/100</w:t>
      </w:r>
      <w:r w:rsidR="001F3AF2">
        <w:rPr>
          <w:sz w:val="24"/>
        </w:rPr>
        <w:t xml:space="preserve"> korun českých</w:t>
      </w:r>
      <w:r w:rsidR="007A36AF">
        <w:rPr>
          <w:sz w:val="24"/>
        </w:rPr>
        <w:t>“</w:t>
      </w:r>
      <w:r w:rsidR="00910580">
        <w:rPr>
          <w:sz w:val="24"/>
        </w:rPr>
        <w:t>.</w:t>
      </w:r>
    </w:p>
    <w:p w14:paraId="35DE27AA" w14:textId="77777777" w:rsidR="00962699" w:rsidRDefault="00962699" w:rsidP="00962699">
      <w:pPr>
        <w:jc w:val="center"/>
        <w:rPr>
          <w:sz w:val="24"/>
        </w:rPr>
      </w:pPr>
    </w:p>
    <w:p w14:paraId="4418D49F" w14:textId="77777777" w:rsidR="009A3F58" w:rsidRDefault="009A3F58" w:rsidP="00B46B1D">
      <w:pPr>
        <w:rPr>
          <w:sz w:val="24"/>
          <w:szCs w:val="24"/>
        </w:rPr>
      </w:pPr>
      <w:r w:rsidRPr="000B70BA">
        <w:rPr>
          <w:sz w:val="24"/>
          <w:szCs w:val="24"/>
        </w:rPr>
        <w:t>DPH bude účtováno v sazbě platné ke dni uskutečnění zdanitelného plnění.</w:t>
      </w:r>
    </w:p>
    <w:p w14:paraId="07A1BCFE" w14:textId="77777777" w:rsidR="00A753A3" w:rsidRDefault="00A753A3" w:rsidP="00B46B1D">
      <w:pPr>
        <w:rPr>
          <w:sz w:val="24"/>
          <w:szCs w:val="24"/>
        </w:rPr>
      </w:pPr>
    </w:p>
    <w:p w14:paraId="1949506B" w14:textId="77777777" w:rsidR="00D37ADB" w:rsidRPr="000B70BA" w:rsidRDefault="00D37ADB" w:rsidP="00B46B1D">
      <w:pPr>
        <w:rPr>
          <w:sz w:val="24"/>
          <w:szCs w:val="24"/>
        </w:rPr>
      </w:pPr>
    </w:p>
    <w:p w14:paraId="319C902B" w14:textId="77777777"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5E53A26D" w14:textId="77777777" w:rsidR="003B6F68" w:rsidRPr="003B6F68" w:rsidRDefault="003B6F68" w:rsidP="00F1449D">
      <w:pPr>
        <w:pStyle w:val="Zkladntext"/>
        <w:numPr>
          <w:ilvl w:val="0"/>
          <w:numId w:val="30"/>
        </w:numPr>
        <w:ind w:left="709" w:hanging="709"/>
        <w:jc w:val="both"/>
        <w:rPr>
          <w:rFonts w:ascii="Times New Roman" w:hAnsi="Times New Roman"/>
          <w:b w:val="0"/>
          <w:i w:val="0"/>
          <w:szCs w:val="24"/>
        </w:rPr>
      </w:pPr>
      <w:r w:rsidRPr="003B6F68">
        <w:rPr>
          <w:rFonts w:ascii="Times New Roman" w:hAnsi="Times New Roman"/>
          <w:b w:val="0"/>
          <w:i w:val="0"/>
          <w:szCs w:val="24"/>
        </w:rPr>
        <w:t>Objednatel zálohy neposkytuje.</w:t>
      </w:r>
    </w:p>
    <w:p w14:paraId="498B2383" w14:textId="657EE01B" w:rsidR="003B6F68" w:rsidRPr="00605DE4" w:rsidRDefault="003B6F68" w:rsidP="00F1449D">
      <w:pPr>
        <w:pStyle w:val="Zkladntext"/>
        <w:numPr>
          <w:ilvl w:val="0"/>
          <w:numId w:val="30"/>
        </w:numPr>
        <w:ind w:left="709" w:hanging="709"/>
        <w:jc w:val="both"/>
        <w:rPr>
          <w:rFonts w:ascii="Times New Roman" w:hAnsi="Times New Roman"/>
          <w:b w:val="0"/>
          <w:i w:val="0"/>
        </w:rPr>
      </w:pPr>
      <w:r w:rsidRPr="00AB137B">
        <w:rPr>
          <w:rFonts w:ascii="Times New Roman" w:hAnsi="Times New Roman"/>
          <w:b w:val="0"/>
          <w:i w:val="0"/>
        </w:rPr>
        <w:t xml:space="preserve">Objednatel se zavazuje hradit cenu díla na základě dílčích daňových dokladů, jež budou vystaveny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sidR="00D06DD6">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910580">
        <w:rPr>
          <w:rFonts w:ascii="Times New Roman" w:hAnsi="Times New Roman"/>
          <w:b w:val="0"/>
          <w:i w:val="0"/>
        </w:rPr>
        <w:t>„</w:t>
      </w:r>
      <w:r w:rsidRPr="001666A8">
        <w:rPr>
          <w:rFonts w:ascii="Times New Roman" w:hAnsi="Times New Roman"/>
          <w:b w:val="0"/>
          <w:i w:val="0"/>
        </w:rPr>
        <w:t>faktura</w:t>
      </w:r>
      <w:r w:rsidR="00910580">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79DE325A" w14:textId="14B095AF" w:rsidR="003B6F68" w:rsidRPr="00605DE4" w:rsidRDefault="003B6F68" w:rsidP="00F1449D">
      <w:pPr>
        <w:pStyle w:val="Zkladntext"/>
        <w:numPr>
          <w:ilvl w:val="0"/>
          <w:numId w:val="30"/>
        </w:numPr>
        <w:ind w:left="709" w:hanging="709"/>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w:t>
      </w:r>
      <w:r w:rsidR="00257555">
        <w:rPr>
          <w:rFonts w:ascii="Times New Roman" w:hAnsi="Times New Roman"/>
          <w:b w:val="0"/>
          <w:i w:val="0"/>
        </w:rPr>
        <w:t>podmínce 30</w:t>
      </w:r>
      <w:r w:rsidR="007A36AF">
        <w:rPr>
          <w:rFonts w:ascii="Times New Roman" w:hAnsi="Times New Roman"/>
          <w:b w:val="0"/>
          <w:i w:val="0"/>
        </w:rPr>
        <w:t> </w:t>
      </w:r>
      <w:r w:rsidRPr="00605DE4">
        <w:rPr>
          <w:rFonts w:ascii="Times New Roman" w:hAnsi="Times New Roman"/>
          <w:b w:val="0"/>
          <w:i w:val="0"/>
        </w:rPr>
        <w:t xml:space="preserve">denní lhůty po doručení do sídla objednatele, je objednatel oprávněn takovouto fakturu vrátit zpět zhotoviteli jako neoprávněnou. </w:t>
      </w:r>
    </w:p>
    <w:p w14:paraId="5C3E97C3" w14:textId="7449FAFB" w:rsidR="003B6F68" w:rsidRPr="00660119" w:rsidRDefault="003B6F68" w:rsidP="00F1449D">
      <w:pPr>
        <w:pStyle w:val="Zkladntext"/>
        <w:numPr>
          <w:ilvl w:val="0"/>
          <w:numId w:val="30"/>
        </w:numPr>
        <w:ind w:left="709" w:hanging="709"/>
        <w:jc w:val="both"/>
      </w:pPr>
      <w:r w:rsidRPr="0093306C">
        <w:rPr>
          <w:rFonts w:ascii="Times New Roman" w:hAnsi="Times New Roman"/>
          <w:b w:val="0"/>
          <w:i w:val="0"/>
        </w:rPr>
        <w:t>Zhotovitel se zavazuje vystavovat dílčí faktury</w:t>
      </w:r>
      <w:r w:rsidR="0053649A">
        <w:rPr>
          <w:rFonts w:ascii="Times New Roman" w:hAnsi="Times New Roman"/>
          <w:b w:val="0"/>
          <w:i w:val="0"/>
        </w:rPr>
        <w:t xml:space="preserve"> j</w:t>
      </w:r>
      <w:r w:rsidRPr="0093306C">
        <w:rPr>
          <w:rFonts w:ascii="Times New Roman" w:hAnsi="Times New Roman"/>
          <w:b w:val="0"/>
          <w:i w:val="0"/>
        </w:rPr>
        <w:t>ednou měsíčně podle objemu skutečně provedených prací v kalendářním měsíci a to nejpozději do 10 dnů od</w:t>
      </w:r>
      <w:r w:rsidR="007A36AF">
        <w:rPr>
          <w:rFonts w:ascii="Times New Roman" w:hAnsi="Times New Roman"/>
          <w:b w:val="0"/>
          <w:i w:val="0"/>
        </w:rPr>
        <w:t> </w:t>
      </w:r>
      <w:r w:rsidRPr="0093306C">
        <w:rPr>
          <w:rFonts w:ascii="Times New Roman" w:hAnsi="Times New Roman"/>
          <w:b w:val="0"/>
          <w:i w:val="0"/>
        </w:rPr>
        <w:t xml:space="preserve">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257555">
        <w:rPr>
          <w:rFonts w:ascii="Times New Roman" w:hAnsi="Times New Roman"/>
          <w:b w:val="0"/>
          <w:i w:val="0"/>
        </w:rPr>
        <w:t>technickým dozorem objednatele (dále jen „TD</w:t>
      </w:r>
      <w:r w:rsidR="007A36AF">
        <w:rPr>
          <w:rFonts w:ascii="Times New Roman" w:hAnsi="Times New Roman"/>
          <w:b w:val="0"/>
          <w:i w:val="0"/>
        </w:rPr>
        <w:t>O</w:t>
      </w:r>
      <w:r w:rsidR="00257555">
        <w:rPr>
          <w:rFonts w:ascii="Times New Roman" w:hAnsi="Times New Roman"/>
          <w:b w:val="0"/>
          <w:i w:val="0"/>
        </w:rPr>
        <w:t>“)</w:t>
      </w:r>
      <w:r w:rsidRPr="0093306C">
        <w:rPr>
          <w:rFonts w:ascii="Times New Roman" w:hAnsi="Times New Roman"/>
          <w:b w:val="0"/>
          <w:i w:val="0"/>
        </w:rPr>
        <w:t xml:space="preserve"> a objednatelem. </w:t>
      </w:r>
    </w:p>
    <w:p w14:paraId="6850F16C" w14:textId="77777777" w:rsidR="0053649A" w:rsidRDefault="003B6F68" w:rsidP="00F1449D">
      <w:pPr>
        <w:pStyle w:val="Zkladntext"/>
        <w:numPr>
          <w:ilvl w:val="0"/>
          <w:numId w:val="30"/>
        </w:numPr>
        <w:ind w:left="709" w:hanging="709"/>
        <w:jc w:val="both"/>
        <w:rPr>
          <w:rFonts w:ascii="Times New Roman" w:hAnsi="Times New Roman"/>
          <w:b w:val="0"/>
          <w:i w:val="0"/>
        </w:rPr>
      </w:pPr>
      <w:r w:rsidRPr="0053649A">
        <w:rPr>
          <w:rFonts w:ascii="Times New Roman" w:hAnsi="Times New Roman"/>
          <w:b w:val="0"/>
          <w:i w:val="0"/>
        </w:rPr>
        <w:lastRenderedPageBreak/>
        <w:t xml:space="preserve">Faktury budou propláceny až do výše </w:t>
      </w:r>
      <w:r w:rsidR="0053649A" w:rsidRPr="0053649A">
        <w:rPr>
          <w:rFonts w:ascii="Times New Roman" w:hAnsi="Times New Roman"/>
          <w:b w:val="0"/>
          <w:i w:val="0"/>
        </w:rPr>
        <w:t>8</w:t>
      </w:r>
      <w:r w:rsidRPr="0053649A">
        <w:rPr>
          <w:rFonts w:ascii="Times New Roman" w:hAnsi="Times New Roman"/>
          <w:b w:val="0"/>
          <w:i w:val="0"/>
        </w:rPr>
        <w:t>0 % celkové ceny díla, zb</w:t>
      </w:r>
      <w:r w:rsidR="0053649A" w:rsidRPr="0053649A">
        <w:rPr>
          <w:rFonts w:ascii="Times New Roman" w:hAnsi="Times New Roman"/>
          <w:b w:val="0"/>
          <w:i w:val="0"/>
        </w:rPr>
        <w:t>ývající finanční objem ve výši 1</w:t>
      </w:r>
      <w:r w:rsidRPr="0053649A">
        <w:rPr>
          <w:rFonts w:ascii="Times New Roman" w:hAnsi="Times New Roman"/>
          <w:b w:val="0"/>
          <w:i w:val="0"/>
        </w:rPr>
        <w:t xml:space="preserve">0 % celkové ceny díla bude uhrazen po odstranění případných vad </w:t>
      </w:r>
      <w:r w:rsidR="0053649A">
        <w:rPr>
          <w:rFonts w:ascii="Times New Roman" w:hAnsi="Times New Roman"/>
          <w:b w:val="0"/>
          <w:i w:val="0"/>
        </w:rPr>
        <w:br/>
      </w:r>
      <w:r w:rsidRPr="0053649A">
        <w:rPr>
          <w:rFonts w:ascii="Times New Roman" w:hAnsi="Times New Roman"/>
          <w:b w:val="0"/>
          <w:i w:val="0"/>
        </w:rPr>
        <w:t xml:space="preserve">a nedodělků </w:t>
      </w:r>
      <w:r w:rsidR="0053649A" w:rsidRPr="0053649A">
        <w:rPr>
          <w:rFonts w:ascii="Times New Roman" w:hAnsi="Times New Roman"/>
          <w:b w:val="0"/>
          <w:i w:val="0"/>
        </w:rPr>
        <w:t>a objem ve výši 10</w:t>
      </w:r>
      <w:r w:rsidR="00D06DD6">
        <w:rPr>
          <w:rFonts w:ascii="Times New Roman" w:hAnsi="Times New Roman"/>
          <w:b w:val="0"/>
          <w:i w:val="0"/>
        </w:rPr>
        <w:t xml:space="preserve"> </w:t>
      </w:r>
      <w:r w:rsidR="0053649A" w:rsidRPr="0053649A">
        <w:rPr>
          <w:rFonts w:ascii="Times New Roman" w:hAnsi="Times New Roman"/>
          <w:b w:val="0"/>
          <w:i w:val="0"/>
        </w:rPr>
        <w:t xml:space="preserve">% celkové ceny bude uhrazen po </w:t>
      </w:r>
      <w:r w:rsidR="0053649A">
        <w:rPr>
          <w:rFonts w:ascii="Times New Roman" w:hAnsi="Times New Roman"/>
          <w:b w:val="0"/>
          <w:i w:val="0"/>
        </w:rPr>
        <w:t xml:space="preserve">vydání </w:t>
      </w:r>
      <w:r w:rsidR="0053649A" w:rsidRPr="0053649A">
        <w:rPr>
          <w:rFonts w:ascii="Times New Roman" w:hAnsi="Times New Roman"/>
          <w:b w:val="0"/>
          <w:i w:val="0"/>
        </w:rPr>
        <w:t>kolaudačního</w:t>
      </w:r>
      <w:r w:rsidR="0053649A">
        <w:rPr>
          <w:rFonts w:ascii="Times New Roman" w:hAnsi="Times New Roman"/>
          <w:b w:val="0"/>
          <w:i w:val="0"/>
        </w:rPr>
        <w:t xml:space="preserve"> souhlasu s užíváním stavby, vždy na základě písemné žádosti zhotovitele a dodání příslušných dokladů.</w:t>
      </w:r>
    </w:p>
    <w:p w14:paraId="044AB76C" w14:textId="711ADEA5" w:rsidR="003B6F68" w:rsidRPr="0053649A" w:rsidRDefault="003B6F68" w:rsidP="00F1449D">
      <w:pPr>
        <w:pStyle w:val="Zkladntext"/>
        <w:numPr>
          <w:ilvl w:val="0"/>
          <w:numId w:val="30"/>
        </w:numPr>
        <w:ind w:left="709" w:hanging="709"/>
        <w:jc w:val="both"/>
        <w:rPr>
          <w:rFonts w:ascii="Times New Roman" w:hAnsi="Times New Roman"/>
          <w:b w:val="0"/>
          <w:i w:val="0"/>
        </w:rPr>
      </w:pPr>
      <w:r w:rsidRPr="0053649A">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w:t>
      </w:r>
      <w:r w:rsidR="007A36AF">
        <w:rPr>
          <w:rFonts w:ascii="Times New Roman" w:hAnsi="Times New Roman"/>
          <w:b w:val="0"/>
          <w:i w:val="0"/>
        </w:rPr>
        <w:t>TDO</w:t>
      </w:r>
      <w:r w:rsidRPr="0053649A">
        <w:rPr>
          <w:rFonts w:ascii="Times New Roman" w:hAnsi="Times New Roman"/>
          <w:b w:val="0"/>
          <w:i w:val="0"/>
        </w:rPr>
        <w:t xml:space="preserve"> a zástupcem objednatele.</w:t>
      </w:r>
    </w:p>
    <w:p w14:paraId="416B4F06" w14:textId="0A70B315" w:rsidR="00605DE4" w:rsidRPr="00660119" w:rsidRDefault="00605DE4" w:rsidP="00F1449D">
      <w:pPr>
        <w:pStyle w:val="Zkladntext"/>
        <w:numPr>
          <w:ilvl w:val="0"/>
          <w:numId w:val="30"/>
        </w:numPr>
        <w:ind w:left="709" w:hanging="709"/>
        <w:jc w:val="both"/>
      </w:pPr>
      <w:r w:rsidRPr="0093306C">
        <w:rPr>
          <w:rFonts w:ascii="Times New Roman" w:hAnsi="Times New Roman"/>
          <w:b w:val="0"/>
          <w:i w:val="0"/>
        </w:rPr>
        <w:t>Faktu</w:t>
      </w:r>
      <w:r w:rsidR="0053649A">
        <w:rPr>
          <w:rFonts w:ascii="Times New Roman" w:hAnsi="Times New Roman"/>
          <w:b w:val="0"/>
          <w:i w:val="0"/>
        </w:rPr>
        <w:t>r</w:t>
      </w:r>
      <w:r w:rsidRPr="0093306C">
        <w:rPr>
          <w:rFonts w:ascii="Times New Roman" w:hAnsi="Times New Roman"/>
          <w:b w:val="0"/>
          <w:i w:val="0"/>
        </w:rPr>
        <w:t>y rozdělit na jednotlivé stavební celky (objekty) a ty následně rozdělit na</w:t>
      </w:r>
      <w:r w:rsidR="007A36AF">
        <w:rPr>
          <w:rFonts w:ascii="Times New Roman" w:hAnsi="Times New Roman"/>
          <w:b w:val="0"/>
          <w:i w:val="0"/>
        </w:rPr>
        <w:t> </w:t>
      </w:r>
      <w:r w:rsidRPr="0093306C">
        <w:rPr>
          <w:rFonts w:ascii="Times New Roman" w:hAnsi="Times New Roman"/>
          <w:b w:val="0"/>
          <w:i w:val="0"/>
        </w:rPr>
        <w:t>stavební a další profesní části.</w:t>
      </w:r>
    </w:p>
    <w:p w14:paraId="4CC37A23" w14:textId="77777777" w:rsidR="00095FDB" w:rsidRDefault="00095FDB" w:rsidP="00D468A2">
      <w:pPr>
        <w:tabs>
          <w:tab w:val="right" w:pos="4253"/>
        </w:tabs>
        <w:spacing w:line="288" w:lineRule="auto"/>
        <w:ind w:left="851"/>
        <w:jc w:val="both"/>
        <w:rPr>
          <w:sz w:val="24"/>
          <w:szCs w:val="24"/>
        </w:rPr>
      </w:pPr>
    </w:p>
    <w:p w14:paraId="2C9EE96C" w14:textId="77777777" w:rsidR="00D37ADB" w:rsidRDefault="00D37ADB" w:rsidP="00D468A2">
      <w:pPr>
        <w:tabs>
          <w:tab w:val="right" w:pos="4253"/>
        </w:tabs>
        <w:spacing w:line="288" w:lineRule="auto"/>
        <w:ind w:left="851"/>
        <w:jc w:val="both"/>
        <w:rPr>
          <w:sz w:val="24"/>
          <w:szCs w:val="24"/>
        </w:rPr>
      </w:pPr>
    </w:p>
    <w:p w14:paraId="02316C35" w14:textId="77777777" w:rsidR="00421634" w:rsidRPr="00421634" w:rsidRDefault="00F866AD" w:rsidP="00A753A3">
      <w:pPr>
        <w:pStyle w:val="Nadpis6"/>
        <w:spacing w:beforeLines="20" w:before="48" w:after="120"/>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3D10D86A" w14:textId="50172678" w:rsidR="0075034C" w:rsidRDefault="0075034C" w:rsidP="00F1449D">
      <w:pPr>
        <w:numPr>
          <w:ilvl w:val="0"/>
          <w:numId w:val="5"/>
        </w:numPr>
        <w:tabs>
          <w:tab w:val="clear" w:pos="851"/>
          <w:tab w:val="num" w:pos="1134"/>
        </w:tabs>
        <w:ind w:left="709" w:hanging="709"/>
        <w:jc w:val="both"/>
        <w:rPr>
          <w:sz w:val="24"/>
        </w:rPr>
      </w:pPr>
      <w:r w:rsidRPr="00095FDB">
        <w:rPr>
          <w:sz w:val="24"/>
        </w:rPr>
        <w:t>Zhotovitel se zavazuje provést dílo kompletně, řádně, v patřičné kvalitě, včas, na</w:t>
      </w:r>
      <w:r w:rsidR="007A36AF">
        <w:rPr>
          <w:sz w:val="24"/>
        </w:rPr>
        <w:t> </w:t>
      </w:r>
      <w:r w:rsidRPr="00095FDB">
        <w:rPr>
          <w:sz w:val="24"/>
        </w:rPr>
        <w:t>svůj náklad a nebezpečí v souladu s platnými právními předpisy a ČSN a</w:t>
      </w:r>
      <w:r w:rsidR="007A36AF">
        <w:rPr>
          <w:sz w:val="24"/>
        </w:rPr>
        <w:t xml:space="preserve">  </w:t>
      </w:r>
      <w:r w:rsidRPr="00095FDB">
        <w:rPr>
          <w:sz w:val="24"/>
        </w:rPr>
        <w:t>dodržovat platné hygienické, zdravotní, požární, bez</w:t>
      </w:r>
      <w:r w:rsidR="0063584C" w:rsidRPr="00095FDB">
        <w:rPr>
          <w:sz w:val="24"/>
        </w:rPr>
        <w:t>pečnostní a ekologické předpisy</w:t>
      </w:r>
      <w:r w:rsidRPr="00095FDB">
        <w:rPr>
          <w:sz w:val="24"/>
        </w:rPr>
        <w:t xml:space="preserve"> a závazné normy.</w:t>
      </w:r>
    </w:p>
    <w:p w14:paraId="4A4B25F6" w14:textId="77777777" w:rsidR="00C328DE" w:rsidRPr="00095FDB" w:rsidRDefault="00C328DE" w:rsidP="00F1449D">
      <w:pPr>
        <w:numPr>
          <w:ilvl w:val="0"/>
          <w:numId w:val="5"/>
        </w:numPr>
        <w:tabs>
          <w:tab w:val="clear" w:pos="851"/>
          <w:tab w:val="num" w:pos="1134"/>
        </w:tabs>
        <w:spacing w:before="120"/>
        <w:ind w:left="709" w:hanging="709"/>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3FFC3BD6" w14:textId="5E0F7523" w:rsidR="003C7384" w:rsidRPr="004162E0" w:rsidRDefault="0075034C" w:rsidP="00F1449D">
      <w:pPr>
        <w:numPr>
          <w:ilvl w:val="0"/>
          <w:numId w:val="5"/>
        </w:numPr>
        <w:tabs>
          <w:tab w:val="clear" w:pos="851"/>
          <w:tab w:val="num" w:pos="1134"/>
        </w:tabs>
        <w:spacing w:before="120"/>
        <w:ind w:left="709" w:hanging="709"/>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w:t>
      </w:r>
      <w:r w:rsidR="007A36AF">
        <w:t> </w:t>
      </w:r>
      <w:r w:rsidRPr="004162E0">
        <w:rPr>
          <w:sz w:val="24"/>
        </w:rPr>
        <w:t xml:space="preserve">smyslu této smlouvy. </w:t>
      </w:r>
      <w:r w:rsidR="003C7384" w:rsidRPr="004162E0">
        <w:rPr>
          <w:sz w:val="24"/>
        </w:rPr>
        <w:t xml:space="preserve"> </w:t>
      </w:r>
    </w:p>
    <w:p w14:paraId="4A90690B" w14:textId="77777777" w:rsidR="00C30097" w:rsidRPr="005F0C16" w:rsidRDefault="00C30097" w:rsidP="00F1449D">
      <w:pPr>
        <w:numPr>
          <w:ilvl w:val="0"/>
          <w:numId w:val="5"/>
        </w:numPr>
        <w:tabs>
          <w:tab w:val="clear" w:pos="851"/>
          <w:tab w:val="num" w:pos="1134"/>
        </w:tabs>
        <w:spacing w:before="120"/>
        <w:ind w:left="709" w:hanging="709"/>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211A9ED8" w14:textId="33941709" w:rsidR="00C30097" w:rsidRPr="00E649B0" w:rsidRDefault="00C30097" w:rsidP="00F1449D">
      <w:pPr>
        <w:numPr>
          <w:ilvl w:val="0"/>
          <w:numId w:val="5"/>
        </w:numPr>
        <w:tabs>
          <w:tab w:val="clear" w:pos="851"/>
          <w:tab w:val="num" w:pos="1134"/>
        </w:tabs>
        <w:spacing w:before="120"/>
        <w:ind w:left="709" w:hanging="709"/>
        <w:jc w:val="both"/>
        <w:rPr>
          <w:sz w:val="24"/>
        </w:rPr>
      </w:pPr>
      <w:r w:rsidRPr="00E649B0">
        <w:rPr>
          <w:sz w:val="24"/>
        </w:rPr>
        <w:t>Zhotovitel zahájí stavební práce bez zbytečného odkladu po předání staveniště objednatelem a ukončí stavební práce nejpozději do termínu uvedené</w:t>
      </w:r>
      <w:r w:rsidR="007A36AF">
        <w:rPr>
          <w:sz w:val="24"/>
        </w:rPr>
        <w:t>ho</w:t>
      </w:r>
      <w:r w:rsidRPr="00E649B0">
        <w:rPr>
          <w:sz w:val="24"/>
        </w:rPr>
        <w:t xml:space="preserve"> v</w:t>
      </w:r>
      <w:r>
        <w:rPr>
          <w:sz w:val="24"/>
        </w:rPr>
        <w:t> článku II.</w:t>
      </w:r>
      <w:r w:rsidRPr="00E649B0">
        <w:rPr>
          <w:sz w:val="24"/>
        </w:rPr>
        <w:t> této smlouvy.</w:t>
      </w:r>
    </w:p>
    <w:p w14:paraId="154C81C3" w14:textId="77777777" w:rsidR="00C30097" w:rsidRPr="00E649B0" w:rsidRDefault="00C30097" w:rsidP="00F1449D">
      <w:pPr>
        <w:numPr>
          <w:ilvl w:val="0"/>
          <w:numId w:val="5"/>
        </w:numPr>
        <w:tabs>
          <w:tab w:val="clear" w:pos="851"/>
          <w:tab w:val="num" w:pos="1134"/>
        </w:tabs>
        <w:spacing w:before="120"/>
        <w:ind w:left="709" w:hanging="709"/>
        <w:jc w:val="both"/>
        <w:rPr>
          <w:sz w:val="24"/>
        </w:rPr>
      </w:pPr>
      <w:r w:rsidRPr="00E649B0">
        <w:rPr>
          <w:sz w:val="24"/>
        </w:rPr>
        <w:t>Objednatel se zavazuje, že umožní po dokončení díla zhotoviteli přístup do objektu díla za účelem odstranění případných vad.</w:t>
      </w:r>
    </w:p>
    <w:p w14:paraId="331ADFA5" w14:textId="77777777" w:rsidR="00C30097" w:rsidRPr="00E649B0" w:rsidRDefault="00C30097" w:rsidP="00F1449D">
      <w:pPr>
        <w:numPr>
          <w:ilvl w:val="0"/>
          <w:numId w:val="5"/>
        </w:numPr>
        <w:tabs>
          <w:tab w:val="clear" w:pos="851"/>
          <w:tab w:val="left" w:pos="0"/>
          <w:tab w:val="num" w:pos="1134"/>
        </w:tabs>
        <w:spacing w:before="120"/>
        <w:ind w:left="709" w:hanging="709"/>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902938F" w14:textId="77777777" w:rsidR="00C30097" w:rsidRPr="00710C31" w:rsidRDefault="00C30097" w:rsidP="00F1449D">
      <w:pPr>
        <w:numPr>
          <w:ilvl w:val="0"/>
          <w:numId w:val="5"/>
        </w:numPr>
        <w:tabs>
          <w:tab w:val="clear" w:pos="851"/>
          <w:tab w:val="left" w:pos="0"/>
          <w:tab w:val="num" w:pos="1134"/>
        </w:tabs>
        <w:spacing w:before="120"/>
        <w:ind w:left="709" w:hanging="709"/>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14:paraId="62E3ADE3" w14:textId="77777777" w:rsidR="00C30097" w:rsidRPr="00C15AAC" w:rsidRDefault="00C30097" w:rsidP="00F1449D">
      <w:pPr>
        <w:pStyle w:val="Odstavecseseznamem"/>
        <w:numPr>
          <w:ilvl w:val="0"/>
          <w:numId w:val="5"/>
        </w:numPr>
        <w:tabs>
          <w:tab w:val="clear" w:pos="851"/>
          <w:tab w:val="left" w:pos="0"/>
          <w:tab w:val="num" w:pos="1134"/>
        </w:tabs>
        <w:spacing w:beforeLines="20" w:before="48" w:line="240" w:lineRule="auto"/>
        <w:ind w:left="709" w:hanging="709"/>
        <w:jc w:val="both"/>
        <w:rPr>
          <w:rFonts w:ascii="Times New Roman" w:hAnsi="Times New Roman"/>
          <w:sz w:val="24"/>
        </w:rPr>
      </w:pPr>
      <w:r w:rsidRPr="00C15AAC">
        <w:rPr>
          <w:rFonts w:ascii="Times New Roman" w:hAnsi="Times New Roman"/>
          <w:sz w:val="24"/>
        </w:rPr>
        <w:t xml:space="preserve">V případě, že dojde ke změně </w:t>
      </w:r>
      <w:r w:rsidR="004F604D" w:rsidRPr="00C15AAC">
        <w:rPr>
          <w:rFonts w:ascii="Times New Roman" w:hAnsi="Times New Roman"/>
          <w:sz w:val="24"/>
        </w:rPr>
        <w:t>poddodavatele</w:t>
      </w:r>
      <w:r w:rsidRPr="00C15AAC">
        <w:rPr>
          <w:rFonts w:ascii="Times New Roman" w:hAnsi="Times New Roman"/>
          <w:sz w:val="24"/>
        </w:rPr>
        <w:t>, prostřednictvím kterého zhotovitel prokazoval v zadávacím řízení kvalifikaci, je zhotovitel povinen před jeho změnou objednatele písemně informovat a vyžádat si jeho souhlasné stanovisko.</w:t>
      </w:r>
      <w:r w:rsidR="00144D7E" w:rsidRPr="00C15AAC">
        <w:rPr>
          <w:rFonts w:ascii="Times New Roman" w:hAnsi="Times New Roman"/>
          <w:sz w:val="24"/>
        </w:rPr>
        <w:t xml:space="preserve"> </w:t>
      </w:r>
    </w:p>
    <w:p w14:paraId="5392CE9B" w14:textId="1BC85655" w:rsidR="00C30097" w:rsidRPr="00C15AAC" w:rsidRDefault="00C30097" w:rsidP="00F1449D">
      <w:pPr>
        <w:pStyle w:val="Odstavecseseznamem"/>
        <w:numPr>
          <w:ilvl w:val="0"/>
          <w:numId w:val="5"/>
        </w:numPr>
        <w:tabs>
          <w:tab w:val="clear" w:pos="851"/>
          <w:tab w:val="left" w:pos="0"/>
          <w:tab w:val="num" w:pos="1134"/>
        </w:tabs>
        <w:spacing w:beforeLines="20" w:before="48" w:line="240" w:lineRule="auto"/>
        <w:ind w:left="709" w:hanging="709"/>
        <w:jc w:val="both"/>
        <w:rPr>
          <w:rFonts w:ascii="Times New Roman" w:hAnsi="Times New Roman"/>
          <w:sz w:val="24"/>
        </w:rPr>
      </w:pPr>
      <w:r w:rsidRPr="00C15AAC">
        <w:rPr>
          <w:rFonts w:ascii="Times New Roman" w:hAnsi="Times New Roman"/>
          <w:sz w:val="24"/>
        </w:rPr>
        <w:lastRenderedPageBreak/>
        <w:t xml:space="preserve">Původcem </w:t>
      </w:r>
      <w:r w:rsidR="00DB39CA">
        <w:rPr>
          <w:rFonts w:ascii="Times New Roman" w:hAnsi="Times New Roman"/>
          <w:sz w:val="24"/>
        </w:rPr>
        <w:t xml:space="preserve">veškerého </w:t>
      </w:r>
      <w:r w:rsidRPr="00C15AAC">
        <w:rPr>
          <w:rFonts w:ascii="Times New Roman" w:hAnsi="Times New Roman"/>
          <w:sz w:val="24"/>
        </w:rPr>
        <w:t>odpadu</w:t>
      </w:r>
      <w:r w:rsidR="003B6F68" w:rsidRPr="00C15AAC">
        <w:rPr>
          <w:rFonts w:ascii="Times New Roman" w:hAnsi="Times New Roman"/>
          <w:sz w:val="24"/>
        </w:rPr>
        <w:t xml:space="preserve"> vzniklého </w:t>
      </w:r>
      <w:r w:rsidR="00DB39CA">
        <w:rPr>
          <w:rFonts w:ascii="Times New Roman" w:hAnsi="Times New Roman"/>
          <w:sz w:val="24"/>
        </w:rPr>
        <w:t>v souvislosti s realizací akce</w:t>
      </w:r>
      <w:r w:rsidRPr="00C15AAC">
        <w:rPr>
          <w:rFonts w:ascii="Times New Roman" w:hAnsi="Times New Roman"/>
          <w:sz w:val="24"/>
        </w:rPr>
        <w:t xml:space="preserve"> je zhotovitel.</w:t>
      </w:r>
    </w:p>
    <w:p w14:paraId="420CF4CA" w14:textId="77777777" w:rsidR="00FA2D4A" w:rsidRPr="00C15AAC" w:rsidRDefault="00FA2D4A" w:rsidP="00F1449D">
      <w:pPr>
        <w:pStyle w:val="Odstavecseseznamem"/>
        <w:numPr>
          <w:ilvl w:val="0"/>
          <w:numId w:val="5"/>
        </w:numPr>
        <w:tabs>
          <w:tab w:val="left" w:pos="0"/>
        </w:tabs>
        <w:spacing w:beforeLines="20" w:before="48" w:line="240" w:lineRule="auto"/>
        <w:ind w:left="709" w:hanging="709"/>
        <w:jc w:val="both"/>
        <w:rPr>
          <w:rFonts w:ascii="Times New Roman" w:hAnsi="Times New Roman"/>
          <w:sz w:val="24"/>
        </w:rPr>
      </w:pPr>
      <w:r w:rsidRPr="0053649A">
        <w:rPr>
          <w:rFonts w:ascii="Times New Roman" w:hAnsi="Times New Roman"/>
          <w:sz w:val="24"/>
        </w:rPr>
        <w:t>Zhotovitel bere na vědomí, že budova</w:t>
      </w:r>
      <w:r w:rsidR="00144D7E" w:rsidRPr="0053649A">
        <w:rPr>
          <w:rFonts w:ascii="Times New Roman" w:hAnsi="Times New Roman"/>
          <w:sz w:val="24"/>
        </w:rPr>
        <w:t>,</w:t>
      </w:r>
      <w:r w:rsidRPr="0053649A">
        <w:rPr>
          <w:rFonts w:ascii="Times New Roman" w:hAnsi="Times New Roman"/>
          <w:sz w:val="24"/>
        </w:rPr>
        <w:t xml:space="preserve"> v níž bude dílo provádět, je součástí vojenského areálu, výměna bude probíhat za provozu</w:t>
      </w:r>
      <w:r w:rsidRPr="00C15AAC">
        <w:rPr>
          <w:rFonts w:ascii="Times New Roman" w:hAnsi="Times New Roman"/>
          <w:sz w:val="24"/>
        </w:rPr>
        <w:t xml:space="preserve">. </w:t>
      </w:r>
      <w:r w:rsidR="00567814" w:rsidRPr="00C15AAC">
        <w:rPr>
          <w:rFonts w:ascii="Times New Roman" w:hAnsi="Times New Roman"/>
          <w:sz w:val="24"/>
        </w:rPr>
        <w:t xml:space="preserve"> </w:t>
      </w:r>
    </w:p>
    <w:p w14:paraId="0617B31E" w14:textId="09B95AC5" w:rsidR="00605DE4" w:rsidRPr="00C15AAC" w:rsidRDefault="00605DE4" w:rsidP="00F1449D">
      <w:pPr>
        <w:pStyle w:val="Odstavecseseznamem"/>
        <w:numPr>
          <w:ilvl w:val="0"/>
          <w:numId w:val="5"/>
        </w:numPr>
        <w:tabs>
          <w:tab w:val="left" w:pos="0"/>
        </w:tabs>
        <w:spacing w:beforeLines="20" w:before="48" w:line="240" w:lineRule="auto"/>
        <w:ind w:left="709" w:hanging="709"/>
        <w:jc w:val="both"/>
        <w:rPr>
          <w:rFonts w:ascii="Times New Roman" w:hAnsi="Times New Roman"/>
          <w:sz w:val="24"/>
        </w:rPr>
      </w:pPr>
      <w:r w:rsidRPr="0093306C">
        <w:rPr>
          <w:rFonts w:ascii="Times New Roman" w:hAnsi="Times New Roman"/>
          <w:sz w:val="24"/>
        </w:rPr>
        <w:t xml:space="preserve">Veškeré finanční prostředky získané za kovový odpad budou </w:t>
      </w:r>
      <w:r w:rsidR="00DB39CA">
        <w:rPr>
          <w:rFonts w:ascii="Times New Roman" w:hAnsi="Times New Roman"/>
          <w:sz w:val="24"/>
        </w:rPr>
        <w:t xml:space="preserve">předány </w:t>
      </w:r>
      <w:r w:rsidR="0077705B">
        <w:rPr>
          <w:rFonts w:ascii="Times New Roman" w:hAnsi="Times New Roman"/>
          <w:sz w:val="24"/>
        </w:rPr>
        <w:t>objednateli</w:t>
      </w:r>
      <w:r w:rsidR="00DB39CA">
        <w:rPr>
          <w:rFonts w:ascii="Times New Roman" w:hAnsi="Times New Roman"/>
          <w:sz w:val="24"/>
        </w:rPr>
        <w:t>.</w:t>
      </w:r>
    </w:p>
    <w:p w14:paraId="563F2F2F" w14:textId="77777777" w:rsidR="00605DE4" w:rsidRPr="0093306C" w:rsidRDefault="00605DE4" w:rsidP="00D468A2">
      <w:pPr>
        <w:pStyle w:val="Odstavecseseznamem"/>
        <w:numPr>
          <w:ilvl w:val="0"/>
          <w:numId w:val="5"/>
        </w:numPr>
        <w:tabs>
          <w:tab w:val="left" w:pos="0"/>
        </w:tabs>
        <w:spacing w:beforeLines="20" w:before="48" w:after="0" w:line="240" w:lineRule="auto"/>
        <w:ind w:left="709" w:hanging="709"/>
        <w:jc w:val="both"/>
        <w:rPr>
          <w:sz w:val="24"/>
        </w:rPr>
      </w:pPr>
      <w:r w:rsidRPr="0093306C">
        <w:rPr>
          <w:rFonts w:ascii="Times New Roman" w:hAnsi="Times New Roman"/>
          <w:sz w:val="24"/>
        </w:rPr>
        <w:t>Veškeré administrativní poplatky (vytyčení sítí, žádost o kolaudační souhlas, atd.) hradí zhotovitel.</w:t>
      </w:r>
    </w:p>
    <w:p w14:paraId="5101FB22" w14:textId="77777777" w:rsidR="0053649A" w:rsidRDefault="0053649A" w:rsidP="00D468A2">
      <w:pPr>
        <w:tabs>
          <w:tab w:val="left" w:pos="0"/>
        </w:tabs>
        <w:ind w:left="851"/>
        <w:jc w:val="both"/>
        <w:rPr>
          <w:b/>
          <w:sz w:val="24"/>
        </w:rPr>
      </w:pPr>
    </w:p>
    <w:p w14:paraId="676D91D3" w14:textId="77777777" w:rsidR="00D37ADB" w:rsidRDefault="00D37ADB" w:rsidP="00D468A2">
      <w:pPr>
        <w:tabs>
          <w:tab w:val="left" w:pos="0"/>
        </w:tabs>
        <w:ind w:left="851"/>
        <w:jc w:val="both"/>
        <w:rPr>
          <w:b/>
          <w:sz w:val="24"/>
        </w:rPr>
      </w:pPr>
    </w:p>
    <w:p w14:paraId="540C381E"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73D1BEE5" w14:textId="77777777" w:rsidR="00AE2642" w:rsidRPr="00095FDB" w:rsidRDefault="00AE2642" w:rsidP="00F1449D">
      <w:pPr>
        <w:numPr>
          <w:ilvl w:val="0"/>
          <w:numId w:val="6"/>
        </w:numPr>
        <w:tabs>
          <w:tab w:val="clear" w:pos="851"/>
        </w:tabs>
        <w:spacing w:beforeLines="20" w:before="48"/>
        <w:ind w:left="709" w:hanging="709"/>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50955BE4" w14:textId="7279BED2" w:rsidR="0075034C" w:rsidRPr="00095FDB" w:rsidRDefault="0075034C" w:rsidP="00F1449D">
      <w:pPr>
        <w:numPr>
          <w:ilvl w:val="0"/>
          <w:numId w:val="6"/>
        </w:numPr>
        <w:tabs>
          <w:tab w:val="clear" w:pos="851"/>
        </w:tabs>
        <w:spacing w:before="120"/>
        <w:ind w:left="709" w:hanging="709"/>
        <w:jc w:val="both"/>
        <w:rPr>
          <w:sz w:val="24"/>
        </w:rPr>
      </w:pPr>
      <w:r w:rsidRPr="00095FDB">
        <w:rPr>
          <w:sz w:val="24"/>
        </w:rPr>
        <w:t>Záruční doba počíná bě</w:t>
      </w:r>
      <w:r w:rsidR="007A36AF">
        <w:rPr>
          <w:sz w:val="24"/>
        </w:rPr>
        <w:t>žet dnem řádného dokončení díla</w:t>
      </w:r>
      <w:r w:rsidRPr="00095FDB">
        <w:rPr>
          <w:sz w:val="24"/>
        </w:rPr>
        <w:t xml:space="preserve"> po odstranění všech případných vad z úspěšného přejímacího řízení. Zhotovitel zabezpečí odstranění případných skrytých vad díla, zjištěných v záruční době</w:t>
      </w:r>
      <w:r w:rsidR="007A36AF">
        <w:rPr>
          <w:sz w:val="24"/>
        </w:rPr>
        <w:t>,</w:t>
      </w:r>
      <w:r w:rsidRPr="00095FDB">
        <w:rPr>
          <w:sz w:val="24"/>
        </w:rPr>
        <w:t xml:space="preserve"> nejpozději do 48 hod. od</w:t>
      </w:r>
      <w:r w:rsidR="007A36AF">
        <w:rPr>
          <w:sz w:val="24"/>
        </w:rPr>
        <w:t> </w:t>
      </w:r>
      <w:r w:rsidRPr="00095FDB">
        <w:rPr>
          <w:sz w:val="24"/>
        </w:rPr>
        <w:t>nahlášení závad.</w:t>
      </w:r>
    </w:p>
    <w:p w14:paraId="0CF307AF" w14:textId="77777777" w:rsidR="0075034C" w:rsidRPr="00095FDB" w:rsidRDefault="0075034C" w:rsidP="00F1449D">
      <w:pPr>
        <w:numPr>
          <w:ilvl w:val="0"/>
          <w:numId w:val="6"/>
        </w:numPr>
        <w:tabs>
          <w:tab w:val="clear" w:pos="851"/>
        </w:tabs>
        <w:spacing w:before="120"/>
        <w:ind w:left="709" w:hanging="709"/>
        <w:jc w:val="both"/>
        <w:rPr>
          <w:sz w:val="24"/>
        </w:rPr>
      </w:pPr>
      <w:r w:rsidRPr="00095FDB">
        <w:rPr>
          <w:sz w:val="24"/>
        </w:rPr>
        <w:t xml:space="preserve">V záruční době se odstraňují skryté vady zdarma. </w:t>
      </w:r>
    </w:p>
    <w:p w14:paraId="627A6D7C" w14:textId="77777777" w:rsidR="0075034C" w:rsidRPr="00095FDB" w:rsidRDefault="0075034C" w:rsidP="00F1449D">
      <w:pPr>
        <w:numPr>
          <w:ilvl w:val="0"/>
          <w:numId w:val="6"/>
        </w:numPr>
        <w:tabs>
          <w:tab w:val="clear" w:pos="851"/>
        </w:tabs>
        <w:spacing w:before="120"/>
        <w:ind w:left="709" w:hanging="709"/>
        <w:jc w:val="both"/>
        <w:rPr>
          <w:sz w:val="24"/>
        </w:rPr>
      </w:pPr>
      <w:r w:rsidRPr="00095FDB">
        <w:rPr>
          <w:sz w:val="24"/>
        </w:rPr>
        <w:t>Objednatel se zavazuje, že případnou reklamaci vady díla uplatní bez zbytečného odkladu po jejím zjištění, písemně do rukou oprávněného zástupce zhotovitele.</w:t>
      </w:r>
    </w:p>
    <w:p w14:paraId="0DC70EA2" w14:textId="3FCCFE84" w:rsidR="0075034C" w:rsidRPr="0093306C" w:rsidRDefault="0075034C" w:rsidP="00F1449D">
      <w:pPr>
        <w:numPr>
          <w:ilvl w:val="0"/>
          <w:numId w:val="6"/>
        </w:numPr>
        <w:tabs>
          <w:tab w:val="clear" w:pos="851"/>
        </w:tabs>
        <w:spacing w:before="120"/>
        <w:ind w:left="709" w:hanging="709"/>
        <w:jc w:val="both"/>
        <w:rPr>
          <w:b/>
          <w:sz w:val="24"/>
        </w:rPr>
      </w:pPr>
      <w:r w:rsidRPr="00095FDB">
        <w:rPr>
          <w:sz w:val="24"/>
        </w:rPr>
        <w:t>Po dobu záruční doby nesmí dojít bez souhlasu zhotovitele k zásahům do</w:t>
      </w:r>
      <w:r w:rsidR="007A36AF">
        <w:rPr>
          <w:sz w:val="24"/>
        </w:rPr>
        <w:t> </w:t>
      </w:r>
      <w:r w:rsidRPr="00095FDB">
        <w:rPr>
          <w:sz w:val="24"/>
        </w:rPr>
        <w:t>provedeného díla. V opačném případě ztrácí objednatel právo reklamace a záruční doba končí okamžikem neoprávněného zásahu na díle.</w:t>
      </w:r>
    </w:p>
    <w:p w14:paraId="28891580" w14:textId="77777777" w:rsidR="00DF6657" w:rsidRPr="0093306C" w:rsidRDefault="00DF6657" w:rsidP="00F1449D">
      <w:pPr>
        <w:numPr>
          <w:ilvl w:val="0"/>
          <w:numId w:val="6"/>
        </w:numPr>
        <w:tabs>
          <w:tab w:val="clear" w:pos="851"/>
        </w:tabs>
        <w:spacing w:before="120"/>
        <w:ind w:left="709" w:hanging="709"/>
        <w:jc w:val="both"/>
        <w:rPr>
          <w:sz w:val="24"/>
        </w:rPr>
      </w:pPr>
      <w:r w:rsidRPr="00AC76B4">
        <w:rPr>
          <w:sz w:val="24"/>
        </w:rPr>
        <w:t>Nejpozději 14 dní před vypršením záruční doby proběhne kontrola díla ze strany objednatele.</w:t>
      </w:r>
    </w:p>
    <w:p w14:paraId="2E0A8F44" w14:textId="77777777" w:rsidR="00FD4896" w:rsidRDefault="00FD4896" w:rsidP="00D468A2">
      <w:pPr>
        <w:pStyle w:val="Nadpis6"/>
        <w:keepNext w:val="0"/>
        <w:spacing w:beforeLines="20" w:before="48"/>
        <w:rPr>
          <w:rFonts w:ascii="Times New Roman" w:hAnsi="Times New Roman"/>
        </w:rPr>
      </w:pPr>
    </w:p>
    <w:p w14:paraId="71803154" w14:textId="77777777" w:rsidR="00D37ADB" w:rsidRPr="00D37ADB" w:rsidRDefault="00D37ADB" w:rsidP="00D37ADB"/>
    <w:p w14:paraId="6626ED48" w14:textId="77777777" w:rsidR="002354D1" w:rsidRPr="00C042BD" w:rsidRDefault="00F866AD" w:rsidP="00A753A3">
      <w:pPr>
        <w:pStyle w:val="Nadpis6"/>
        <w:keepNext w:val="0"/>
        <w:spacing w:beforeLines="20" w:before="48" w:after="120"/>
        <w:rPr>
          <w:szCs w:val="24"/>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7E69CB3A" w14:textId="77777777" w:rsidR="002354D1" w:rsidRPr="004F604D" w:rsidRDefault="0075034C" w:rsidP="00F1449D">
      <w:pPr>
        <w:numPr>
          <w:ilvl w:val="0"/>
          <w:numId w:val="17"/>
        </w:numPr>
        <w:tabs>
          <w:tab w:val="clear" w:pos="851"/>
          <w:tab w:val="num" w:pos="1134"/>
        </w:tabs>
        <w:spacing w:after="120"/>
        <w:ind w:left="709" w:hanging="709"/>
        <w:jc w:val="both"/>
        <w:rPr>
          <w:sz w:val="24"/>
          <w:szCs w:val="24"/>
        </w:rPr>
      </w:pPr>
      <w:r w:rsidRPr="00095FDB">
        <w:rPr>
          <w:sz w:val="24"/>
        </w:rPr>
        <w:t>Zhotovitel je povinen po celou dobu realizace díla dodržovat na převzatém staveništi čistotu a</w:t>
      </w:r>
      <w:r w:rsidR="001666A8">
        <w:rPr>
          <w:sz w:val="24"/>
        </w:rPr>
        <w:t xml:space="preserve"> pořádek</w:t>
      </w:r>
      <w:r w:rsidR="00D06DD6">
        <w:rPr>
          <w:sz w:val="24"/>
        </w:rPr>
        <w:t>.</w:t>
      </w:r>
    </w:p>
    <w:p w14:paraId="3BA67BBD" w14:textId="4326AE03" w:rsidR="0075034C" w:rsidRPr="00095FDB" w:rsidRDefault="003A0942" w:rsidP="00F1449D">
      <w:pPr>
        <w:numPr>
          <w:ilvl w:val="0"/>
          <w:numId w:val="17"/>
        </w:numPr>
        <w:tabs>
          <w:tab w:val="clear" w:pos="851"/>
          <w:tab w:val="num" w:pos="1134"/>
        </w:tabs>
        <w:spacing w:before="120"/>
        <w:ind w:left="709" w:hanging="709"/>
        <w:jc w:val="both"/>
        <w:rPr>
          <w:sz w:val="24"/>
        </w:rPr>
      </w:pPr>
      <w:r>
        <w:rPr>
          <w:sz w:val="24"/>
        </w:rPr>
        <w:t>Převzetím místa plnění</w:t>
      </w:r>
      <w:r w:rsidR="0075034C" w:rsidRPr="00095FDB">
        <w:rPr>
          <w:sz w:val="24"/>
        </w:rPr>
        <w:t xml:space="preserve"> zhotovitel přebírá v plném rozsahu odpovědnost za</w:t>
      </w:r>
      <w:r w:rsidR="007A36AF">
        <w:rPr>
          <w:sz w:val="24"/>
        </w:rPr>
        <w:t> </w:t>
      </w:r>
      <w:r w:rsidR="0075034C" w:rsidRPr="00095FDB">
        <w:rPr>
          <w:sz w:val="24"/>
        </w:rPr>
        <w:t xml:space="preserve">dodržování </w:t>
      </w:r>
      <w:r w:rsidR="00C12C0B" w:rsidRPr="00095FDB">
        <w:rPr>
          <w:sz w:val="24"/>
        </w:rPr>
        <w:t xml:space="preserve">platných </w:t>
      </w:r>
      <w:r w:rsidR="0075034C" w:rsidRPr="00095FDB">
        <w:rPr>
          <w:sz w:val="24"/>
        </w:rPr>
        <w:t>předpisů zajišťujících bezpečnost a ochranu zdraví, za</w:t>
      </w:r>
      <w:r w:rsidR="007A36AF">
        <w:rPr>
          <w:sz w:val="24"/>
        </w:rPr>
        <w:t> </w:t>
      </w:r>
      <w:r w:rsidR="0075034C" w:rsidRPr="00095FDB">
        <w:rPr>
          <w:sz w:val="24"/>
        </w:rPr>
        <w:t>dodržování příslušných protipožárních opatření a hygienických předpisů</w:t>
      </w:r>
      <w:r w:rsidR="00C12C0B" w:rsidRPr="00095FDB">
        <w:rPr>
          <w:sz w:val="24"/>
        </w:rPr>
        <w:t xml:space="preserve"> a ČSN.</w:t>
      </w:r>
    </w:p>
    <w:p w14:paraId="7CE5CB50" w14:textId="028EF139" w:rsidR="00197CB7" w:rsidRPr="00095FDB" w:rsidRDefault="003A0942" w:rsidP="00F1449D">
      <w:pPr>
        <w:numPr>
          <w:ilvl w:val="0"/>
          <w:numId w:val="17"/>
        </w:numPr>
        <w:tabs>
          <w:tab w:val="clear" w:pos="851"/>
          <w:tab w:val="num" w:pos="1134"/>
        </w:tabs>
        <w:spacing w:before="120"/>
        <w:ind w:left="709" w:hanging="709"/>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w:t>
      </w:r>
      <w:r w:rsidR="007A36AF">
        <w:rPr>
          <w:sz w:val="24"/>
        </w:rPr>
        <w:t> </w:t>
      </w:r>
      <w:r w:rsidR="00F76CCA">
        <w:rPr>
          <w:sz w:val="24"/>
        </w:rPr>
        <w:t>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16B5AB1C" w14:textId="77777777" w:rsidR="0075034C" w:rsidRDefault="0075034C" w:rsidP="00F1449D">
      <w:pPr>
        <w:numPr>
          <w:ilvl w:val="0"/>
          <w:numId w:val="17"/>
        </w:numPr>
        <w:tabs>
          <w:tab w:val="clear" w:pos="851"/>
          <w:tab w:val="num" w:pos="1134"/>
        </w:tabs>
        <w:spacing w:before="120"/>
        <w:ind w:left="709" w:hanging="709"/>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29302DE9" w14:textId="0CCC192A" w:rsidR="009036E7" w:rsidRDefault="009036E7" w:rsidP="00F1449D">
      <w:pPr>
        <w:numPr>
          <w:ilvl w:val="0"/>
          <w:numId w:val="17"/>
        </w:numPr>
        <w:tabs>
          <w:tab w:val="clear" w:pos="851"/>
          <w:tab w:val="num" w:pos="1134"/>
        </w:tabs>
        <w:spacing w:before="120"/>
        <w:ind w:left="709" w:hanging="709"/>
        <w:jc w:val="both"/>
        <w:rPr>
          <w:sz w:val="24"/>
        </w:rPr>
      </w:pPr>
      <w:r>
        <w:rPr>
          <w:sz w:val="24"/>
        </w:rPr>
        <w:t>Zhotovitel se zavazuje provádět dozor osobou, která má oprávnění pro odborné vedení provádění stavby podle zákona č. 360/1992 Sb. o výkonu povolání autorizovaných inženýrů a techniků činných ve výstavbě.</w:t>
      </w:r>
    </w:p>
    <w:p w14:paraId="385E1804" w14:textId="2D79DE15" w:rsidR="009036E7" w:rsidRDefault="009036E7" w:rsidP="00F1449D">
      <w:pPr>
        <w:numPr>
          <w:ilvl w:val="0"/>
          <w:numId w:val="17"/>
        </w:numPr>
        <w:tabs>
          <w:tab w:val="clear" w:pos="851"/>
          <w:tab w:val="num" w:pos="1134"/>
        </w:tabs>
        <w:spacing w:before="120"/>
        <w:ind w:left="709" w:hanging="709"/>
        <w:jc w:val="both"/>
        <w:rPr>
          <w:sz w:val="24"/>
        </w:rPr>
      </w:pPr>
      <w:r>
        <w:rPr>
          <w:sz w:val="24"/>
        </w:rPr>
        <w:t>Zhotovitel je povinen nejpozději 30 dní před zahájením demontáže materiálů obsahujících azbest podat hlášení o provádění prací, při nichž mohou být zaměstnanci vystaveni azbestu, příslušnému orgánu ochrany veřejného zdraví.</w:t>
      </w:r>
    </w:p>
    <w:p w14:paraId="0B433CA3" w14:textId="719DA1F4" w:rsidR="009036E7" w:rsidRDefault="009036E7" w:rsidP="00F1449D">
      <w:pPr>
        <w:numPr>
          <w:ilvl w:val="0"/>
          <w:numId w:val="17"/>
        </w:numPr>
        <w:tabs>
          <w:tab w:val="clear" w:pos="851"/>
          <w:tab w:val="num" w:pos="1134"/>
        </w:tabs>
        <w:spacing w:before="120"/>
        <w:ind w:left="709" w:hanging="709"/>
        <w:jc w:val="both"/>
        <w:rPr>
          <w:sz w:val="24"/>
        </w:rPr>
      </w:pPr>
      <w:r>
        <w:rPr>
          <w:sz w:val="24"/>
        </w:rPr>
        <w:lastRenderedPageBreak/>
        <w:t>Zhotovitel je povinen předat azbest (odpad) k odstranění pouze oprávněné osobě ve</w:t>
      </w:r>
      <w:r w:rsidR="007A36AF">
        <w:rPr>
          <w:sz w:val="24"/>
        </w:rPr>
        <w:t> </w:t>
      </w:r>
      <w:r>
        <w:rPr>
          <w:sz w:val="24"/>
        </w:rPr>
        <w:t>smyslu § 12 zákona 185/2001 Sb. o odpadech, tj. oprávněné osobě, které byl udělen souhlas krajským úřadem (dále jen „KÚ“) k provozování zařízení k využívání, odstraňování, sběru nebo výkupu odpadů s obsahem azbestu. Tyto odpady musí být uvedeny v provozním řádu zařízení, který je nedílnou součástí souhlasu KÚ.</w:t>
      </w:r>
    </w:p>
    <w:p w14:paraId="52720C24" w14:textId="77777777" w:rsidR="00EA3BE5" w:rsidRPr="00654A49" w:rsidRDefault="00EA3BE5" w:rsidP="00F1449D">
      <w:pPr>
        <w:numPr>
          <w:ilvl w:val="0"/>
          <w:numId w:val="17"/>
        </w:numPr>
        <w:tabs>
          <w:tab w:val="clear" w:pos="851"/>
          <w:tab w:val="num" w:pos="1134"/>
        </w:tabs>
        <w:spacing w:before="120"/>
        <w:ind w:left="709" w:hanging="709"/>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C48990A" w14:textId="77777777" w:rsidR="00197CB7" w:rsidRDefault="00197CB7" w:rsidP="00F1449D">
      <w:pPr>
        <w:numPr>
          <w:ilvl w:val="0"/>
          <w:numId w:val="17"/>
        </w:numPr>
        <w:tabs>
          <w:tab w:val="clear" w:pos="851"/>
          <w:tab w:val="num" w:pos="1134"/>
        </w:tabs>
        <w:spacing w:before="120" w:after="120"/>
        <w:ind w:left="709" w:hanging="709"/>
        <w:jc w:val="both"/>
        <w:rPr>
          <w:sz w:val="24"/>
        </w:rPr>
      </w:pPr>
      <w:r w:rsidRPr="00095FDB">
        <w:rPr>
          <w:sz w:val="24"/>
        </w:rPr>
        <w:t xml:space="preserve">Zhotovitel </w:t>
      </w:r>
      <w:r w:rsidR="001666A8">
        <w:rPr>
          <w:sz w:val="24"/>
        </w:rPr>
        <w:t xml:space="preserve">bere na vědomí, že 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8241E48" w14:textId="77777777" w:rsidR="003033C6" w:rsidRDefault="00027C2C" w:rsidP="00F1449D">
      <w:pPr>
        <w:pStyle w:val="Odstavecseseznamem"/>
        <w:numPr>
          <w:ilvl w:val="0"/>
          <w:numId w:val="17"/>
        </w:numPr>
        <w:tabs>
          <w:tab w:val="clear" w:pos="851"/>
          <w:tab w:val="num" w:pos="1134"/>
        </w:tabs>
        <w:ind w:left="709" w:hanging="709"/>
        <w:jc w:val="both"/>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6CAA5731" w14:textId="77777777" w:rsidR="00A753A3" w:rsidRDefault="00B10CE7" w:rsidP="00F1449D">
      <w:pPr>
        <w:pStyle w:val="Odstavecseseznamem"/>
        <w:numPr>
          <w:ilvl w:val="0"/>
          <w:numId w:val="17"/>
        </w:numPr>
        <w:tabs>
          <w:tab w:val="clear" w:pos="851"/>
          <w:tab w:val="num" w:pos="1134"/>
        </w:tabs>
        <w:spacing w:after="0"/>
        <w:ind w:left="709" w:hanging="709"/>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w:t>
      </w:r>
      <w:r w:rsidRPr="0000424F">
        <w:rPr>
          <w:rFonts w:ascii="Times New Roman" w:hAnsi="Times New Roman"/>
          <w:sz w:val="24"/>
          <w:szCs w:val="20"/>
        </w:rPr>
        <w:t xml:space="preserve">min. </w:t>
      </w:r>
      <w:r w:rsidR="00257555" w:rsidRPr="0000424F">
        <w:rPr>
          <w:rFonts w:ascii="Times New Roman" w:hAnsi="Times New Roman"/>
          <w:sz w:val="24"/>
          <w:szCs w:val="20"/>
        </w:rPr>
        <w:t>10 000 000</w:t>
      </w:r>
      <w:r w:rsidR="00257555">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14:paraId="34A68F8B" w14:textId="77777777" w:rsidR="00F1449D" w:rsidRDefault="00F1449D" w:rsidP="00F1449D">
      <w:pPr>
        <w:pStyle w:val="Odstavecseseznamem"/>
        <w:spacing w:after="0"/>
        <w:ind w:left="709"/>
        <w:jc w:val="both"/>
        <w:rPr>
          <w:rFonts w:ascii="Times New Roman" w:hAnsi="Times New Roman"/>
          <w:sz w:val="24"/>
          <w:szCs w:val="20"/>
        </w:rPr>
      </w:pPr>
    </w:p>
    <w:p w14:paraId="5DF15003" w14:textId="77777777" w:rsidR="00D37ADB" w:rsidRPr="00A753A3" w:rsidRDefault="00D37ADB" w:rsidP="00F1449D">
      <w:pPr>
        <w:pStyle w:val="Odstavecseseznamem"/>
        <w:spacing w:after="0"/>
        <w:ind w:left="709"/>
        <w:jc w:val="both"/>
        <w:rPr>
          <w:rFonts w:ascii="Times New Roman" w:hAnsi="Times New Roman"/>
          <w:sz w:val="24"/>
          <w:szCs w:val="20"/>
        </w:rPr>
      </w:pPr>
    </w:p>
    <w:p w14:paraId="5DDFE4FD" w14:textId="77777777" w:rsidR="002368C4" w:rsidRPr="00AC76B4" w:rsidRDefault="002368C4" w:rsidP="00A753A3">
      <w:pPr>
        <w:pStyle w:val="Nadpis6"/>
        <w:keepNext w:val="0"/>
        <w:spacing w:beforeLines="20" w:before="48" w:after="120"/>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7160B737" w14:textId="3C752590" w:rsidR="002368C4" w:rsidRPr="00F1449D" w:rsidRDefault="002368C4" w:rsidP="00F1449D">
      <w:pPr>
        <w:pStyle w:val="Odstavecseseznamem"/>
        <w:numPr>
          <w:ilvl w:val="0"/>
          <w:numId w:val="38"/>
        </w:numPr>
        <w:tabs>
          <w:tab w:val="clear" w:pos="851"/>
          <w:tab w:val="num" w:pos="993"/>
        </w:tabs>
        <w:ind w:left="709" w:hanging="709"/>
        <w:jc w:val="both"/>
        <w:rPr>
          <w:rFonts w:ascii="Times New Roman" w:hAnsi="Times New Roman"/>
          <w:sz w:val="24"/>
          <w:szCs w:val="20"/>
        </w:rPr>
      </w:pPr>
      <w:r w:rsidRPr="00F1449D">
        <w:rPr>
          <w:rFonts w:ascii="Times New Roman" w:hAnsi="Times New Roman"/>
          <w:sz w:val="24"/>
          <w:szCs w:val="20"/>
        </w:rPr>
        <w:t xml:space="preserve">Případné </w:t>
      </w:r>
      <w:proofErr w:type="spellStart"/>
      <w:r w:rsidRPr="00F1449D">
        <w:rPr>
          <w:rFonts w:ascii="Times New Roman" w:hAnsi="Times New Roman"/>
          <w:sz w:val="24"/>
          <w:szCs w:val="20"/>
        </w:rPr>
        <w:t>méněpráce</w:t>
      </w:r>
      <w:proofErr w:type="spellEnd"/>
      <w:r w:rsidRPr="00F1449D">
        <w:rPr>
          <w:rFonts w:ascii="Times New Roman" w:hAnsi="Times New Roman"/>
          <w:sz w:val="24"/>
          <w:szCs w:val="20"/>
        </w:rPr>
        <w:t xml:space="preserv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661BC1B" w14:textId="1148F9E7" w:rsidR="002368C4" w:rsidRPr="00F1449D" w:rsidRDefault="002368C4" w:rsidP="00F1449D">
      <w:pPr>
        <w:pStyle w:val="Odstavecseseznamem"/>
        <w:numPr>
          <w:ilvl w:val="0"/>
          <w:numId w:val="38"/>
        </w:numPr>
        <w:tabs>
          <w:tab w:val="clear" w:pos="851"/>
          <w:tab w:val="num" w:pos="993"/>
        </w:tabs>
        <w:ind w:left="709" w:hanging="709"/>
        <w:jc w:val="both"/>
        <w:rPr>
          <w:rFonts w:ascii="Times New Roman" w:hAnsi="Times New Roman"/>
          <w:sz w:val="24"/>
          <w:szCs w:val="20"/>
        </w:rPr>
      </w:pPr>
      <w:r w:rsidRPr="00F1449D">
        <w:rPr>
          <w:rFonts w:ascii="Times New Roman" w:hAnsi="Times New Roman"/>
          <w:sz w:val="24"/>
          <w:szCs w:val="20"/>
        </w:rPr>
        <w:t xml:space="preserve">Stanovení ceny víceprací a </w:t>
      </w:r>
      <w:proofErr w:type="spellStart"/>
      <w:r w:rsidRPr="00F1449D">
        <w:rPr>
          <w:rFonts w:ascii="Times New Roman" w:hAnsi="Times New Roman"/>
          <w:sz w:val="24"/>
          <w:szCs w:val="20"/>
        </w:rPr>
        <w:t>méněprací</w:t>
      </w:r>
      <w:proofErr w:type="spellEnd"/>
      <w:r w:rsidRPr="00F1449D">
        <w:rPr>
          <w:rFonts w:ascii="Times New Roman" w:hAnsi="Times New Roman"/>
          <w:sz w:val="24"/>
          <w:szCs w:val="20"/>
        </w:rPr>
        <w:t xml:space="preserve"> </w:t>
      </w:r>
    </w:p>
    <w:p w14:paraId="0E7A2CDB"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017874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21AC9D36"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7617D6DD"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0B9AD73F"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14:paraId="4E404236" w14:textId="1228ECE4" w:rsidR="002368C4" w:rsidRPr="00F1449D" w:rsidRDefault="002368C4" w:rsidP="00F1449D">
      <w:pPr>
        <w:pStyle w:val="Odstavecseseznamem"/>
        <w:numPr>
          <w:ilvl w:val="0"/>
          <w:numId w:val="38"/>
        </w:numPr>
        <w:tabs>
          <w:tab w:val="clear" w:pos="851"/>
          <w:tab w:val="num" w:pos="1134"/>
        </w:tabs>
        <w:spacing w:before="240"/>
        <w:ind w:left="709" w:hanging="709"/>
        <w:jc w:val="both"/>
        <w:rPr>
          <w:rFonts w:ascii="Times New Roman" w:hAnsi="Times New Roman"/>
          <w:sz w:val="24"/>
          <w:szCs w:val="20"/>
        </w:rPr>
      </w:pPr>
      <w:r w:rsidRPr="00F1449D">
        <w:rPr>
          <w:rFonts w:ascii="Times New Roman" w:hAnsi="Times New Roman"/>
          <w:sz w:val="24"/>
          <w:szCs w:val="20"/>
        </w:rPr>
        <w:t xml:space="preserve">Provedení změny v realizaci stavby je možné pouze na základě objednatelem </w:t>
      </w:r>
      <w:r w:rsidR="00F1449D">
        <w:rPr>
          <w:rFonts w:ascii="Times New Roman" w:hAnsi="Times New Roman"/>
          <w:sz w:val="24"/>
          <w:szCs w:val="20"/>
        </w:rPr>
        <w:t>s</w:t>
      </w:r>
      <w:r w:rsidRPr="00F1449D">
        <w:rPr>
          <w:rFonts w:ascii="Times New Roman" w:hAnsi="Times New Roman"/>
          <w:sz w:val="24"/>
          <w:szCs w:val="20"/>
        </w:rPr>
        <w:t xml:space="preserve">chváleného změnového listu. </w:t>
      </w:r>
    </w:p>
    <w:p w14:paraId="1238DF8C" w14:textId="3263D0B2" w:rsidR="00FE5E24" w:rsidRPr="00F1449D" w:rsidRDefault="002368C4" w:rsidP="00F1449D">
      <w:pPr>
        <w:pStyle w:val="Odstavecseseznamem"/>
        <w:numPr>
          <w:ilvl w:val="0"/>
          <w:numId w:val="38"/>
        </w:numPr>
        <w:tabs>
          <w:tab w:val="clear" w:pos="851"/>
          <w:tab w:val="num" w:pos="1134"/>
        </w:tabs>
        <w:ind w:left="709" w:hanging="709"/>
        <w:jc w:val="both"/>
        <w:rPr>
          <w:rFonts w:ascii="Times New Roman" w:hAnsi="Times New Roman"/>
          <w:sz w:val="24"/>
          <w:szCs w:val="20"/>
        </w:rPr>
      </w:pPr>
      <w:r w:rsidRPr="00F1449D">
        <w:rPr>
          <w:rFonts w:ascii="Times New Roman" w:hAnsi="Times New Roman"/>
          <w:sz w:val="24"/>
          <w:szCs w:val="20"/>
        </w:rPr>
        <w:lastRenderedPageBreak/>
        <w:t>Změny v realizaci stavby provedené na základě změnového listu budou začleněny do</w:t>
      </w:r>
      <w:r w:rsidR="007A36AF" w:rsidRPr="00F1449D">
        <w:rPr>
          <w:rFonts w:ascii="Times New Roman" w:hAnsi="Times New Roman"/>
          <w:sz w:val="24"/>
          <w:szCs w:val="20"/>
        </w:rPr>
        <w:t> </w:t>
      </w:r>
      <w:r w:rsidRPr="00F1449D">
        <w:rPr>
          <w:rFonts w:ascii="Times New Roman" w:hAnsi="Times New Roman"/>
          <w:sz w:val="24"/>
          <w:szCs w:val="20"/>
        </w:rPr>
        <w:t xml:space="preserve">právního rámce této smlouvy o dílo samostatným dodatkem k této smlouvě o dílo. </w:t>
      </w:r>
    </w:p>
    <w:p w14:paraId="21EA0820" w14:textId="6964E373" w:rsidR="002368C4" w:rsidRPr="00F1449D" w:rsidRDefault="002368C4" w:rsidP="00F1449D">
      <w:pPr>
        <w:pStyle w:val="Odstavecseseznamem"/>
        <w:numPr>
          <w:ilvl w:val="0"/>
          <w:numId w:val="38"/>
        </w:numPr>
        <w:tabs>
          <w:tab w:val="clear" w:pos="851"/>
          <w:tab w:val="num" w:pos="1134"/>
        </w:tabs>
        <w:ind w:left="709" w:hanging="709"/>
        <w:jc w:val="both"/>
        <w:rPr>
          <w:rFonts w:ascii="Times New Roman" w:hAnsi="Times New Roman"/>
          <w:sz w:val="24"/>
          <w:szCs w:val="20"/>
        </w:rPr>
      </w:pPr>
      <w:r w:rsidRPr="00F1449D">
        <w:rPr>
          <w:rFonts w:ascii="Times New Roman" w:hAnsi="Times New Roman"/>
          <w:sz w:val="24"/>
          <w:szCs w:val="20"/>
        </w:rPr>
        <w:t>Zhotovitel je povinen na základě písemné žádosti pro zadavatele provést případné vícepráce plynoucí z postupu zakázky. Rozsah a cena víceprací musí být před jejich prováděním písemně odsouhlasena odpovědnými zástupci obou smluvních stran. Vícepráce do 10</w:t>
      </w:r>
      <w:r w:rsidR="00D06DD6" w:rsidRPr="00F1449D">
        <w:rPr>
          <w:rFonts w:ascii="Times New Roman" w:hAnsi="Times New Roman"/>
          <w:sz w:val="24"/>
          <w:szCs w:val="20"/>
        </w:rPr>
        <w:t xml:space="preserve"> </w:t>
      </w:r>
      <w:r w:rsidRPr="00F1449D">
        <w:rPr>
          <w:rFonts w:ascii="Times New Roman" w:hAnsi="Times New Roman"/>
          <w:sz w:val="24"/>
          <w:szCs w:val="20"/>
        </w:rPr>
        <w:t>% nabídkové ceny nemají vliv na termín dokončení díla. Při rozsahu víceprací nad 10</w:t>
      </w:r>
      <w:r w:rsidR="00D06DD6" w:rsidRPr="00F1449D">
        <w:rPr>
          <w:rFonts w:ascii="Times New Roman" w:hAnsi="Times New Roman"/>
          <w:sz w:val="24"/>
          <w:szCs w:val="20"/>
        </w:rPr>
        <w:t xml:space="preserve"> </w:t>
      </w:r>
      <w:r w:rsidRPr="00F1449D">
        <w:rPr>
          <w:rFonts w:ascii="Times New Roman" w:hAnsi="Times New Roman"/>
          <w:sz w:val="24"/>
          <w:szCs w:val="20"/>
        </w:rPr>
        <w:t>% nabídkové ceny se na žádost zhotovitele smluvní doba prodlouží o</w:t>
      </w:r>
      <w:r w:rsidR="007A36AF" w:rsidRPr="00F1449D">
        <w:rPr>
          <w:rFonts w:ascii="Times New Roman" w:hAnsi="Times New Roman"/>
          <w:sz w:val="24"/>
          <w:szCs w:val="20"/>
        </w:rPr>
        <w:t> </w:t>
      </w:r>
      <w:r w:rsidRPr="00F1449D">
        <w:rPr>
          <w:rFonts w:ascii="Times New Roman" w:hAnsi="Times New Roman"/>
          <w:sz w:val="24"/>
          <w:szCs w:val="20"/>
        </w:rPr>
        <w:t>odpovídající dobu.</w:t>
      </w:r>
    </w:p>
    <w:p w14:paraId="2A466CA6" w14:textId="6A3F7297" w:rsidR="00FE5E24" w:rsidRPr="00F1449D" w:rsidRDefault="0037024E" w:rsidP="00F1449D">
      <w:pPr>
        <w:pStyle w:val="Odstavecseseznamem"/>
        <w:numPr>
          <w:ilvl w:val="0"/>
          <w:numId w:val="38"/>
        </w:numPr>
        <w:tabs>
          <w:tab w:val="clear" w:pos="851"/>
          <w:tab w:val="num" w:pos="1134"/>
        </w:tabs>
        <w:spacing w:after="0"/>
        <w:ind w:left="709" w:hanging="709"/>
        <w:jc w:val="both"/>
        <w:rPr>
          <w:rFonts w:ascii="Times New Roman" w:hAnsi="Times New Roman"/>
          <w:sz w:val="24"/>
          <w:szCs w:val="20"/>
        </w:rPr>
      </w:pPr>
      <w:r w:rsidRPr="00F1449D">
        <w:rPr>
          <w:rFonts w:ascii="Times New Roman" w:hAnsi="Times New Roman"/>
          <w:sz w:val="24"/>
          <w:szCs w:val="20"/>
        </w:rPr>
        <w:t xml:space="preserve">Zhotovitel bere na vědomí, </w:t>
      </w:r>
      <w:r w:rsidR="00981300" w:rsidRPr="00F1449D">
        <w:rPr>
          <w:rFonts w:ascii="Times New Roman" w:hAnsi="Times New Roman"/>
          <w:sz w:val="24"/>
          <w:szCs w:val="20"/>
        </w:rPr>
        <w:t xml:space="preserve">že </w:t>
      </w:r>
      <w:r w:rsidR="00C25FA6" w:rsidRPr="00F1449D">
        <w:rPr>
          <w:rFonts w:ascii="Times New Roman" w:hAnsi="Times New Roman"/>
          <w:sz w:val="24"/>
          <w:szCs w:val="20"/>
        </w:rPr>
        <w:t xml:space="preserve">jakékoliv vícepráce mohou být realizovány </w:t>
      </w:r>
      <w:r w:rsidRPr="00F1449D">
        <w:rPr>
          <w:rFonts w:ascii="Times New Roman" w:hAnsi="Times New Roman"/>
          <w:sz w:val="24"/>
          <w:szCs w:val="20"/>
        </w:rPr>
        <w:t xml:space="preserve">pouze v souladu s § </w:t>
      </w:r>
      <w:r w:rsidR="00C25FA6" w:rsidRPr="00F1449D">
        <w:rPr>
          <w:rFonts w:ascii="Times New Roman" w:hAnsi="Times New Roman"/>
          <w:sz w:val="24"/>
          <w:szCs w:val="20"/>
        </w:rPr>
        <w:t>222 zákona č. 134/2016 Sb., o za</w:t>
      </w:r>
      <w:r w:rsidRPr="00F1449D">
        <w:rPr>
          <w:rFonts w:ascii="Times New Roman" w:hAnsi="Times New Roman"/>
          <w:sz w:val="24"/>
          <w:szCs w:val="20"/>
        </w:rPr>
        <w:t>dávání veřejných zakázek v platném znění.</w:t>
      </w:r>
    </w:p>
    <w:p w14:paraId="4FFA4E32" w14:textId="77777777" w:rsidR="00A753A3" w:rsidRDefault="00A753A3" w:rsidP="00D468A2">
      <w:pPr>
        <w:pStyle w:val="Nadpis6"/>
        <w:keepNext w:val="0"/>
        <w:tabs>
          <w:tab w:val="num" w:pos="1134"/>
        </w:tabs>
        <w:spacing w:beforeLines="20" w:before="48"/>
        <w:ind w:left="709" w:hanging="709"/>
        <w:rPr>
          <w:rFonts w:ascii="Times New Roman" w:hAnsi="Times New Roman"/>
          <w:u w:val="none"/>
        </w:rPr>
      </w:pPr>
    </w:p>
    <w:p w14:paraId="0D975D88" w14:textId="77777777" w:rsidR="00D37ADB" w:rsidRPr="00D37ADB" w:rsidRDefault="00D37ADB" w:rsidP="00D37ADB"/>
    <w:p w14:paraId="5096BE1D" w14:textId="77777777" w:rsidR="00EA3BE5" w:rsidRPr="00EA3BE5" w:rsidRDefault="002368C4" w:rsidP="00A753A3">
      <w:pPr>
        <w:pStyle w:val="Nadpis6"/>
        <w:keepNext w:val="0"/>
        <w:spacing w:beforeLines="20" w:before="48" w:after="120"/>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4F7BD727" w14:textId="3768D8E7" w:rsidR="006B0EA7" w:rsidRDefault="0075034C" w:rsidP="00D468A2">
      <w:pPr>
        <w:pStyle w:val="Odstavecseseznamem"/>
        <w:numPr>
          <w:ilvl w:val="0"/>
          <w:numId w:val="39"/>
        </w:numPr>
        <w:tabs>
          <w:tab w:val="clear" w:pos="851"/>
          <w:tab w:val="num" w:pos="709"/>
        </w:tabs>
        <w:spacing w:after="0"/>
        <w:ind w:left="709" w:hanging="709"/>
        <w:jc w:val="both"/>
        <w:rPr>
          <w:rFonts w:ascii="Times New Roman" w:hAnsi="Times New Roman"/>
          <w:sz w:val="24"/>
          <w:szCs w:val="20"/>
        </w:rPr>
      </w:pPr>
      <w:r w:rsidRPr="00F1449D">
        <w:rPr>
          <w:rFonts w:ascii="Times New Roman" w:hAnsi="Times New Roman"/>
          <w:sz w:val="24"/>
          <w:szCs w:val="20"/>
        </w:rPr>
        <w:t>Zhotovitel oznámí objednateli 7 dnů předem termín, kdy dílo bude dokončeno a připraveno k předání. O předání díla bude proveden zápis o předání a převzetí dokončeného díla, který podepíší zástupci obou smluvníc</w:t>
      </w:r>
      <w:r w:rsidR="00197CB7" w:rsidRPr="00F1449D">
        <w:rPr>
          <w:rFonts w:ascii="Times New Roman" w:hAnsi="Times New Roman"/>
          <w:sz w:val="24"/>
          <w:szCs w:val="20"/>
        </w:rPr>
        <w:t>h stran, a při kterém zhotovitel předá a objednatel pře</w:t>
      </w:r>
      <w:r w:rsidR="002354D1" w:rsidRPr="00F1449D">
        <w:rPr>
          <w:rFonts w:ascii="Times New Roman" w:hAnsi="Times New Roman"/>
          <w:sz w:val="24"/>
          <w:szCs w:val="20"/>
        </w:rPr>
        <w:t xml:space="preserve">vezme veškerou dokumentaci dle </w:t>
      </w:r>
      <w:r w:rsidR="00654A49" w:rsidRPr="00F1449D">
        <w:rPr>
          <w:rFonts w:ascii="Times New Roman" w:hAnsi="Times New Roman"/>
          <w:sz w:val="24"/>
          <w:szCs w:val="20"/>
        </w:rPr>
        <w:t>č</w:t>
      </w:r>
      <w:r w:rsidR="00197CB7" w:rsidRPr="00F1449D">
        <w:rPr>
          <w:rFonts w:ascii="Times New Roman" w:hAnsi="Times New Roman"/>
          <w:sz w:val="24"/>
          <w:szCs w:val="20"/>
        </w:rPr>
        <w:t xml:space="preserve">lánku </w:t>
      </w:r>
      <w:r w:rsidR="007A36AF" w:rsidRPr="00F1449D">
        <w:rPr>
          <w:rFonts w:ascii="Times New Roman" w:hAnsi="Times New Roman"/>
          <w:sz w:val="24"/>
          <w:szCs w:val="20"/>
        </w:rPr>
        <w:t>I.</w:t>
      </w:r>
      <w:r w:rsidR="00197CB7" w:rsidRPr="00F1449D">
        <w:rPr>
          <w:rFonts w:ascii="Times New Roman" w:hAnsi="Times New Roman"/>
          <w:sz w:val="24"/>
          <w:szCs w:val="20"/>
        </w:rPr>
        <w:t xml:space="preserve"> této smlouvy.</w:t>
      </w:r>
    </w:p>
    <w:p w14:paraId="748321C3" w14:textId="77777777" w:rsidR="00F1449D" w:rsidRDefault="00F1449D" w:rsidP="00F1449D">
      <w:pPr>
        <w:pStyle w:val="Odstavecseseznamem"/>
        <w:spacing w:after="0"/>
        <w:ind w:left="851"/>
        <w:jc w:val="both"/>
        <w:rPr>
          <w:rFonts w:ascii="Times New Roman" w:hAnsi="Times New Roman"/>
          <w:sz w:val="24"/>
          <w:szCs w:val="20"/>
        </w:rPr>
      </w:pPr>
    </w:p>
    <w:p w14:paraId="02EBE71A" w14:textId="77777777" w:rsidR="00D37ADB" w:rsidRPr="00F1449D" w:rsidRDefault="00D37ADB" w:rsidP="00F1449D">
      <w:pPr>
        <w:pStyle w:val="Odstavecseseznamem"/>
        <w:spacing w:after="0"/>
        <w:ind w:left="851"/>
        <w:jc w:val="both"/>
        <w:rPr>
          <w:rFonts w:ascii="Times New Roman" w:hAnsi="Times New Roman"/>
          <w:sz w:val="24"/>
          <w:szCs w:val="20"/>
        </w:rPr>
      </w:pPr>
    </w:p>
    <w:p w14:paraId="5CF9C537" w14:textId="77777777" w:rsidR="00A753A3" w:rsidRPr="00A753A3" w:rsidRDefault="00F866AD" w:rsidP="00A753A3">
      <w:pPr>
        <w:pStyle w:val="Nadpis6"/>
        <w:keepNext w:val="0"/>
        <w:spacing w:beforeLines="20" w:before="48" w:after="120"/>
      </w:pPr>
      <w:r w:rsidRPr="00421634">
        <w:rPr>
          <w:rFonts w:ascii="Times New Roman" w:hAnsi="Times New Roman"/>
          <w:u w:val="none"/>
        </w:rPr>
        <w:t xml:space="preserve">X. </w:t>
      </w:r>
      <w:r w:rsidR="00AE2642" w:rsidRPr="00421634">
        <w:rPr>
          <w:rFonts w:ascii="Times New Roman" w:hAnsi="Times New Roman"/>
          <w:u w:val="none"/>
        </w:rPr>
        <w:t>SMLUVNÍ POKUTY</w:t>
      </w:r>
    </w:p>
    <w:p w14:paraId="750FA4D8"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7433F8D0" w14:textId="2FC8613D"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w:t>
      </w:r>
      <w:r w:rsidR="00F1449D">
        <w:rPr>
          <w:rFonts w:ascii="Times New Roman" w:hAnsi="Times New Roman"/>
          <w:bCs/>
          <w:sz w:val="24"/>
        </w:rPr>
        <w:t xml:space="preserve">objednateli </w:t>
      </w:r>
      <w:r w:rsidR="00A11243" w:rsidRPr="00195732">
        <w:rPr>
          <w:rFonts w:ascii="Times New Roman" w:hAnsi="Times New Roman"/>
          <w:bCs/>
          <w:sz w:val="24"/>
        </w:rPr>
        <w:t xml:space="preserve">smluvní pokutu ve výši </w:t>
      </w:r>
      <w:r w:rsidR="0053649A">
        <w:rPr>
          <w:rFonts w:ascii="Times New Roman" w:hAnsi="Times New Roman"/>
          <w:bCs/>
          <w:sz w:val="24"/>
        </w:rPr>
        <w:t>5 000</w:t>
      </w:r>
      <w:r w:rsidR="00A11243" w:rsidRPr="00195732">
        <w:rPr>
          <w:rFonts w:ascii="Times New Roman" w:hAnsi="Times New Roman"/>
          <w:bCs/>
          <w:sz w:val="24"/>
        </w:rPr>
        <w:t xml:space="preserve"> Kč za každý</w:t>
      </w:r>
      <w:r w:rsidR="00257555">
        <w:rPr>
          <w:rFonts w:ascii="Times New Roman" w:hAnsi="Times New Roman"/>
          <w:bCs/>
          <w:sz w:val="24"/>
        </w:rPr>
        <w:t>,</w:t>
      </w:r>
      <w:r w:rsidR="00A11243" w:rsidRPr="00195732">
        <w:rPr>
          <w:rFonts w:ascii="Times New Roman" w:hAnsi="Times New Roman"/>
          <w:bCs/>
          <w:sz w:val="24"/>
        </w:rPr>
        <w:t xml:space="preserve"> i započatý</w:t>
      </w:r>
      <w:r w:rsidR="00257555">
        <w:rPr>
          <w:rFonts w:ascii="Times New Roman" w:hAnsi="Times New Roman"/>
          <w:bCs/>
          <w:sz w:val="24"/>
        </w:rPr>
        <w:t>, den prodlení z předání</w:t>
      </w:r>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14:paraId="08DD37A1" w14:textId="0D7E6F54"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53649A">
        <w:rPr>
          <w:rFonts w:ascii="Times New Roman" w:hAnsi="Times New Roman"/>
          <w:bCs/>
          <w:sz w:val="24"/>
        </w:rPr>
        <w:t>5</w:t>
      </w:r>
      <w:r w:rsidR="00F1449D">
        <w:rPr>
          <w:rFonts w:ascii="Times New Roman" w:hAnsi="Times New Roman"/>
          <w:bCs/>
          <w:sz w:val="24"/>
        </w:rPr>
        <w:t> </w:t>
      </w:r>
      <w:r w:rsidR="0053649A">
        <w:rPr>
          <w:rFonts w:ascii="Times New Roman" w:hAnsi="Times New Roman"/>
          <w:bCs/>
          <w:sz w:val="24"/>
        </w:rPr>
        <w:t>000</w:t>
      </w:r>
      <w:r w:rsidR="00F1449D">
        <w:rPr>
          <w:rFonts w:ascii="Times New Roman" w:hAnsi="Times New Roman"/>
          <w:bCs/>
          <w:sz w:val="24"/>
        </w:rPr>
        <w:t> </w:t>
      </w:r>
      <w:r w:rsidRPr="00195732">
        <w:rPr>
          <w:rFonts w:ascii="Times New Roman" w:hAnsi="Times New Roman"/>
          <w:bCs/>
          <w:sz w:val="24"/>
        </w:rPr>
        <w:t>Kč</w:t>
      </w:r>
      <w:r w:rsidR="00AE2642" w:rsidRPr="00195732">
        <w:rPr>
          <w:rFonts w:ascii="Times New Roman" w:hAnsi="Times New Roman"/>
          <w:bCs/>
          <w:sz w:val="24"/>
        </w:rPr>
        <w:t> za</w:t>
      </w:r>
      <w:r w:rsidR="007A36AF">
        <w:rPr>
          <w:rFonts w:ascii="Times New Roman" w:hAnsi="Times New Roman"/>
          <w:bCs/>
          <w:sz w:val="24"/>
        </w:rPr>
        <w:t> </w:t>
      </w:r>
      <w:r w:rsidR="00AE2642" w:rsidRPr="00195732">
        <w:rPr>
          <w:rFonts w:ascii="Times New Roman" w:hAnsi="Times New Roman"/>
          <w:bCs/>
          <w:sz w:val="24"/>
        </w:rPr>
        <w:t>každý</w:t>
      </w:r>
      <w:r w:rsidR="00AD19DF">
        <w:rPr>
          <w:rFonts w:ascii="Times New Roman" w:hAnsi="Times New Roman"/>
          <w:bCs/>
          <w:sz w:val="24"/>
        </w:rPr>
        <w:t>,</w:t>
      </w:r>
      <w:r w:rsidR="00AE2642" w:rsidRPr="00195732">
        <w:rPr>
          <w:rFonts w:ascii="Times New Roman" w:hAnsi="Times New Roman"/>
          <w:bCs/>
          <w:sz w:val="24"/>
        </w:rPr>
        <w:t xml:space="preserve"> i započatý</w:t>
      </w:r>
      <w:r w:rsidR="00AD19DF">
        <w:rPr>
          <w:rFonts w:ascii="Times New Roman" w:hAnsi="Times New Roman"/>
          <w:bCs/>
          <w:sz w:val="24"/>
        </w:rPr>
        <w:t>,</w:t>
      </w:r>
      <w:r w:rsidR="00AE2642" w:rsidRPr="00195732">
        <w:rPr>
          <w:rFonts w:ascii="Times New Roman" w:hAnsi="Times New Roman"/>
          <w:bCs/>
          <w:sz w:val="24"/>
        </w:rPr>
        <w:t xml:space="preserve"> den prodlení.</w:t>
      </w:r>
    </w:p>
    <w:p w14:paraId="29ABDCE7" w14:textId="02851277" w:rsidR="00C85501" w:rsidRPr="00195732" w:rsidRDefault="00B0703E"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53649A">
        <w:rPr>
          <w:rFonts w:ascii="Times New Roman" w:hAnsi="Times New Roman"/>
          <w:bCs/>
          <w:sz w:val="24"/>
        </w:rPr>
        <w:t>5 000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14:paraId="41465359" w14:textId="77777777" w:rsidR="001A6F2A" w:rsidRPr="00195732" w:rsidRDefault="001A6F2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2354D1" w:rsidRPr="00195732">
        <w:rPr>
          <w:rFonts w:ascii="Times New Roman" w:hAnsi="Times New Roman"/>
          <w:bCs/>
          <w:sz w:val="24"/>
        </w:rPr>
        <w:t xml:space="preserve"> je </w:t>
      </w:r>
      <w:r w:rsidRPr="00195732">
        <w:rPr>
          <w:rFonts w:ascii="Times New Roman" w:hAnsi="Times New Roman"/>
          <w:bCs/>
          <w:sz w:val="24"/>
        </w:rPr>
        <w:t xml:space="preserve">stanovena </w:t>
      </w:r>
      <w:r w:rsidR="00027C2C" w:rsidRPr="00195732">
        <w:rPr>
          <w:rFonts w:ascii="Times New Roman" w:hAnsi="Times New Roman"/>
          <w:bCs/>
          <w:sz w:val="24"/>
        </w:rPr>
        <w:t xml:space="preserve">ve výši </w:t>
      </w:r>
      <w:r w:rsidR="0053649A">
        <w:rPr>
          <w:rFonts w:ascii="Times New Roman" w:hAnsi="Times New Roman"/>
          <w:bCs/>
          <w:sz w:val="24"/>
        </w:rPr>
        <w:t xml:space="preserve">5 000 </w:t>
      </w:r>
      <w:r w:rsidR="00027C2C" w:rsidRPr="00195732">
        <w:rPr>
          <w:rFonts w:ascii="Times New Roman" w:hAnsi="Times New Roman"/>
          <w:bCs/>
          <w:sz w:val="24"/>
        </w:rPr>
        <w:t>Kč za každý den do odstranění nedostatků ve stavebním deníku.</w:t>
      </w:r>
    </w:p>
    <w:p w14:paraId="41F85779" w14:textId="190696EB" w:rsidR="003A0942" w:rsidRPr="00195732" w:rsidRDefault="003A09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D06DD6">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6F408423"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91A21FC"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Zhotovitel nebude povinen hradit smluvní pokuty dle odstavců </w:t>
      </w:r>
      <w:r w:rsidR="009456DD">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1A969059" w14:textId="77777777" w:rsidR="00A753A3" w:rsidRDefault="00AE2642" w:rsidP="00F1449D">
      <w:pPr>
        <w:pStyle w:val="Odstavecseseznamem"/>
        <w:numPr>
          <w:ilvl w:val="0"/>
          <w:numId w:val="35"/>
        </w:numPr>
        <w:tabs>
          <w:tab w:val="right" w:pos="9071"/>
        </w:tabs>
        <w:spacing w:after="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0CC4649C" w14:textId="77777777" w:rsidR="00D468A2" w:rsidRDefault="00D468A2" w:rsidP="00A753A3">
      <w:pPr>
        <w:tabs>
          <w:tab w:val="right" w:pos="9071"/>
        </w:tabs>
        <w:spacing w:after="120"/>
        <w:jc w:val="both"/>
        <w:rPr>
          <w:bCs/>
          <w:sz w:val="24"/>
        </w:rPr>
      </w:pPr>
    </w:p>
    <w:p w14:paraId="2F0D88DE" w14:textId="77777777" w:rsidR="00D37ADB" w:rsidRPr="00A753A3" w:rsidRDefault="00D37ADB" w:rsidP="00A753A3">
      <w:pPr>
        <w:tabs>
          <w:tab w:val="right" w:pos="9071"/>
        </w:tabs>
        <w:spacing w:after="120"/>
        <w:jc w:val="both"/>
        <w:rPr>
          <w:bCs/>
          <w:sz w:val="24"/>
        </w:rPr>
      </w:pPr>
    </w:p>
    <w:p w14:paraId="4C106E41" w14:textId="77777777" w:rsidR="002354D1" w:rsidRPr="002354D1" w:rsidRDefault="00F866AD" w:rsidP="00A753A3">
      <w:pPr>
        <w:pStyle w:val="Nadpis6"/>
        <w:keepNext w:val="0"/>
        <w:spacing w:beforeLines="20" w:before="48" w:after="120"/>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2D629C5D" w14:textId="77777777" w:rsidR="00AE2642" w:rsidRPr="00095FDB" w:rsidRDefault="00AE2642" w:rsidP="00D468A2">
      <w:pPr>
        <w:pStyle w:val="Zkladntext3"/>
        <w:numPr>
          <w:ilvl w:val="0"/>
          <w:numId w:val="9"/>
        </w:numPr>
        <w:tabs>
          <w:tab w:val="clear" w:pos="851"/>
          <w:tab w:val="num" w:pos="709"/>
        </w:tabs>
        <w:spacing w:beforeLines="20" w:before="48"/>
        <w:ind w:left="709" w:hanging="709"/>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3B157314"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40EC9132"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4E8AF737"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443AE0D5"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1D01BC7" w14:textId="77777777" w:rsidR="006D6F14" w:rsidRDefault="00AE2642" w:rsidP="00D468A2">
      <w:pPr>
        <w:numPr>
          <w:ilvl w:val="0"/>
          <w:numId w:val="9"/>
        </w:numPr>
        <w:tabs>
          <w:tab w:val="clear" w:pos="851"/>
          <w:tab w:val="num" w:pos="709"/>
        </w:tabs>
        <w:spacing w:beforeLines="20" w:before="48"/>
        <w:ind w:left="709" w:hanging="709"/>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47C6774F" w14:textId="77777777" w:rsidR="00F634A8" w:rsidRDefault="00F634A8" w:rsidP="00F634A8">
      <w:pPr>
        <w:spacing w:beforeLines="20" w:before="48"/>
        <w:ind w:left="851"/>
        <w:jc w:val="both"/>
        <w:rPr>
          <w:sz w:val="24"/>
        </w:rPr>
      </w:pPr>
    </w:p>
    <w:p w14:paraId="35487DE0" w14:textId="77777777" w:rsidR="00D37ADB" w:rsidRDefault="00D37ADB" w:rsidP="00F634A8">
      <w:pPr>
        <w:spacing w:beforeLines="20" w:before="48"/>
        <w:ind w:left="851"/>
        <w:jc w:val="both"/>
        <w:rPr>
          <w:sz w:val="24"/>
        </w:rPr>
      </w:pPr>
    </w:p>
    <w:p w14:paraId="23DBFF9F" w14:textId="77777777" w:rsidR="00A753A3" w:rsidRPr="00A753A3" w:rsidRDefault="00F866AD" w:rsidP="00A753A3">
      <w:pPr>
        <w:pStyle w:val="Nadpis6"/>
        <w:keepNext w:val="0"/>
        <w:spacing w:beforeLines="20" w:before="48" w:after="120"/>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49EA3C25"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3A1238EC" w14:textId="77777777" w:rsidR="00806F68" w:rsidRPr="0093306C" w:rsidRDefault="007D20E3" w:rsidP="007D20E3">
      <w:pPr>
        <w:pStyle w:val="Zkladntext3"/>
        <w:spacing w:before="0" w:after="120"/>
        <w:ind w:left="720" w:hanging="720"/>
        <w:jc w:val="both"/>
      </w:pPr>
      <w:r w:rsidRPr="007D20E3">
        <w:rPr>
          <w:b/>
        </w:rPr>
        <w:t>12.2</w:t>
      </w:r>
      <w:r>
        <w:tab/>
      </w:r>
      <w:r w:rsidR="0024096C" w:rsidRPr="0093306C">
        <w:t>Smlouva nabývá platnosti dnem podpisu oběma smluvními stranami  a účinnosti dnem uveřejnění v registru smluv. Zhotovitel bere na vědomí, že uveřejnění</w:t>
      </w:r>
      <w:r w:rsidR="00F57993">
        <w:t xml:space="preserve"> smlouvy v tomto registru v plném znění</w:t>
      </w:r>
      <w:r w:rsidR="009456DD">
        <w:t xml:space="preserve"> </w:t>
      </w:r>
      <w:r w:rsidR="0024096C" w:rsidRPr="0093306C">
        <w:t>zajistí objednatel</w:t>
      </w:r>
      <w:r w:rsidR="00F57993">
        <w:t>.</w:t>
      </w:r>
    </w:p>
    <w:p w14:paraId="681E9BA2"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9459740"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7DC866AF"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B0703E">
        <w:t>2</w:t>
      </w:r>
      <w:r w:rsidR="00806F68" w:rsidRPr="00095FDB">
        <w:t xml:space="preserve"> </w:t>
      </w:r>
      <w:proofErr w:type="spellStart"/>
      <w:r w:rsidR="00806F68" w:rsidRPr="00095FDB">
        <w:t>paré</w:t>
      </w:r>
      <w:proofErr w:type="spellEnd"/>
      <w:r w:rsidR="00806F68" w:rsidRPr="00095FDB">
        <w:t xml:space="preserve"> objednatel.</w:t>
      </w:r>
    </w:p>
    <w:p w14:paraId="0C185245"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1C18DCF0" w14:textId="77777777" w:rsidR="00FA62AA" w:rsidRDefault="00FA62AA" w:rsidP="00806F68">
      <w:pPr>
        <w:pStyle w:val="Zkladntext3"/>
        <w:spacing w:before="0" w:after="120"/>
        <w:ind w:left="851"/>
        <w:jc w:val="both"/>
      </w:pPr>
    </w:p>
    <w:p w14:paraId="3911C0F5" w14:textId="77777777" w:rsidR="00D37ADB" w:rsidRDefault="00D37ADB" w:rsidP="002354D1">
      <w:pPr>
        <w:rPr>
          <w:b/>
          <w:sz w:val="24"/>
          <w:szCs w:val="24"/>
          <w:u w:val="single"/>
        </w:rPr>
      </w:pPr>
    </w:p>
    <w:p w14:paraId="792454E3" w14:textId="77777777" w:rsidR="00D37ADB" w:rsidRDefault="00D37ADB" w:rsidP="002354D1">
      <w:pPr>
        <w:rPr>
          <w:b/>
          <w:sz w:val="24"/>
          <w:szCs w:val="24"/>
          <w:u w:val="single"/>
        </w:rPr>
      </w:pPr>
    </w:p>
    <w:p w14:paraId="01D97929" w14:textId="77777777" w:rsidR="00D37ADB" w:rsidRDefault="00D37ADB" w:rsidP="002354D1">
      <w:pPr>
        <w:rPr>
          <w:b/>
          <w:sz w:val="24"/>
          <w:szCs w:val="24"/>
          <w:u w:val="single"/>
        </w:rPr>
      </w:pPr>
    </w:p>
    <w:p w14:paraId="00E09BB0" w14:textId="77777777" w:rsidR="002354D1" w:rsidRPr="002354D1" w:rsidRDefault="002354D1" w:rsidP="002354D1">
      <w:pPr>
        <w:rPr>
          <w:b/>
          <w:sz w:val="24"/>
          <w:szCs w:val="24"/>
          <w:u w:val="single"/>
        </w:rPr>
      </w:pPr>
      <w:r w:rsidRPr="002354D1">
        <w:rPr>
          <w:b/>
          <w:sz w:val="24"/>
          <w:szCs w:val="24"/>
          <w:u w:val="single"/>
        </w:rPr>
        <w:t>Přílohy:</w:t>
      </w:r>
    </w:p>
    <w:p w14:paraId="43C160C4" w14:textId="77777777" w:rsidR="00C328DE" w:rsidRDefault="0024096C" w:rsidP="00EA3BE5">
      <w:pPr>
        <w:rPr>
          <w:sz w:val="24"/>
          <w:szCs w:val="24"/>
        </w:rPr>
      </w:pPr>
      <w:r>
        <w:rPr>
          <w:sz w:val="24"/>
          <w:szCs w:val="24"/>
        </w:rPr>
        <w:t>Příloha č. 1 – Sankce za porušení BOZP, PO a OŽP</w:t>
      </w:r>
    </w:p>
    <w:p w14:paraId="6CAA1106" w14:textId="2CD87390" w:rsidR="0024096C" w:rsidRDefault="0024096C" w:rsidP="00EA3BE5">
      <w:pPr>
        <w:rPr>
          <w:sz w:val="24"/>
          <w:szCs w:val="24"/>
        </w:rPr>
      </w:pPr>
      <w:r>
        <w:rPr>
          <w:sz w:val="24"/>
          <w:szCs w:val="24"/>
        </w:rPr>
        <w:t xml:space="preserve">Příloha č. 2 – Oceněný </w:t>
      </w:r>
      <w:r w:rsidR="00D06DD6">
        <w:rPr>
          <w:sz w:val="24"/>
          <w:szCs w:val="24"/>
        </w:rPr>
        <w:t>soupis stavebních prací, dodávek a služeb</w:t>
      </w:r>
    </w:p>
    <w:p w14:paraId="535C05F8" w14:textId="77777777" w:rsidR="00EA3BE5" w:rsidRDefault="00EA3BE5" w:rsidP="00EA3BE5">
      <w:pPr>
        <w:rPr>
          <w:sz w:val="24"/>
          <w:szCs w:val="24"/>
        </w:rPr>
      </w:pPr>
    </w:p>
    <w:p w14:paraId="08511465" w14:textId="77777777" w:rsidR="00806F68" w:rsidRPr="00095FDB" w:rsidRDefault="00806F68" w:rsidP="00EA3BE5">
      <w:pPr>
        <w:pStyle w:val="Zkladntext3"/>
        <w:spacing w:before="0" w:after="120"/>
        <w:jc w:val="both"/>
      </w:pPr>
    </w:p>
    <w:p w14:paraId="754CD5A2" w14:textId="77777777" w:rsidR="00D468A2" w:rsidRDefault="00D468A2" w:rsidP="006D6F14">
      <w:pPr>
        <w:tabs>
          <w:tab w:val="left" w:pos="5250"/>
        </w:tabs>
        <w:spacing w:beforeLines="20" w:before="48"/>
        <w:rPr>
          <w:sz w:val="24"/>
        </w:rPr>
      </w:pPr>
    </w:p>
    <w:p w14:paraId="29881839" w14:textId="25C0987D" w:rsidR="00AE2642" w:rsidRPr="00095FDB" w:rsidRDefault="007A36AF" w:rsidP="006D6F14">
      <w:pPr>
        <w:tabs>
          <w:tab w:val="left" w:pos="5250"/>
        </w:tabs>
        <w:spacing w:beforeLines="20" w:before="48"/>
        <w:rPr>
          <w:sz w:val="24"/>
        </w:rPr>
      </w:pPr>
      <w:r>
        <w:rPr>
          <w:sz w:val="24"/>
        </w:rPr>
        <w:t>V Praze dne</w:t>
      </w:r>
      <w:r w:rsidR="00AE2642"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Pr>
          <w:sz w:val="24"/>
        </w:rPr>
        <w:t>Brně</w:t>
      </w:r>
      <w:r w:rsidR="009C1202" w:rsidRPr="00190F90">
        <w:rPr>
          <w:sz w:val="24"/>
        </w:rPr>
        <w:t xml:space="preserve"> </w:t>
      </w:r>
      <w:r w:rsidR="009C1202">
        <w:rPr>
          <w:sz w:val="24"/>
        </w:rPr>
        <w:t>d</w:t>
      </w:r>
      <w:r w:rsidR="006A2A29" w:rsidRPr="00FE4A23">
        <w:rPr>
          <w:sz w:val="24"/>
        </w:rPr>
        <w:t>ne</w:t>
      </w:r>
    </w:p>
    <w:p w14:paraId="6515F8A7" w14:textId="77777777" w:rsidR="009C5B53" w:rsidRDefault="009C5B53" w:rsidP="009C5B53">
      <w:pPr>
        <w:shd w:val="clear" w:color="auto" w:fill="FFFFFF"/>
        <w:rPr>
          <w:sz w:val="24"/>
        </w:rPr>
      </w:pPr>
    </w:p>
    <w:p w14:paraId="1D6AF740" w14:textId="77777777" w:rsidR="009C5B53" w:rsidRDefault="009C5B53" w:rsidP="009C5B53">
      <w:pPr>
        <w:shd w:val="clear" w:color="auto" w:fill="FFFFFF"/>
        <w:rPr>
          <w:sz w:val="24"/>
        </w:rPr>
      </w:pPr>
    </w:p>
    <w:p w14:paraId="2DD7922A" w14:textId="77777777" w:rsidR="007A36AF" w:rsidRDefault="007A36AF" w:rsidP="009C5B53">
      <w:pPr>
        <w:shd w:val="clear" w:color="auto" w:fill="FFFFFF"/>
        <w:rPr>
          <w:sz w:val="24"/>
        </w:rPr>
      </w:pPr>
    </w:p>
    <w:p w14:paraId="420F14A6" w14:textId="77777777" w:rsidR="007A36AF" w:rsidRDefault="007A36AF" w:rsidP="009C5B53">
      <w:pPr>
        <w:shd w:val="clear" w:color="auto" w:fill="FFFFFF"/>
        <w:rPr>
          <w:sz w:val="24"/>
        </w:rPr>
      </w:pPr>
    </w:p>
    <w:p w14:paraId="2B9C026E" w14:textId="77777777" w:rsidR="009C5B53" w:rsidRDefault="009C5B53" w:rsidP="009C5B53">
      <w:pPr>
        <w:shd w:val="clear" w:color="auto" w:fill="FFFFFF"/>
        <w:rPr>
          <w:sz w:val="24"/>
        </w:rPr>
      </w:pPr>
    </w:p>
    <w:p w14:paraId="1B161370" w14:textId="77777777" w:rsidR="009C5B53" w:rsidRDefault="009C5B53" w:rsidP="009C5B53">
      <w:pPr>
        <w:shd w:val="clear" w:color="auto" w:fill="FFFFFF"/>
        <w:rPr>
          <w:sz w:val="24"/>
        </w:rPr>
      </w:pPr>
    </w:p>
    <w:p w14:paraId="38F466DF"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131B5D88" w14:textId="05FE47D1" w:rsidR="009C5B53" w:rsidRPr="009C5B53" w:rsidRDefault="007A36AF" w:rsidP="007A36AF">
      <w:pPr>
        <w:pStyle w:val="Odstavecseseznamem"/>
        <w:shd w:val="clear" w:color="auto" w:fill="FFFFFF"/>
        <w:tabs>
          <w:tab w:val="center" w:pos="1985"/>
          <w:tab w:val="center" w:pos="6663"/>
        </w:tabs>
        <w:spacing w:after="0" w:line="240" w:lineRule="auto"/>
        <w:ind w:left="0" w:hanging="284"/>
        <w:rPr>
          <w:rFonts w:ascii="Times New Roman" w:hAnsi="Times New Roman"/>
          <w:sz w:val="24"/>
        </w:rPr>
      </w:pPr>
      <w:r>
        <w:rPr>
          <w:rFonts w:ascii="Times New Roman" w:hAnsi="Times New Roman"/>
          <w:sz w:val="24"/>
        </w:rPr>
        <w:tab/>
      </w:r>
      <w:r w:rsidR="00D06DD6">
        <w:rPr>
          <w:rFonts w:ascii="Times New Roman" w:hAnsi="Times New Roman"/>
          <w:sz w:val="24"/>
        </w:rPr>
        <w:t>Armádní Servisní</w:t>
      </w:r>
      <w:r w:rsidR="009C5B53" w:rsidRPr="009C5B53">
        <w:rPr>
          <w:rFonts w:ascii="Times New Roman" w:hAnsi="Times New Roman"/>
          <w:sz w:val="24"/>
        </w:rPr>
        <w:t>, příspěvková organizace</w:t>
      </w:r>
      <w:r>
        <w:rPr>
          <w:rFonts w:ascii="Times New Roman" w:hAnsi="Times New Roman"/>
          <w:sz w:val="24"/>
        </w:rPr>
        <w:tab/>
      </w:r>
      <w:r w:rsidR="00E21DAA">
        <w:rPr>
          <w:rFonts w:ascii="Times New Roman" w:hAnsi="Times New Roman"/>
          <w:sz w:val="24"/>
          <w:szCs w:val="24"/>
        </w:rPr>
        <w:t>VALC, s.r.o.</w:t>
      </w:r>
    </w:p>
    <w:p w14:paraId="1BDFE467" w14:textId="0AD6207A" w:rsidR="009C5B53" w:rsidRPr="009C5B53" w:rsidRDefault="009C5B53" w:rsidP="007A36AF">
      <w:pPr>
        <w:pStyle w:val="Odstavecseseznamem"/>
        <w:shd w:val="clear" w:color="auto" w:fill="FFFFFF"/>
        <w:tabs>
          <w:tab w:val="center" w:pos="1985"/>
          <w:tab w:val="center" w:pos="6663"/>
        </w:tabs>
        <w:spacing w:after="0" w:line="240" w:lineRule="auto"/>
        <w:rPr>
          <w:rFonts w:ascii="Times New Roman" w:hAnsi="Times New Roman"/>
          <w:sz w:val="24"/>
        </w:rPr>
      </w:pPr>
      <w:r w:rsidRPr="009C5B53">
        <w:rPr>
          <w:rFonts w:ascii="Times New Roman" w:hAnsi="Times New Roman"/>
          <w:sz w:val="24"/>
        </w:rPr>
        <w:t xml:space="preserve">   </w:t>
      </w:r>
      <w:r w:rsidR="007A36AF">
        <w:rPr>
          <w:rFonts w:ascii="Times New Roman" w:hAnsi="Times New Roman"/>
          <w:sz w:val="24"/>
        </w:rPr>
        <w:tab/>
      </w:r>
      <w:r w:rsidRPr="009C5B53">
        <w:rPr>
          <w:rFonts w:ascii="Times New Roman" w:hAnsi="Times New Roman"/>
          <w:sz w:val="24"/>
        </w:rPr>
        <w:t xml:space="preserve">    </w:t>
      </w:r>
      <w:r w:rsidR="00A1548B">
        <w:rPr>
          <w:rFonts w:ascii="Times New Roman" w:hAnsi="Times New Roman"/>
          <w:sz w:val="24"/>
        </w:rPr>
        <w:t>XXXXX</w:t>
      </w:r>
      <w:r w:rsidR="007A36AF">
        <w:rPr>
          <w:rFonts w:ascii="Times New Roman" w:hAnsi="Times New Roman"/>
          <w:sz w:val="24"/>
        </w:rPr>
        <w:tab/>
      </w:r>
      <w:proofErr w:type="spellStart"/>
      <w:r w:rsidR="00A1548B">
        <w:rPr>
          <w:rFonts w:ascii="Times New Roman" w:hAnsi="Times New Roman"/>
          <w:sz w:val="24"/>
          <w:szCs w:val="24"/>
        </w:rPr>
        <w:t>XXXXX</w:t>
      </w:r>
      <w:proofErr w:type="spellEnd"/>
    </w:p>
    <w:p w14:paraId="774A0D85" w14:textId="05EF387A" w:rsidR="009C5B53" w:rsidRDefault="007A36AF" w:rsidP="007A36AF">
      <w:pPr>
        <w:shd w:val="clear" w:color="auto" w:fill="FFFFFF"/>
        <w:tabs>
          <w:tab w:val="center" w:pos="1985"/>
          <w:tab w:val="center" w:pos="6663"/>
        </w:tabs>
        <w:ind w:left="720" w:firstLine="720"/>
        <w:rPr>
          <w:sz w:val="24"/>
        </w:rPr>
      </w:pPr>
      <w:r>
        <w:rPr>
          <w:sz w:val="24"/>
        </w:rPr>
        <w:tab/>
      </w:r>
      <w:r w:rsidR="009C5B53" w:rsidRPr="009C5B53">
        <w:rPr>
          <w:sz w:val="24"/>
        </w:rPr>
        <w:t xml:space="preserve">   </w:t>
      </w:r>
      <w:r w:rsidR="00A1548B">
        <w:rPr>
          <w:sz w:val="24"/>
        </w:rPr>
        <w:t>XXXX</w:t>
      </w:r>
      <w:r>
        <w:rPr>
          <w:sz w:val="24"/>
        </w:rPr>
        <w:tab/>
      </w:r>
      <w:r w:rsidR="00A1548B">
        <w:rPr>
          <w:sz w:val="24"/>
          <w:szCs w:val="24"/>
        </w:rPr>
        <w:t>XXXX</w:t>
      </w:r>
      <w:bookmarkStart w:id="0" w:name="_GoBack"/>
      <w:bookmarkEnd w:id="0"/>
    </w:p>
    <w:p w14:paraId="6EF599CE" w14:textId="77777777"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14:paraId="5F1A62A7" w14:textId="77777777" w:rsidR="007D7D86" w:rsidRDefault="007D7D86" w:rsidP="00560BF2">
      <w:pPr>
        <w:pStyle w:val="Odstavecseseznamem"/>
        <w:tabs>
          <w:tab w:val="center" w:pos="1843"/>
          <w:tab w:val="center" w:pos="7230"/>
        </w:tabs>
        <w:spacing w:after="0" w:line="240" w:lineRule="auto"/>
        <w:ind w:left="0"/>
        <w:rPr>
          <w:rFonts w:ascii="Times New Roman" w:hAnsi="Times New Roman"/>
          <w:sz w:val="24"/>
        </w:rPr>
      </w:pPr>
    </w:p>
    <w:p w14:paraId="12479363" w14:textId="77777777" w:rsidR="007D7D86" w:rsidRPr="007D7D86" w:rsidRDefault="007D7D86" w:rsidP="007D7D86">
      <w:pPr>
        <w:pageBreakBefore/>
        <w:autoSpaceDE w:val="0"/>
        <w:autoSpaceDN w:val="0"/>
        <w:adjustRightInd w:val="0"/>
        <w:spacing w:after="120"/>
        <w:rPr>
          <w:bCs/>
          <w:sz w:val="24"/>
          <w:szCs w:val="22"/>
        </w:rPr>
      </w:pPr>
      <w:r w:rsidRPr="007D7D86">
        <w:rPr>
          <w:bCs/>
          <w:sz w:val="24"/>
          <w:szCs w:val="22"/>
        </w:rPr>
        <w:lastRenderedPageBreak/>
        <w:t>Příloha č. 1</w:t>
      </w:r>
    </w:p>
    <w:p w14:paraId="5EEDF3F6" w14:textId="77777777" w:rsidR="007D7D86" w:rsidRPr="007D7D86" w:rsidRDefault="007D7D86" w:rsidP="007D7D86">
      <w:pPr>
        <w:pStyle w:val="Nadpis1"/>
        <w:spacing w:afterLines="50" w:after="120"/>
        <w:jc w:val="center"/>
        <w:rPr>
          <w:rFonts w:ascii="Times New Roman" w:hAnsi="Times New Roman"/>
          <w:color w:val="auto"/>
          <w:sz w:val="32"/>
          <w:szCs w:val="22"/>
        </w:rPr>
      </w:pPr>
      <w:r w:rsidRPr="007D7D86">
        <w:rPr>
          <w:rFonts w:ascii="Times New Roman" w:hAnsi="Times New Roman"/>
          <w:color w:val="auto"/>
          <w:sz w:val="32"/>
          <w:szCs w:val="22"/>
        </w:rPr>
        <w:t>Sankce za porušení BOZP, PO a OŽP</w:t>
      </w:r>
    </w:p>
    <w:p w14:paraId="69B50AA4" w14:textId="77777777" w:rsidR="007D7D86" w:rsidRPr="007D7D86" w:rsidRDefault="007D7D86" w:rsidP="007D7D86">
      <w:pPr>
        <w:rPr>
          <w:sz w:val="22"/>
          <w:szCs w:val="22"/>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55"/>
        <w:gridCol w:w="2904"/>
        <w:gridCol w:w="1328"/>
      </w:tblGrid>
      <w:tr w:rsidR="007D7D86" w:rsidRPr="007D7D86" w14:paraId="64CAD238" w14:textId="77777777" w:rsidTr="004146DC">
        <w:trPr>
          <w:trHeight w:val="426"/>
        </w:trPr>
        <w:tc>
          <w:tcPr>
            <w:tcW w:w="2725" w:type="pct"/>
            <w:tcBorders>
              <w:top w:val="single" w:sz="4" w:space="0" w:color="auto"/>
              <w:bottom w:val="single" w:sz="4" w:space="0" w:color="auto"/>
            </w:tcBorders>
            <w:vAlign w:val="center"/>
          </w:tcPr>
          <w:p w14:paraId="61663375" w14:textId="77777777" w:rsidR="007D7D86" w:rsidRPr="007D7D86" w:rsidRDefault="007D7D86" w:rsidP="004146DC">
            <w:pPr>
              <w:jc w:val="center"/>
              <w:rPr>
                <w:rFonts w:ascii="Arial" w:hAnsi="Arial" w:cs="Arial"/>
                <w:szCs w:val="18"/>
              </w:rPr>
            </w:pPr>
            <w:r w:rsidRPr="007D7D86">
              <w:rPr>
                <w:rFonts w:ascii="Arial" w:hAnsi="Arial" w:cs="Arial"/>
                <w:b/>
                <w:szCs w:val="18"/>
              </w:rPr>
              <w:t>Specifikace porušení předpisů</w:t>
            </w:r>
          </w:p>
        </w:tc>
        <w:tc>
          <w:tcPr>
            <w:tcW w:w="1566" w:type="pct"/>
            <w:tcBorders>
              <w:top w:val="single" w:sz="4" w:space="0" w:color="auto"/>
              <w:bottom w:val="single" w:sz="4" w:space="0" w:color="auto"/>
            </w:tcBorders>
            <w:vAlign w:val="center"/>
          </w:tcPr>
          <w:p w14:paraId="28D0EF57" w14:textId="77777777" w:rsidR="007D7D86" w:rsidRPr="007D7D86" w:rsidRDefault="007D7D86" w:rsidP="004146DC">
            <w:pPr>
              <w:jc w:val="center"/>
              <w:rPr>
                <w:rFonts w:ascii="Arial" w:hAnsi="Arial" w:cs="Arial"/>
                <w:b/>
                <w:szCs w:val="18"/>
              </w:rPr>
            </w:pPr>
            <w:r w:rsidRPr="007D7D86">
              <w:rPr>
                <w:rFonts w:ascii="Arial" w:hAnsi="Arial" w:cs="Arial"/>
                <w:b/>
                <w:szCs w:val="18"/>
              </w:rPr>
              <w:t>Právní předpis, plán BOZP</w:t>
            </w:r>
          </w:p>
        </w:tc>
        <w:tc>
          <w:tcPr>
            <w:tcW w:w="709" w:type="pct"/>
            <w:tcBorders>
              <w:top w:val="single" w:sz="4" w:space="0" w:color="auto"/>
              <w:bottom w:val="single" w:sz="4" w:space="0" w:color="auto"/>
            </w:tcBorders>
            <w:vAlign w:val="center"/>
          </w:tcPr>
          <w:p w14:paraId="727A9C4B" w14:textId="77777777" w:rsidR="007D7D86" w:rsidRPr="007D7D86" w:rsidRDefault="007D7D86" w:rsidP="004146DC">
            <w:pPr>
              <w:jc w:val="center"/>
              <w:rPr>
                <w:rFonts w:ascii="Arial" w:hAnsi="Arial" w:cs="Arial"/>
                <w:b/>
                <w:szCs w:val="18"/>
              </w:rPr>
            </w:pPr>
            <w:r w:rsidRPr="007D7D86">
              <w:rPr>
                <w:rFonts w:ascii="Arial" w:hAnsi="Arial" w:cs="Arial"/>
                <w:b/>
                <w:szCs w:val="18"/>
              </w:rPr>
              <w:t>Rozsah krácení [Kč]</w:t>
            </w:r>
          </w:p>
        </w:tc>
      </w:tr>
      <w:tr w:rsidR="007D7D86" w:rsidRPr="007D7D86" w14:paraId="3A51AE66"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53EF9A9D" w14:textId="77777777" w:rsidR="007D7D86" w:rsidRPr="007D7D86" w:rsidRDefault="007D7D86" w:rsidP="007D7D86">
            <w:pPr>
              <w:pStyle w:val="13Stupovit"/>
              <w:numPr>
                <w:ilvl w:val="0"/>
                <w:numId w:val="24"/>
              </w:numPr>
              <w:rPr>
                <w:rFonts w:ascii="Arial" w:hAnsi="Arial" w:cs="Arial"/>
                <w:b/>
                <w:sz w:val="20"/>
                <w:szCs w:val="18"/>
              </w:rPr>
            </w:pPr>
            <w:r w:rsidRPr="007D7D86">
              <w:rPr>
                <w:rFonts w:ascii="Arial" w:hAnsi="Arial" w:cs="Arial"/>
                <w:b/>
                <w:sz w:val="20"/>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A0B64EF"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22BEDE2" w14:textId="77777777" w:rsidR="007D7D86" w:rsidRPr="007D7D86" w:rsidRDefault="007D7D86" w:rsidP="004146DC">
            <w:pPr>
              <w:jc w:val="center"/>
              <w:rPr>
                <w:rFonts w:ascii="Arial" w:hAnsi="Arial" w:cs="Arial"/>
                <w:szCs w:val="18"/>
              </w:rPr>
            </w:pPr>
          </w:p>
        </w:tc>
      </w:tr>
      <w:tr w:rsidR="007D7D86" w:rsidRPr="007D7D86" w14:paraId="672D0558" w14:textId="77777777" w:rsidTr="004146DC">
        <w:trPr>
          <w:trHeight w:val="340"/>
        </w:trPr>
        <w:tc>
          <w:tcPr>
            <w:tcW w:w="2725" w:type="pct"/>
            <w:tcBorders>
              <w:top w:val="single" w:sz="4" w:space="0" w:color="auto"/>
            </w:tcBorders>
            <w:vAlign w:val="center"/>
          </w:tcPr>
          <w:p w14:paraId="6A9C5AD7"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B55D78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single" w:sz="4" w:space="0" w:color="auto"/>
            </w:tcBorders>
            <w:vAlign w:val="center"/>
          </w:tcPr>
          <w:p w14:paraId="77392AD4" w14:textId="77777777" w:rsidR="007D7D86" w:rsidRPr="007D7D86" w:rsidRDefault="007D7D86" w:rsidP="004146DC">
            <w:pPr>
              <w:jc w:val="center"/>
              <w:rPr>
                <w:rFonts w:ascii="Arial" w:hAnsi="Arial" w:cs="Arial"/>
                <w:szCs w:val="18"/>
              </w:rPr>
            </w:pPr>
            <w:r w:rsidRPr="007D7D86">
              <w:rPr>
                <w:rFonts w:ascii="Arial" w:hAnsi="Arial" w:cs="Arial"/>
                <w:szCs w:val="18"/>
              </w:rPr>
              <w:t>200 – 1000 / případ</w:t>
            </w:r>
          </w:p>
        </w:tc>
      </w:tr>
      <w:tr w:rsidR="007D7D86" w:rsidRPr="007D7D86" w14:paraId="1DE2539A" w14:textId="77777777" w:rsidTr="004146DC">
        <w:trPr>
          <w:trHeight w:val="691"/>
        </w:trPr>
        <w:tc>
          <w:tcPr>
            <w:tcW w:w="2725" w:type="pct"/>
            <w:vAlign w:val="center"/>
          </w:tcPr>
          <w:p w14:paraId="4532E46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Nepodrobení se zkoušce či prokázané požití alkoholu a jiných návykových látek </w:t>
            </w:r>
          </w:p>
        </w:tc>
        <w:tc>
          <w:tcPr>
            <w:tcW w:w="1566" w:type="pct"/>
            <w:vAlign w:val="center"/>
          </w:tcPr>
          <w:p w14:paraId="4C70F851"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vAlign w:val="center"/>
          </w:tcPr>
          <w:p w14:paraId="24F31E68" w14:textId="77777777" w:rsidR="007D7D86" w:rsidRPr="007D7D86" w:rsidRDefault="007D7D86" w:rsidP="004146DC">
            <w:pPr>
              <w:jc w:val="center"/>
              <w:rPr>
                <w:rFonts w:ascii="Arial" w:hAnsi="Arial" w:cs="Arial"/>
                <w:szCs w:val="18"/>
              </w:rPr>
            </w:pPr>
            <w:r w:rsidRPr="007D7D86">
              <w:rPr>
                <w:rFonts w:ascii="Arial" w:hAnsi="Arial" w:cs="Arial"/>
                <w:szCs w:val="18"/>
              </w:rPr>
              <w:t>500 – návrh koordinátora BOZP</w:t>
            </w:r>
          </w:p>
        </w:tc>
      </w:tr>
      <w:tr w:rsidR="007D7D86" w:rsidRPr="007D7D86" w14:paraId="4EF8778B" w14:textId="77777777" w:rsidTr="004146DC">
        <w:trPr>
          <w:trHeight w:val="340"/>
        </w:trPr>
        <w:tc>
          <w:tcPr>
            <w:tcW w:w="2725" w:type="pct"/>
            <w:tcBorders>
              <w:top w:val="dotted" w:sz="4" w:space="0" w:color="auto"/>
              <w:bottom w:val="dotted" w:sz="4" w:space="0" w:color="auto"/>
            </w:tcBorders>
            <w:vAlign w:val="center"/>
          </w:tcPr>
          <w:p w14:paraId="0EADE9E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Není vedena předepsaná a aktualizovaná dokumentace</w:t>
            </w:r>
          </w:p>
        </w:tc>
        <w:tc>
          <w:tcPr>
            <w:tcW w:w="1566" w:type="pct"/>
            <w:tcBorders>
              <w:top w:val="dotted" w:sz="4" w:space="0" w:color="auto"/>
              <w:bottom w:val="dotted" w:sz="4" w:space="0" w:color="auto"/>
            </w:tcBorders>
            <w:vAlign w:val="center"/>
          </w:tcPr>
          <w:p w14:paraId="40F3FEA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6B7DAA3B" w14:textId="77777777" w:rsidR="007D7D86" w:rsidRPr="007D7D86" w:rsidRDefault="007D7D86" w:rsidP="004146DC">
            <w:pPr>
              <w:jc w:val="center"/>
              <w:rPr>
                <w:rFonts w:ascii="Arial" w:hAnsi="Arial" w:cs="Arial"/>
                <w:szCs w:val="18"/>
              </w:rPr>
            </w:pPr>
            <w:r w:rsidRPr="007D7D86">
              <w:rPr>
                <w:rFonts w:ascii="Arial" w:hAnsi="Arial" w:cs="Arial"/>
                <w:szCs w:val="18"/>
              </w:rPr>
              <w:t>500</w:t>
            </w:r>
          </w:p>
        </w:tc>
      </w:tr>
      <w:tr w:rsidR="007D7D86" w:rsidRPr="007D7D86" w14:paraId="251B88E2" w14:textId="77777777" w:rsidTr="004146DC">
        <w:trPr>
          <w:trHeight w:val="340"/>
        </w:trPr>
        <w:tc>
          <w:tcPr>
            <w:tcW w:w="2725" w:type="pct"/>
            <w:tcBorders>
              <w:top w:val="dotted" w:sz="4" w:space="0" w:color="auto"/>
              <w:bottom w:val="dotted" w:sz="4" w:space="0" w:color="auto"/>
            </w:tcBorders>
            <w:vAlign w:val="center"/>
          </w:tcPr>
          <w:p w14:paraId="2D0EEEB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Neomluvená neúčast na školení</w:t>
            </w:r>
          </w:p>
        </w:tc>
        <w:tc>
          <w:tcPr>
            <w:tcW w:w="1566" w:type="pct"/>
            <w:tcBorders>
              <w:top w:val="dotted" w:sz="4" w:space="0" w:color="auto"/>
              <w:bottom w:val="dotted" w:sz="4" w:space="0" w:color="auto"/>
            </w:tcBorders>
            <w:vAlign w:val="center"/>
          </w:tcPr>
          <w:p w14:paraId="30E9509B"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01C60787" w14:textId="77777777" w:rsidR="007D7D86" w:rsidRPr="007D7D86" w:rsidRDefault="007D7D86" w:rsidP="004146DC">
            <w:pPr>
              <w:jc w:val="center"/>
              <w:rPr>
                <w:rFonts w:ascii="Arial" w:hAnsi="Arial" w:cs="Arial"/>
                <w:color w:val="FF0000"/>
                <w:szCs w:val="18"/>
              </w:rPr>
            </w:pPr>
            <w:r w:rsidRPr="007D7D86">
              <w:rPr>
                <w:rFonts w:ascii="Arial" w:hAnsi="Arial" w:cs="Arial"/>
                <w:szCs w:val="18"/>
              </w:rPr>
              <w:t>300 – 800</w:t>
            </w:r>
          </w:p>
        </w:tc>
      </w:tr>
      <w:tr w:rsidR="007D7D86" w:rsidRPr="007D7D86" w14:paraId="72047A5B" w14:textId="77777777" w:rsidTr="004146DC">
        <w:trPr>
          <w:trHeight w:val="340"/>
        </w:trPr>
        <w:tc>
          <w:tcPr>
            <w:tcW w:w="2725" w:type="pct"/>
            <w:tcBorders>
              <w:top w:val="dotted" w:sz="4" w:space="0" w:color="auto"/>
              <w:bottom w:val="dotted" w:sz="4" w:space="0" w:color="auto"/>
            </w:tcBorders>
            <w:vAlign w:val="center"/>
          </w:tcPr>
          <w:p w14:paraId="2C5EFA7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právních a ostatních předpisů, pokynů zaměstnavatele / vyššího zhotovitele / koordinátora BOZP</w:t>
            </w:r>
          </w:p>
        </w:tc>
        <w:tc>
          <w:tcPr>
            <w:tcW w:w="1566" w:type="pct"/>
            <w:tcBorders>
              <w:top w:val="dotted" w:sz="4" w:space="0" w:color="auto"/>
              <w:bottom w:val="dotted" w:sz="4" w:space="0" w:color="auto"/>
            </w:tcBorders>
            <w:vAlign w:val="center"/>
          </w:tcPr>
          <w:p w14:paraId="52BC09E3" w14:textId="77777777" w:rsidR="007D7D86" w:rsidRPr="007D7D86" w:rsidRDefault="007D7D86" w:rsidP="004146DC">
            <w:pPr>
              <w:rPr>
                <w:rFonts w:ascii="Arial" w:hAnsi="Arial" w:cs="Arial"/>
                <w:szCs w:val="18"/>
              </w:rPr>
            </w:pPr>
            <w:r w:rsidRPr="007D7D86">
              <w:rPr>
                <w:rFonts w:ascii="Arial" w:hAnsi="Arial" w:cs="Arial"/>
                <w:szCs w:val="18"/>
              </w:rPr>
              <w:t>Zák. 262/2006 Sb.</w:t>
            </w:r>
          </w:p>
        </w:tc>
        <w:tc>
          <w:tcPr>
            <w:tcW w:w="709" w:type="pct"/>
            <w:tcBorders>
              <w:top w:val="dotted" w:sz="4" w:space="0" w:color="auto"/>
              <w:bottom w:val="dotted" w:sz="4" w:space="0" w:color="auto"/>
            </w:tcBorders>
            <w:vAlign w:val="center"/>
          </w:tcPr>
          <w:p w14:paraId="12D43511" w14:textId="77777777" w:rsidR="007D7D86" w:rsidRPr="007D7D86" w:rsidRDefault="007D7D86" w:rsidP="004146DC">
            <w:pPr>
              <w:jc w:val="center"/>
              <w:rPr>
                <w:rFonts w:ascii="Arial" w:hAnsi="Arial" w:cs="Arial"/>
                <w:szCs w:val="18"/>
              </w:rPr>
            </w:pPr>
            <w:r w:rsidRPr="007D7D86">
              <w:rPr>
                <w:rFonts w:ascii="Arial" w:hAnsi="Arial" w:cs="Arial"/>
                <w:szCs w:val="18"/>
              </w:rPr>
              <w:t>2000 – 10000</w:t>
            </w:r>
          </w:p>
        </w:tc>
      </w:tr>
      <w:tr w:rsidR="007D7D86" w:rsidRPr="007D7D86" w14:paraId="45EAB0D3" w14:textId="77777777" w:rsidTr="004146DC">
        <w:trPr>
          <w:trHeight w:val="340"/>
        </w:trPr>
        <w:tc>
          <w:tcPr>
            <w:tcW w:w="2725" w:type="pct"/>
            <w:tcBorders>
              <w:top w:val="dotted" w:sz="4" w:space="0" w:color="auto"/>
              <w:bottom w:val="dotted" w:sz="4" w:space="0" w:color="auto"/>
            </w:tcBorders>
            <w:vAlign w:val="center"/>
          </w:tcPr>
          <w:p w14:paraId="30D6E33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Nepřevzetí / nepředání rizik od </w:t>
            </w:r>
            <w:proofErr w:type="spellStart"/>
            <w:r w:rsidRPr="007D7D86">
              <w:rPr>
                <w:rFonts w:ascii="Arial" w:hAnsi="Arial" w:cs="Arial"/>
                <w:sz w:val="20"/>
                <w:szCs w:val="18"/>
              </w:rPr>
              <w:t>podzhotovitele</w:t>
            </w:r>
            <w:proofErr w:type="spellEnd"/>
          </w:p>
        </w:tc>
        <w:tc>
          <w:tcPr>
            <w:tcW w:w="1566" w:type="pct"/>
            <w:tcBorders>
              <w:top w:val="dotted" w:sz="4" w:space="0" w:color="auto"/>
              <w:bottom w:val="dotted" w:sz="4" w:space="0" w:color="auto"/>
            </w:tcBorders>
            <w:vAlign w:val="center"/>
          </w:tcPr>
          <w:p w14:paraId="3ED71C54" w14:textId="77777777" w:rsidR="007D7D86" w:rsidRPr="007D7D86" w:rsidRDefault="007D7D86" w:rsidP="004146DC">
            <w:pPr>
              <w:rPr>
                <w:rFonts w:ascii="Arial" w:hAnsi="Arial" w:cs="Arial"/>
                <w:szCs w:val="18"/>
              </w:rPr>
            </w:pPr>
            <w:r w:rsidRPr="007D7D86">
              <w:rPr>
                <w:rFonts w:ascii="Arial" w:hAnsi="Arial" w:cs="Arial"/>
                <w:szCs w:val="18"/>
              </w:rPr>
              <w:t>Zák. 309/2006 Sb.</w:t>
            </w:r>
          </w:p>
        </w:tc>
        <w:tc>
          <w:tcPr>
            <w:tcW w:w="709" w:type="pct"/>
            <w:tcBorders>
              <w:top w:val="dotted" w:sz="4" w:space="0" w:color="auto"/>
              <w:bottom w:val="dotted" w:sz="4" w:space="0" w:color="auto"/>
            </w:tcBorders>
            <w:vAlign w:val="center"/>
          </w:tcPr>
          <w:p w14:paraId="5D66A592" w14:textId="77777777" w:rsidR="007D7D86" w:rsidRPr="007D7D86" w:rsidRDefault="007D7D86" w:rsidP="004146DC">
            <w:pPr>
              <w:jc w:val="center"/>
              <w:rPr>
                <w:rFonts w:ascii="Arial" w:hAnsi="Arial" w:cs="Arial"/>
                <w:spacing w:val="-4"/>
                <w:szCs w:val="18"/>
              </w:rPr>
            </w:pPr>
            <w:r w:rsidRPr="007D7D86">
              <w:rPr>
                <w:rFonts w:ascii="Arial" w:hAnsi="Arial" w:cs="Arial"/>
                <w:spacing w:val="-4"/>
                <w:szCs w:val="18"/>
              </w:rPr>
              <w:t>500</w:t>
            </w:r>
          </w:p>
        </w:tc>
      </w:tr>
      <w:tr w:rsidR="007D7D86" w:rsidRPr="007D7D86" w14:paraId="5A29AEBE" w14:textId="77777777" w:rsidTr="004146DC">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578E5FE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0C00EA52" w14:textId="77777777" w:rsidR="007D7D86" w:rsidRPr="007D7D86" w:rsidRDefault="007D7D86" w:rsidP="004146DC">
            <w:pPr>
              <w:rPr>
                <w:rFonts w:ascii="Arial" w:hAnsi="Arial" w:cs="Arial"/>
                <w:szCs w:val="18"/>
              </w:rPr>
            </w:pPr>
            <w:r w:rsidRPr="007D7D86">
              <w:rPr>
                <w:rFonts w:ascii="Arial" w:hAnsi="Arial" w:cs="Arial"/>
                <w:szCs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1A2A0C61"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2FD2F3BC"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0C219022"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7EA32B69"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54C54AC9" w14:textId="77777777" w:rsidR="007D7D86" w:rsidRPr="007D7D86" w:rsidRDefault="007D7D86" w:rsidP="004146DC">
            <w:pPr>
              <w:jc w:val="center"/>
              <w:rPr>
                <w:rFonts w:ascii="Arial" w:hAnsi="Arial" w:cs="Arial"/>
                <w:szCs w:val="18"/>
              </w:rPr>
            </w:pPr>
          </w:p>
        </w:tc>
      </w:tr>
      <w:tr w:rsidR="007D7D86" w:rsidRPr="007D7D86" w14:paraId="039ECED1" w14:textId="77777777" w:rsidTr="004146DC">
        <w:trPr>
          <w:trHeight w:val="521"/>
        </w:trPr>
        <w:tc>
          <w:tcPr>
            <w:tcW w:w="2725" w:type="pct"/>
            <w:tcBorders>
              <w:bottom w:val="dotted" w:sz="4" w:space="0" w:color="auto"/>
            </w:tcBorders>
            <w:vAlign w:val="center"/>
          </w:tcPr>
          <w:p w14:paraId="4ADD50A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Nesplnění ohlašovací povinnosti vůči koordinátorovi BOZP, investorovi či generálnímu zhotoviteli</w:t>
            </w:r>
          </w:p>
        </w:tc>
        <w:tc>
          <w:tcPr>
            <w:tcW w:w="1566" w:type="pct"/>
            <w:tcBorders>
              <w:bottom w:val="dotted" w:sz="4" w:space="0" w:color="auto"/>
            </w:tcBorders>
            <w:vAlign w:val="center"/>
          </w:tcPr>
          <w:p w14:paraId="276C234F"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4 a"/>
              </w:smartTagPr>
              <w:r w:rsidRPr="007D7D86">
                <w:rPr>
                  <w:rFonts w:ascii="Arial" w:hAnsi="Arial" w:cs="Arial"/>
                  <w:szCs w:val="18"/>
                </w:rPr>
                <w:t>4.14 a</w:t>
              </w:r>
            </w:smartTag>
            <w:r w:rsidRPr="007D7D86">
              <w:rPr>
                <w:rFonts w:ascii="Arial" w:hAnsi="Arial" w:cs="Arial"/>
                <w:szCs w:val="18"/>
              </w:rPr>
              <w:t xml:space="preserve"> 4.15</w:t>
            </w:r>
          </w:p>
        </w:tc>
        <w:tc>
          <w:tcPr>
            <w:tcW w:w="709" w:type="pct"/>
            <w:tcBorders>
              <w:bottom w:val="dotted" w:sz="4" w:space="0" w:color="auto"/>
            </w:tcBorders>
            <w:vAlign w:val="center"/>
          </w:tcPr>
          <w:p w14:paraId="7A936536" w14:textId="77777777" w:rsidR="007D7D86" w:rsidRPr="007D7D86" w:rsidRDefault="007D7D86" w:rsidP="004146DC">
            <w:pPr>
              <w:jc w:val="center"/>
              <w:rPr>
                <w:rFonts w:ascii="Arial" w:hAnsi="Arial" w:cs="Arial"/>
                <w:szCs w:val="18"/>
              </w:rPr>
            </w:pPr>
            <w:r w:rsidRPr="007D7D86">
              <w:rPr>
                <w:rFonts w:ascii="Arial" w:hAnsi="Arial" w:cs="Arial"/>
                <w:szCs w:val="18"/>
              </w:rPr>
              <w:t>3000 – 5000</w:t>
            </w:r>
          </w:p>
        </w:tc>
      </w:tr>
      <w:tr w:rsidR="007D7D86" w:rsidRPr="007D7D86" w14:paraId="40981D9B" w14:textId="77777777" w:rsidTr="004146DC">
        <w:trPr>
          <w:trHeight w:val="479"/>
        </w:trPr>
        <w:tc>
          <w:tcPr>
            <w:tcW w:w="2725" w:type="pct"/>
            <w:tcBorders>
              <w:top w:val="dotted" w:sz="4" w:space="0" w:color="auto"/>
              <w:bottom w:val="dotted" w:sz="4" w:space="0" w:color="auto"/>
            </w:tcBorders>
            <w:vAlign w:val="center"/>
          </w:tcPr>
          <w:p w14:paraId="7E70E7B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Neodstranění závad z kontrol BOZ (opakovaných), auditů, prověrek BOZP a kontrol SOD</w:t>
            </w:r>
          </w:p>
        </w:tc>
        <w:tc>
          <w:tcPr>
            <w:tcW w:w="1566" w:type="pct"/>
            <w:tcBorders>
              <w:top w:val="dotted" w:sz="4" w:space="0" w:color="auto"/>
              <w:bottom w:val="dotted" w:sz="4" w:space="0" w:color="auto"/>
            </w:tcBorders>
            <w:vAlign w:val="center"/>
          </w:tcPr>
          <w:p w14:paraId="4C753AE1" w14:textId="77777777" w:rsidR="007D7D86" w:rsidRPr="007D7D86" w:rsidRDefault="007D7D86" w:rsidP="004146DC">
            <w:pPr>
              <w:rPr>
                <w:rFonts w:ascii="Arial" w:hAnsi="Arial" w:cs="Arial"/>
                <w:szCs w:val="18"/>
              </w:rPr>
            </w:pPr>
            <w:r w:rsidRPr="007D7D86">
              <w:rPr>
                <w:rFonts w:ascii="Arial" w:hAnsi="Arial" w:cs="Arial"/>
                <w:szCs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4860B1F7" w14:textId="77777777" w:rsidR="007D7D86" w:rsidRPr="007D7D86" w:rsidRDefault="007D7D86" w:rsidP="004146DC">
            <w:pPr>
              <w:jc w:val="center"/>
              <w:rPr>
                <w:rFonts w:ascii="Arial" w:hAnsi="Arial" w:cs="Arial"/>
                <w:szCs w:val="18"/>
              </w:rPr>
            </w:pPr>
            <w:r w:rsidRPr="007D7D86">
              <w:rPr>
                <w:rFonts w:ascii="Arial" w:hAnsi="Arial" w:cs="Arial"/>
                <w:szCs w:val="18"/>
              </w:rPr>
              <w:t>2000 / závada</w:t>
            </w:r>
          </w:p>
        </w:tc>
      </w:tr>
      <w:tr w:rsidR="007D7D86" w:rsidRPr="007D7D86" w14:paraId="663E4321" w14:textId="77777777" w:rsidTr="004146DC">
        <w:trPr>
          <w:trHeight w:val="340"/>
        </w:trPr>
        <w:tc>
          <w:tcPr>
            <w:tcW w:w="2725" w:type="pct"/>
            <w:tcBorders>
              <w:top w:val="dotted" w:sz="4" w:space="0" w:color="auto"/>
              <w:bottom w:val="single" w:sz="4" w:space="0" w:color="auto"/>
            </w:tcBorders>
            <w:vAlign w:val="center"/>
          </w:tcPr>
          <w:p w14:paraId="26B4AB16"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7C14346B" w14:textId="77777777" w:rsidR="007D7D86" w:rsidRPr="007D7D86" w:rsidRDefault="007D7D86" w:rsidP="004146DC">
            <w:pPr>
              <w:rPr>
                <w:rFonts w:ascii="Arial" w:hAnsi="Arial" w:cs="Arial"/>
                <w:szCs w:val="18"/>
              </w:rPr>
            </w:pPr>
            <w:r w:rsidRPr="007D7D86">
              <w:rPr>
                <w:rFonts w:ascii="Arial" w:hAnsi="Arial" w:cs="Arial"/>
                <w:szCs w:val="18"/>
              </w:rPr>
              <w:t xml:space="preserve">Provozní dokumentace, čl. </w:t>
            </w:r>
            <w:smartTag w:uri="urn:schemas-microsoft-com:office:smarttags" w:element="metricconverter">
              <w:smartTagPr>
                <w:attr w:name="ProductID" w:val="4.9 a"/>
              </w:smartTagPr>
              <w:r w:rsidRPr="007D7D86">
                <w:rPr>
                  <w:rFonts w:ascii="Arial" w:hAnsi="Arial" w:cs="Arial"/>
                  <w:szCs w:val="18"/>
                </w:rPr>
                <w:t>4.9 a</w:t>
              </w:r>
            </w:smartTag>
            <w:r w:rsidRPr="007D7D86">
              <w:rPr>
                <w:rFonts w:ascii="Arial" w:hAnsi="Arial" w:cs="Arial"/>
                <w:szCs w:val="18"/>
              </w:rPr>
              <w:t xml:space="preserve"> 4.10</w:t>
            </w:r>
          </w:p>
        </w:tc>
        <w:tc>
          <w:tcPr>
            <w:tcW w:w="709" w:type="pct"/>
            <w:tcBorders>
              <w:top w:val="dotted" w:sz="4" w:space="0" w:color="auto"/>
              <w:bottom w:val="single" w:sz="4" w:space="0" w:color="auto"/>
            </w:tcBorders>
            <w:vAlign w:val="center"/>
          </w:tcPr>
          <w:p w14:paraId="2E2BED60"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7C472675" w14:textId="77777777" w:rsidTr="004146DC">
        <w:trPr>
          <w:trHeight w:val="340"/>
        </w:trPr>
        <w:tc>
          <w:tcPr>
            <w:tcW w:w="2725" w:type="pct"/>
            <w:tcBorders>
              <w:top w:val="single" w:sz="4" w:space="0" w:color="auto"/>
              <w:bottom w:val="single" w:sz="4" w:space="0" w:color="auto"/>
              <w:right w:val="dotted" w:sz="4" w:space="0" w:color="auto"/>
            </w:tcBorders>
            <w:vAlign w:val="center"/>
          </w:tcPr>
          <w:p w14:paraId="7DA23F39"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4605FAC" w14:textId="77777777" w:rsidR="007D7D86" w:rsidRPr="007D7D86" w:rsidRDefault="007D7D86" w:rsidP="004146DC">
            <w:pPr>
              <w:rPr>
                <w:rFonts w:ascii="Arial" w:hAnsi="Arial" w:cs="Arial"/>
                <w:szCs w:val="18"/>
              </w:rPr>
            </w:pPr>
          </w:p>
        </w:tc>
        <w:tc>
          <w:tcPr>
            <w:tcW w:w="709" w:type="pct"/>
            <w:tcBorders>
              <w:top w:val="single" w:sz="4" w:space="0" w:color="auto"/>
              <w:left w:val="dotted" w:sz="4" w:space="0" w:color="auto"/>
              <w:bottom w:val="single" w:sz="4" w:space="0" w:color="auto"/>
            </w:tcBorders>
            <w:vAlign w:val="center"/>
          </w:tcPr>
          <w:p w14:paraId="10432DF7" w14:textId="77777777" w:rsidR="007D7D86" w:rsidRPr="007D7D86" w:rsidRDefault="007D7D86" w:rsidP="004146DC">
            <w:pPr>
              <w:jc w:val="center"/>
              <w:rPr>
                <w:rFonts w:ascii="Arial" w:hAnsi="Arial" w:cs="Arial"/>
                <w:szCs w:val="18"/>
              </w:rPr>
            </w:pPr>
          </w:p>
        </w:tc>
      </w:tr>
      <w:tr w:rsidR="007D7D86" w:rsidRPr="007D7D86" w14:paraId="1608914E" w14:textId="77777777" w:rsidTr="004146DC">
        <w:trPr>
          <w:trHeight w:val="701"/>
        </w:trPr>
        <w:tc>
          <w:tcPr>
            <w:tcW w:w="2725" w:type="pct"/>
            <w:tcBorders>
              <w:top w:val="single" w:sz="4" w:space="0" w:color="auto"/>
            </w:tcBorders>
            <w:vAlign w:val="center"/>
          </w:tcPr>
          <w:p w14:paraId="509B4C84"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Porušení povinností vyplývajících z předpisů o požární ochraně</w:t>
            </w:r>
            <w:r w:rsidRPr="007D7D86" w:rsidDel="002B4A1C">
              <w:rPr>
                <w:rFonts w:ascii="Arial" w:hAnsi="Arial" w:cs="Arial"/>
                <w:sz w:val="20"/>
                <w:szCs w:val="18"/>
              </w:rPr>
              <w:t xml:space="preserve"> </w:t>
            </w:r>
          </w:p>
        </w:tc>
        <w:tc>
          <w:tcPr>
            <w:tcW w:w="1566" w:type="pct"/>
            <w:tcBorders>
              <w:top w:val="single" w:sz="4" w:space="0" w:color="auto"/>
            </w:tcBorders>
            <w:vAlign w:val="center"/>
          </w:tcPr>
          <w:p w14:paraId="70D34116"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p w14:paraId="7374E0BA"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246/2001 Sb.</w:t>
            </w:r>
          </w:p>
        </w:tc>
        <w:tc>
          <w:tcPr>
            <w:tcW w:w="709" w:type="pct"/>
            <w:tcBorders>
              <w:top w:val="single" w:sz="4" w:space="0" w:color="auto"/>
            </w:tcBorders>
            <w:vAlign w:val="center"/>
          </w:tcPr>
          <w:p w14:paraId="65DE2399" w14:textId="77777777" w:rsidR="007D7D86" w:rsidRPr="007D7D86" w:rsidRDefault="007D7D86" w:rsidP="004146DC">
            <w:pPr>
              <w:jc w:val="center"/>
              <w:rPr>
                <w:rFonts w:ascii="Arial" w:hAnsi="Arial" w:cs="Arial"/>
                <w:szCs w:val="18"/>
              </w:rPr>
            </w:pPr>
            <w:r w:rsidRPr="007D7D86">
              <w:rPr>
                <w:rFonts w:ascii="Arial" w:hAnsi="Arial" w:cs="Arial"/>
                <w:szCs w:val="18"/>
              </w:rPr>
              <w:t>500 – 1000</w:t>
            </w:r>
          </w:p>
        </w:tc>
      </w:tr>
      <w:tr w:rsidR="007D7D86" w:rsidRPr="007D7D86" w14:paraId="1E222B6A" w14:textId="77777777" w:rsidTr="004146DC">
        <w:trPr>
          <w:trHeight w:val="340"/>
        </w:trPr>
        <w:tc>
          <w:tcPr>
            <w:tcW w:w="2725" w:type="pct"/>
            <w:vAlign w:val="center"/>
          </w:tcPr>
          <w:p w14:paraId="61BB2650"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Kouření nebo používání otevřeného ohně na místech, kde je to zakázáno</w:t>
            </w:r>
            <w:r w:rsidRPr="007D7D86" w:rsidDel="002B4A1C">
              <w:rPr>
                <w:rFonts w:ascii="Arial" w:hAnsi="Arial" w:cs="Arial"/>
                <w:sz w:val="20"/>
                <w:szCs w:val="18"/>
              </w:rPr>
              <w:t xml:space="preserve"> </w:t>
            </w:r>
          </w:p>
        </w:tc>
        <w:tc>
          <w:tcPr>
            <w:tcW w:w="1566" w:type="pct"/>
            <w:vAlign w:val="center"/>
          </w:tcPr>
          <w:p w14:paraId="63B9C81E" w14:textId="77777777" w:rsidR="007D7D86" w:rsidRPr="007D7D86" w:rsidRDefault="007D7D86" w:rsidP="004146DC">
            <w:pPr>
              <w:rPr>
                <w:rFonts w:ascii="Arial" w:hAnsi="Arial" w:cs="Arial"/>
                <w:szCs w:val="18"/>
              </w:rPr>
            </w:pPr>
            <w:r w:rsidRPr="007D7D86">
              <w:rPr>
                <w:rFonts w:ascii="Arial" w:hAnsi="Arial" w:cs="Arial"/>
                <w:szCs w:val="18"/>
              </w:rPr>
              <w:t xml:space="preserve">Zák. 262/2006 Sb., </w:t>
            </w:r>
          </w:p>
          <w:p w14:paraId="693F06CE" w14:textId="77777777" w:rsidR="007D7D86" w:rsidRPr="007D7D86" w:rsidRDefault="007D7D86" w:rsidP="004146DC">
            <w:pPr>
              <w:rPr>
                <w:rFonts w:ascii="Arial" w:hAnsi="Arial" w:cs="Arial"/>
                <w:szCs w:val="18"/>
              </w:rPr>
            </w:pPr>
            <w:r w:rsidRPr="007D7D86">
              <w:rPr>
                <w:rFonts w:ascii="Arial" w:hAnsi="Arial" w:cs="Arial"/>
                <w:szCs w:val="18"/>
              </w:rPr>
              <w:t>Zák. 133/1985 Sb.</w:t>
            </w:r>
          </w:p>
        </w:tc>
        <w:tc>
          <w:tcPr>
            <w:tcW w:w="709" w:type="pct"/>
            <w:vAlign w:val="center"/>
          </w:tcPr>
          <w:p w14:paraId="31F4F9DC" w14:textId="77777777" w:rsidR="007D7D86" w:rsidRPr="007D7D86" w:rsidRDefault="007D7D86" w:rsidP="004146DC">
            <w:pPr>
              <w:jc w:val="center"/>
              <w:rPr>
                <w:rFonts w:ascii="Arial" w:hAnsi="Arial" w:cs="Arial"/>
                <w:szCs w:val="18"/>
              </w:rPr>
            </w:pPr>
            <w:r w:rsidRPr="007D7D86">
              <w:rPr>
                <w:rFonts w:ascii="Arial" w:hAnsi="Arial" w:cs="Arial"/>
                <w:szCs w:val="18"/>
              </w:rPr>
              <w:t>300</w:t>
            </w:r>
          </w:p>
        </w:tc>
      </w:tr>
      <w:tr w:rsidR="007D7D86" w:rsidRPr="007D7D86" w14:paraId="13557737" w14:textId="77777777" w:rsidTr="004146DC">
        <w:trPr>
          <w:trHeight w:val="340"/>
        </w:trPr>
        <w:tc>
          <w:tcPr>
            <w:tcW w:w="2725" w:type="pct"/>
            <w:vAlign w:val="center"/>
          </w:tcPr>
          <w:p w14:paraId="1FE847B8"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Neoznámení vzniklého požáru koordinátorovi BOZP, investorovi či generálnímu zhotoviteli</w:t>
            </w:r>
          </w:p>
        </w:tc>
        <w:tc>
          <w:tcPr>
            <w:tcW w:w="1566" w:type="pct"/>
            <w:vAlign w:val="center"/>
          </w:tcPr>
          <w:p w14:paraId="2D1418E4" w14:textId="77777777" w:rsidR="007D7D86" w:rsidRPr="007D7D86" w:rsidRDefault="007D7D86" w:rsidP="004146DC">
            <w:pPr>
              <w:rPr>
                <w:rFonts w:ascii="Arial" w:hAnsi="Arial" w:cs="Arial"/>
                <w:szCs w:val="18"/>
              </w:rPr>
            </w:pPr>
            <w:r w:rsidRPr="007D7D86">
              <w:rPr>
                <w:rFonts w:ascii="Arial" w:hAnsi="Arial" w:cs="Arial"/>
                <w:szCs w:val="18"/>
              </w:rPr>
              <w:t xml:space="preserve">Čl. </w:t>
            </w:r>
            <w:smartTag w:uri="urn:schemas-microsoft-com:office:smarttags" w:element="metricconverter">
              <w:smartTagPr>
                <w:attr w:name="ProductID" w:val="4.15 a"/>
              </w:smartTagPr>
              <w:r w:rsidRPr="007D7D86">
                <w:rPr>
                  <w:rFonts w:ascii="Arial" w:hAnsi="Arial" w:cs="Arial"/>
                  <w:szCs w:val="18"/>
                </w:rPr>
                <w:t>4.15 a</w:t>
              </w:r>
            </w:smartTag>
            <w:r w:rsidRPr="007D7D86">
              <w:rPr>
                <w:rFonts w:ascii="Arial" w:hAnsi="Arial" w:cs="Arial"/>
                <w:szCs w:val="18"/>
              </w:rPr>
              <w:t xml:space="preserve"> 4.20 </w:t>
            </w:r>
          </w:p>
        </w:tc>
        <w:tc>
          <w:tcPr>
            <w:tcW w:w="709" w:type="pct"/>
            <w:vAlign w:val="center"/>
          </w:tcPr>
          <w:p w14:paraId="770B9B65" w14:textId="77777777" w:rsidR="007D7D86" w:rsidRPr="007D7D86" w:rsidRDefault="007D7D86" w:rsidP="004146DC">
            <w:pPr>
              <w:jc w:val="center"/>
              <w:rPr>
                <w:rFonts w:ascii="Arial" w:hAnsi="Arial" w:cs="Arial"/>
                <w:szCs w:val="18"/>
              </w:rPr>
            </w:pPr>
            <w:r w:rsidRPr="007D7D86">
              <w:rPr>
                <w:rFonts w:ascii="Arial" w:hAnsi="Arial" w:cs="Arial"/>
                <w:szCs w:val="18"/>
              </w:rPr>
              <w:t>10000</w:t>
            </w:r>
          </w:p>
        </w:tc>
      </w:tr>
      <w:tr w:rsidR="007D7D86" w:rsidRPr="007D7D86" w14:paraId="4E3DC942" w14:textId="77777777" w:rsidTr="004146DC">
        <w:trPr>
          <w:trHeight w:val="340"/>
        </w:trPr>
        <w:tc>
          <w:tcPr>
            <w:tcW w:w="2725" w:type="pct"/>
            <w:vAlign w:val="center"/>
          </w:tcPr>
          <w:p w14:paraId="50CB46D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Porušení předpisů při provádění svářečských prací</w:t>
            </w:r>
            <w:r w:rsidRPr="007D7D86" w:rsidDel="002B4A1C">
              <w:rPr>
                <w:rFonts w:ascii="Arial" w:hAnsi="Arial" w:cs="Arial"/>
                <w:sz w:val="20"/>
                <w:szCs w:val="18"/>
              </w:rPr>
              <w:t xml:space="preserve"> </w:t>
            </w:r>
          </w:p>
        </w:tc>
        <w:tc>
          <w:tcPr>
            <w:tcW w:w="1566" w:type="pct"/>
            <w:vAlign w:val="center"/>
          </w:tcPr>
          <w:p w14:paraId="216928A8" w14:textId="77777777" w:rsidR="007D7D86" w:rsidRPr="007D7D86" w:rsidRDefault="007D7D86" w:rsidP="004146DC">
            <w:pPr>
              <w:rPr>
                <w:rFonts w:ascii="Arial" w:hAnsi="Arial" w:cs="Arial"/>
                <w:szCs w:val="18"/>
              </w:rPr>
            </w:pPr>
            <w:proofErr w:type="spellStart"/>
            <w:r w:rsidRPr="007D7D86">
              <w:rPr>
                <w:rFonts w:ascii="Arial" w:hAnsi="Arial" w:cs="Arial"/>
                <w:szCs w:val="18"/>
              </w:rPr>
              <w:t>Vyhl</w:t>
            </w:r>
            <w:proofErr w:type="spellEnd"/>
            <w:r w:rsidRPr="007D7D86">
              <w:rPr>
                <w:rFonts w:ascii="Arial" w:hAnsi="Arial" w:cs="Arial"/>
                <w:szCs w:val="18"/>
              </w:rPr>
              <w:t>. 87/2000 Sb., čl. 4.8</w:t>
            </w:r>
          </w:p>
        </w:tc>
        <w:tc>
          <w:tcPr>
            <w:tcW w:w="709" w:type="pct"/>
            <w:vAlign w:val="center"/>
          </w:tcPr>
          <w:p w14:paraId="5A496F40" w14:textId="77777777" w:rsidR="007D7D86" w:rsidRPr="007D7D86" w:rsidRDefault="007D7D86" w:rsidP="004146DC">
            <w:pPr>
              <w:jc w:val="center"/>
              <w:rPr>
                <w:rFonts w:ascii="Arial" w:hAnsi="Arial" w:cs="Arial"/>
                <w:szCs w:val="18"/>
              </w:rPr>
            </w:pPr>
            <w:r w:rsidRPr="007D7D86">
              <w:rPr>
                <w:rFonts w:ascii="Arial" w:hAnsi="Arial" w:cs="Arial"/>
                <w:szCs w:val="18"/>
              </w:rPr>
              <w:t>3000 – 10000</w:t>
            </w:r>
          </w:p>
        </w:tc>
      </w:tr>
      <w:tr w:rsidR="007D7D86" w:rsidRPr="007D7D86" w14:paraId="5A60B2EF" w14:textId="77777777" w:rsidTr="004146DC">
        <w:trPr>
          <w:trHeight w:val="340"/>
        </w:trPr>
        <w:tc>
          <w:tcPr>
            <w:tcW w:w="2725" w:type="pct"/>
            <w:vAlign w:val="center"/>
          </w:tcPr>
          <w:p w14:paraId="335ECF1B"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pacing w:val="-4"/>
                <w:sz w:val="20"/>
                <w:szCs w:val="18"/>
              </w:rPr>
              <w:t>Neudržování volných únikových cest, volného přístupu k rozvodným zařízením a hlavním uzávěrům a k prostředkům PO</w:t>
            </w:r>
            <w:r w:rsidRPr="007D7D86" w:rsidDel="002B4A1C">
              <w:rPr>
                <w:rFonts w:ascii="Arial" w:hAnsi="Arial" w:cs="Arial"/>
                <w:sz w:val="20"/>
                <w:szCs w:val="18"/>
              </w:rPr>
              <w:t xml:space="preserve"> </w:t>
            </w:r>
          </w:p>
        </w:tc>
        <w:tc>
          <w:tcPr>
            <w:tcW w:w="1566" w:type="pct"/>
            <w:vAlign w:val="center"/>
          </w:tcPr>
          <w:p w14:paraId="573C0863" w14:textId="77777777" w:rsidR="007D7D86" w:rsidRPr="007D7D86" w:rsidRDefault="007D7D86" w:rsidP="004146DC">
            <w:pPr>
              <w:rPr>
                <w:rFonts w:ascii="Arial" w:hAnsi="Arial" w:cs="Arial"/>
                <w:szCs w:val="18"/>
              </w:rPr>
            </w:pPr>
            <w:r w:rsidRPr="007D7D86">
              <w:rPr>
                <w:rFonts w:ascii="Arial" w:hAnsi="Arial" w:cs="Arial"/>
                <w:szCs w:val="18"/>
              </w:rPr>
              <w:t xml:space="preserve">Zák. 133/1985 Sb. </w:t>
            </w:r>
          </w:p>
        </w:tc>
        <w:tc>
          <w:tcPr>
            <w:tcW w:w="709" w:type="pct"/>
            <w:vAlign w:val="center"/>
          </w:tcPr>
          <w:p w14:paraId="351AA60B" w14:textId="77777777" w:rsidR="007D7D86" w:rsidRPr="007D7D86" w:rsidRDefault="007D7D86" w:rsidP="004146DC">
            <w:pPr>
              <w:jc w:val="center"/>
              <w:rPr>
                <w:rFonts w:ascii="Arial" w:hAnsi="Arial" w:cs="Arial"/>
                <w:szCs w:val="18"/>
              </w:rPr>
            </w:pPr>
            <w:r w:rsidRPr="007D7D86">
              <w:rPr>
                <w:rFonts w:ascii="Arial" w:hAnsi="Arial" w:cs="Arial"/>
                <w:szCs w:val="18"/>
              </w:rPr>
              <w:t>200 – 500</w:t>
            </w:r>
          </w:p>
        </w:tc>
      </w:tr>
      <w:tr w:rsidR="007D7D86" w:rsidRPr="007D7D86" w14:paraId="465F6EF0" w14:textId="77777777" w:rsidTr="004146DC">
        <w:trPr>
          <w:trHeight w:val="340"/>
        </w:trPr>
        <w:tc>
          <w:tcPr>
            <w:tcW w:w="2725" w:type="pct"/>
            <w:tcBorders>
              <w:top w:val="single" w:sz="4" w:space="0" w:color="auto"/>
              <w:bottom w:val="single" w:sz="4" w:space="0" w:color="auto"/>
            </w:tcBorders>
            <w:vAlign w:val="center"/>
          </w:tcPr>
          <w:p w14:paraId="4ABD6AD7" w14:textId="77777777" w:rsidR="007D7D86" w:rsidRPr="007D7D86" w:rsidRDefault="007D7D86" w:rsidP="007D7D86">
            <w:pPr>
              <w:pStyle w:val="13Stupovit"/>
              <w:numPr>
                <w:ilvl w:val="0"/>
                <w:numId w:val="24"/>
              </w:numPr>
              <w:rPr>
                <w:rFonts w:ascii="Arial" w:hAnsi="Arial" w:cs="Arial"/>
                <w:sz w:val="20"/>
                <w:szCs w:val="18"/>
              </w:rPr>
            </w:pPr>
            <w:r w:rsidRPr="007D7D86">
              <w:rPr>
                <w:rFonts w:ascii="Arial" w:hAnsi="Arial" w:cs="Arial"/>
                <w:b/>
                <w:sz w:val="20"/>
                <w:szCs w:val="18"/>
              </w:rPr>
              <w:t>OŽP</w:t>
            </w:r>
          </w:p>
        </w:tc>
        <w:tc>
          <w:tcPr>
            <w:tcW w:w="1566" w:type="pct"/>
            <w:tcBorders>
              <w:top w:val="single" w:sz="4" w:space="0" w:color="auto"/>
              <w:bottom w:val="single" w:sz="4" w:space="0" w:color="auto"/>
            </w:tcBorders>
            <w:vAlign w:val="center"/>
          </w:tcPr>
          <w:p w14:paraId="5FB8A926" w14:textId="77777777" w:rsidR="007D7D86" w:rsidRPr="007D7D86" w:rsidRDefault="007D7D86" w:rsidP="004146DC">
            <w:pPr>
              <w:rPr>
                <w:rFonts w:ascii="Arial" w:hAnsi="Arial" w:cs="Arial"/>
                <w:szCs w:val="18"/>
              </w:rPr>
            </w:pPr>
          </w:p>
        </w:tc>
        <w:tc>
          <w:tcPr>
            <w:tcW w:w="709" w:type="pct"/>
            <w:tcBorders>
              <w:top w:val="single" w:sz="4" w:space="0" w:color="auto"/>
              <w:bottom w:val="single" w:sz="4" w:space="0" w:color="auto"/>
            </w:tcBorders>
            <w:vAlign w:val="center"/>
          </w:tcPr>
          <w:p w14:paraId="4A3DF7FD" w14:textId="77777777" w:rsidR="007D7D86" w:rsidRPr="007D7D86" w:rsidRDefault="007D7D86" w:rsidP="004146DC">
            <w:pPr>
              <w:jc w:val="center"/>
              <w:rPr>
                <w:rFonts w:ascii="Arial" w:hAnsi="Arial" w:cs="Arial"/>
                <w:szCs w:val="18"/>
              </w:rPr>
            </w:pPr>
          </w:p>
        </w:tc>
      </w:tr>
      <w:tr w:rsidR="007D7D86" w:rsidRPr="007D7D86" w14:paraId="41B88697" w14:textId="77777777" w:rsidTr="004146DC">
        <w:trPr>
          <w:trHeight w:val="340"/>
        </w:trPr>
        <w:tc>
          <w:tcPr>
            <w:tcW w:w="2725" w:type="pct"/>
            <w:tcBorders>
              <w:top w:val="single" w:sz="4" w:space="0" w:color="auto"/>
              <w:bottom w:val="dotted" w:sz="4" w:space="0" w:color="auto"/>
            </w:tcBorders>
            <w:vAlign w:val="center"/>
          </w:tcPr>
          <w:p w14:paraId="562FD8B5"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04998AB3" w14:textId="77777777" w:rsidR="007D7D86" w:rsidRPr="007D7D86" w:rsidRDefault="007D7D86" w:rsidP="004146DC">
            <w:pPr>
              <w:rPr>
                <w:rFonts w:ascii="Arial" w:hAnsi="Arial" w:cs="Arial"/>
                <w:szCs w:val="18"/>
              </w:rPr>
            </w:pPr>
            <w:r w:rsidRPr="007D7D86">
              <w:rPr>
                <w:rFonts w:ascii="Arial" w:hAnsi="Arial" w:cs="Arial"/>
                <w:szCs w:val="18"/>
              </w:rPr>
              <w:t>Zák. 185/2001 Sb.</w:t>
            </w:r>
          </w:p>
        </w:tc>
        <w:tc>
          <w:tcPr>
            <w:tcW w:w="709" w:type="pct"/>
            <w:tcBorders>
              <w:top w:val="single" w:sz="4" w:space="0" w:color="auto"/>
              <w:bottom w:val="dotted" w:sz="4" w:space="0" w:color="auto"/>
            </w:tcBorders>
            <w:vAlign w:val="center"/>
          </w:tcPr>
          <w:p w14:paraId="116A9A92" w14:textId="77777777" w:rsidR="007D7D86" w:rsidRPr="007D7D86" w:rsidRDefault="007D7D86" w:rsidP="004146DC">
            <w:pPr>
              <w:jc w:val="center"/>
              <w:rPr>
                <w:rFonts w:ascii="Arial" w:hAnsi="Arial" w:cs="Arial"/>
                <w:szCs w:val="18"/>
              </w:rPr>
            </w:pPr>
            <w:r w:rsidRPr="007D7D86">
              <w:rPr>
                <w:rFonts w:ascii="Arial" w:hAnsi="Arial" w:cs="Arial"/>
                <w:szCs w:val="18"/>
              </w:rPr>
              <w:t>500 – 5000</w:t>
            </w:r>
          </w:p>
        </w:tc>
      </w:tr>
      <w:tr w:rsidR="007D7D86" w:rsidRPr="007D7D86" w14:paraId="7F3A13D4" w14:textId="77777777" w:rsidTr="004146DC">
        <w:trPr>
          <w:trHeight w:val="340"/>
        </w:trPr>
        <w:tc>
          <w:tcPr>
            <w:tcW w:w="2725" w:type="pct"/>
            <w:tcBorders>
              <w:top w:val="dotted" w:sz="4" w:space="0" w:color="auto"/>
              <w:bottom w:val="single" w:sz="4" w:space="0" w:color="auto"/>
            </w:tcBorders>
            <w:vAlign w:val="center"/>
          </w:tcPr>
          <w:p w14:paraId="5F10277E" w14:textId="77777777" w:rsidR="007D7D86" w:rsidRPr="007D7D86" w:rsidRDefault="007D7D86" w:rsidP="007D7D86">
            <w:pPr>
              <w:pStyle w:val="13Stupovit"/>
              <w:numPr>
                <w:ilvl w:val="1"/>
                <w:numId w:val="24"/>
              </w:numPr>
              <w:rPr>
                <w:rFonts w:ascii="Arial" w:hAnsi="Arial" w:cs="Arial"/>
                <w:sz w:val="20"/>
                <w:szCs w:val="18"/>
              </w:rPr>
            </w:pPr>
            <w:r w:rsidRPr="007D7D86">
              <w:rPr>
                <w:rFonts w:ascii="Arial" w:hAnsi="Arial" w:cs="Arial"/>
                <w:sz w:val="20"/>
                <w:szCs w:val="18"/>
              </w:rPr>
              <w:t xml:space="preserve">Neodstranění závad z kontrol </w:t>
            </w:r>
          </w:p>
        </w:tc>
        <w:tc>
          <w:tcPr>
            <w:tcW w:w="1566" w:type="pct"/>
            <w:tcBorders>
              <w:top w:val="dotted" w:sz="4" w:space="0" w:color="auto"/>
              <w:bottom w:val="single" w:sz="4" w:space="0" w:color="auto"/>
            </w:tcBorders>
            <w:vAlign w:val="center"/>
          </w:tcPr>
          <w:p w14:paraId="09C80869" w14:textId="77777777" w:rsidR="007D7D86" w:rsidRPr="007D7D86" w:rsidRDefault="007D7D86" w:rsidP="004146DC">
            <w:pPr>
              <w:rPr>
                <w:rFonts w:ascii="Arial" w:hAnsi="Arial" w:cs="Arial"/>
                <w:szCs w:val="18"/>
              </w:rPr>
            </w:pPr>
            <w:r w:rsidRPr="007D7D86">
              <w:rPr>
                <w:rFonts w:ascii="Arial" w:hAnsi="Arial" w:cs="Arial"/>
                <w:szCs w:val="18"/>
              </w:rPr>
              <w:t>Čl. 4.21</w:t>
            </w:r>
          </w:p>
        </w:tc>
        <w:tc>
          <w:tcPr>
            <w:tcW w:w="709" w:type="pct"/>
            <w:tcBorders>
              <w:top w:val="dotted" w:sz="4" w:space="0" w:color="auto"/>
              <w:bottom w:val="single" w:sz="4" w:space="0" w:color="auto"/>
            </w:tcBorders>
            <w:vAlign w:val="center"/>
          </w:tcPr>
          <w:p w14:paraId="59F74C61" w14:textId="77777777" w:rsidR="007D7D86" w:rsidRPr="007D7D86" w:rsidRDefault="007D7D86" w:rsidP="004146DC">
            <w:pPr>
              <w:jc w:val="center"/>
              <w:rPr>
                <w:rFonts w:ascii="Arial" w:hAnsi="Arial" w:cs="Arial"/>
                <w:szCs w:val="18"/>
              </w:rPr>
            </w:pPr>
            <w:r w:rsidRPr="007D7D86">
              <w:rPr>
                <w:rFonts w:ascii="Arial" w:hAnsi="Arial" w:cs="Arial"/>
                <w:szCs w:val="18"/>
              </w:rPr>
              <w:t>300 / závada</w:t>
            </w:r>
          </w:p>
        </w:tc>
      </w:tr>
    </w:tbl>
    <w:p w14:paraId="7217B01D" w14:textId="77777777" w:rsidR="007D7D86" w:rsidRDefault="007D7D86" w:rsidP="007D7D86">
      <w:pPr>
        <w:jc w:val="both"/>
        <w:rPr>
          <w:b/>
          <w:sz w:val="24"/>
          <w:szCs w:val="24"/>
        </w:rPr>
      </w:pPr>
    </w:p>
    <w:p w14:paraId="11CC2B5E" w14:textId="77777777" w:rsidR="007D7D86" w:rsidRDefault="007D7D86" w:rsidP="007D7D86">
      <w:pPr>
        <w:jc w:val="both"/>
        <w:rPr>
          <w:b/>
          <w:sz w:val="24"/>
          <w:szCs w:val="24"/>
        </w:rPr>
      </w:pPr>
    </w:p>
    <w:p w14:paraId="60A87F1A" w14:textId="77777777" w:rsidR="007D7D86" w:rsidRPr="00560BF2" w:rsidRDefault="007D7D86" w:rsidP="00560BF2">
      <w:pPr>
        <w:pStyle w:val="Odstavecseseznamem"/>
        <w:tabs>
          <w:tab w:val="center" w:pos="1843"/>
          <w:tab w:val="center" w:pos="7230"/>
        </w:tabs>
        <w:spacing w:after="0" w:line="240" w:lineRule="auto"/>
        <w:ind w:left="0"/>
        <w:rPr>
          <w:rFonts w:ascii="Times New Roman" w:hAnsi="Times New Roman"/>
          <w:sz w:val="24"/>
        </w:rPr>
      </w:pPr>
    </w:p>
    <w:sectPr w:rsidR="007D7D86"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7E107" w14:textId="77777777" w:rsidR="00C353F9" w:rsidRDefault="00C353F9">
      <w:r>
        <w:separator/>
      </w:r>
    </w:p>
  </w:endnote>
  <w:endnote w:type="continuationSeparator" w:id="0">
    <w:p w14:paraId="01490D8C" w14:textId="77777777" w:rsidR="00C353F9" w:rsidRDefault="00C3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charset w:val="EE"/>
    <w:family w:val="swiss"/>
    <w:pitch w:val="variable"/>
    <w:sig w:usb0="00000007" w:usb1="00000000"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0F449"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318649E"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5953"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A1548B">
      <w:rPr>
        <w:rStyle w:val="slostrnky"/>
        <w:noProof/>
      </w:rPr>
      <w:t>4</w:t>
    </w:r>
    <w:r>
      <w:rPr>
        <w:rStyle w:val="slostrnky"/>
      </w:rPr>
      <w:fldChar w:fldCharType="end"/>
    </w:r>
  </w:p>
  <w:p w14:paraId="04F2890B" w14:textId="77777777" w:rsidR="00126A9A" w:rsidRDefault="00F446B4">
    <w:pPr>
      <w:pStyle w:val="Zpat"/>
    </w:pPr>
    <w:r>
      <w:rPr>
        <w:noProof/>
      </w:rPr>
      <w:drawing>
        <wp:anchor distT="0" distB="0" distL="0" distR="0" simplePos="0" relativeHeight="251658240" behindDoc="0" locked="0" layoutInCell="1" allowOverlap="1" wp14:anchorId="6109CEF3" wp14:editId="50551A91">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893B" w14:textId="77777777" w:rsidR="00C353F9" w:rsidRDefault="00C353F9">
      <w:r>
        <w:separator/>
      </w:r>
    </w:p>
  </w:footnote>
  <w:footnote w:type="continuationSeparator" w:id="0">
    <w:p w14:paraId="7C6C536F" w14:textId="77777777" w:rsidR="00C353F9" w:rsidRDefault="00C35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F285"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3EA9CD34"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C48D0" w14:textId="25AEFCA2" w:rsidR="00F76CCA" w:rsidRPr="00722094" w:rsidRDefault="00722094" w:rsidP="009C5B53">
    <w:pPr>
      <w:pStyle w:val="Zhlav"/>
      <w:rPr>
        <w:b/>
        <w:color w:val="000000" w:themeColor="text1"/>
        <w:sz w:val="24"/>
        <w:szCs w:val="24"/>
      </w:rPr>
    </w:pPr>
    <w:r>
      <w:rPr>
        <w:b/>
        <w:sz w:val="24"/>
        <w:szCs w:val="24"/>
      </w:rPr>
      <w:tab/>
    </w:r>
    <w:r>
      <w:rPr>
        <w:b/>
        <w:sz w:val="24"/>
        <w:szCs w:val="24"/>
      </w:rPr>
      <w:tab/>
    </w:r>
    <w:r w:rsidR="00224E50">
      <w:rPr>
        <w:b/>
        <w:sz w:val="24"/>
        <w:szCs w:val="24"/>
      </w:rPr>
      <w:t>Smlouva č. U</w:t>
    </w:r>
    <w:r w:rsidR="009C5B53">
      <w:rPr>
        <w:b/>
        <w:sz w:val="24"/>
        <w:szCs w:val="24"/>
      </w:rPr>
      <w:t>-</w:t>
    </w:r>
    <w:r w:rsidR="00224E50">
      <w:rPr>
        <w:b/>
        <w:sz w:val="24"/>
        <w:szCs w:val="24"/>
      </w:rPr>
      <w:t>327</w:t>
    </w:r>
    <w:r w:rsidRPr="00722094">
      <w:rPr>
        <w:b/>
        <w:sz w:val="24"/>
        <w:szCs w:val="24"/>
      </w:rPr>
      <w:t>-00/1</w:t>
    </w:r>
    <w:r w:rsidR="007814F4">
      <w:rPr>
        <w:b/>
        <w:sz w:val="24"/>
        <w:szCs w:val="24"/>
      </w:rPr>
      <w:t>7</w:t>
    </w:r>
  </w:p>
  <w:p w14:paraId="00420F96" w14:textId="46CFB9C9" w:rsidR="00303658" w:rsidRPr="00AB3A19" w:rsidRDefault="00303658" w:rsidP="00AB3A19">
    <w:pPr>
      <w:pStyle w:val="Zhlav"/>
      <w:rPr>
        <w:b/>
        <w:color w:val="000000" w:themeColor="text1"/>
        <w:sz w:val="22"/>
        <w:szCs w:val="22"/>
      </w:rPr>
    </w:pPr>
  </w:p>
  <w:p w14:paraId="015C8D91" w14:textId="77777777" w:rsidR="00731325" w:rsidRPr="00F76CCA" w:rsidRDefault="00D56DF2" w:rsidP="00F76CCA">
    <w:pPr>
      <w:pStyle w:val="Zhlav"/>
    </w:pPr>
    <w:r w:rsidRPr="00D56DF2">
      <w:rPr>
        <w:b/>
        <w:sz w:val="24"/>
        <w:szCs w:val="24"/>
      </w:rPr>
      <w:object w:dxaOrig="9808" w:dyaOrig="13612" w14:anchorId="2822F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6333796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8F1820"/>
    <w:multiLevelType w:val="hybridMultilevel"/>
    <w:tmpl w:val="FF74BD46"/>
    <w:lvl w:ilvl="0" w:tplc="845A0696">
      <w:start w:val="1"/>
      <w:numFmt w:val="decimal"/>
      <w:lvlText w:val="8.%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9EB3FCB"/>
    <w:multiLevelType w:val="hybridMultilevel"/>
    <w:tmpl w:val="8C60D80A"/>
    <w:lvl w:ilvl="0" w:tplc="75A48DC6">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0F1B36BE"/>
    <w:multiLevelType w:val="hybridMultilevel"/>
    <w:tmpl w:val="D96A60AE"/>
    <w:lvl w:ilvl="0" w:tplc="7A22D82E">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E919A9"/>
    <w:multiLevelType w:val="hybridMultilevel"/>
    <w:tmpl w:val="5FCEBF58"/>
    <w:lvl w:ilvl="0" w:tplc="3F10CE8C">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28">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7">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94334E"/>
    <w:multiLevelType w:val="hybridMultilevel"/>
    <w:tmpl w:val="F59C2AC6"/>
    <w:lvl w:ilvl="0" w:tplc="3A6EE342">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7"/>
  </w:num>
  <w:num w:numId="3">
    <w:abstractNumId w:val="19"/>
  </w:num>
  <w:num w:numId="4">
    <w:abstractNumId w:val="36"/>
  </w:num>
  <w:num w:numId="5">
    <w:abstractNumId w:val="38"/>
  </w:num>
  <w:num w:numId="6">
    <w:abstractNumId w:val="12"/>
  </w:num>
  <w:num w:numId="7">
    <w:abstractNumId w:val="9"/>
  </w:num>
  <w:num w:numId="8">
    <w:abstractNumId w:val="33"/>
  </w:num>
  <w:num w:numId="9">
    <w:abstractNumId w:val="5"/>
  </w:num>
  <w:num w:numId="10">
    <w:abstractNumId w:val="34"/>
  </w:num>
  <w:num w:numId="11">
    <w:abstractNumId w:val="32"/>
  </w:num>
  <w:num w:numId="12">
    <w:abstractNumId w:val="14"/>
  </w:num>
  <w:num w:numId="13">
    <w:abstractNumId w:val="0"/>
  </w:num>
  <w:num w:numId="14">
    <w:abstractNumId w:val="31"/>
  </w:num>
  <w:num w:numId="15">
    <w:abstractNumId w:val="15"/>
  </w:num>
  <w:num w:numId="16">
    <w:abstractNumId w:val="29"/>
  </w:num>
  <w:num w:numId="17">
    <w:abstractNumId w:val="35"/>
  </w:num>
  <w:num w:numId="18">
    <w:abstractNumId w:val="28"/>
  </w:num>
  <w:num w:numId="19">
    <w:abstractNumId w:val="37"/>
  </w:num>
  <w:num w:numId="20">
    <w:abstractNumId w:val="4"/>
  </w:num>
  <w:num w:numId="21">
    <w:abstractNumId w:val="25"/>
  </w:num>
  <w:num w:numId="22">
    <w:abstractNumId w:val="10"/>
  </w:num>
  <w:num w:numId="23">
    <w:abstractNumId w:val="18"/>
  </w:num>
  <w:num w:numId="24">
    <w:abstractNumId w:val="7"/>
  </w:num>
  <w:num w:numId="25">
    <w:abstractNumId w:val="6"/>
  </w:num>
  <w:num w:numId="26">
    <w:abstractNumId w:val="17"/>
  </w:num>
  <w:num w:numId="27">
    <w:abstractNumId w:val="13"/>
  </w:num>
  <w:num w:numId="28">
    <w:abstractNumId w:val="23"/>
  </w:num>
  <w:num w:numId="29">
    <w:abstractNumId w:val="30"/>
  </w:num>
  <w:num w:numId="30">
    <w:abstractNumId w:val="22"/>
  </w:num>
  <w:num w:numId="31">
    <w:abstractNumId w:val="1"/>
  </w:num>
  <w:num w:numId="32">
    <w:abstractNumId w:val="3"/>
  </w:num>
  <w:num w:numId="33">
    <w:abstractNumId w:val="16"/>
  </w:num>
  <w:num w:numId="34">
    <w:abstractNumId w:val="11"/>
  </w:num>
  <w:num w:numId="35">
    <w:abstractNumId w:val="24"/>
  </w:num>
  <w:num w:numId="36">
    <w:abstractNumId w:val="26"/>
  </w:num>
  <w:num w:numId="37">
    <w:abstractNumId w:val="20"/>
  </w:num>
  <w:num w:numId="38">
    <w:abstractNumId w:val="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0424F"/>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2E18"/>
    <w:rsid w:val="000C4430"/>
    <w:rsid w:val="000D491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99C"/>
    <w:rsid w:val="00150F3F"/>
    <w:rsid w:val="00160D7E"/>
    <w:rsid w:val="0016110C"/>
    <w:rsid w:val="001666A8"/>
    <w:rsid w:val="00167E17"/>
    <w:rsid w:val="00172B03"/>
    <w:rsid w:val="00175106"/>
    <w:rsid w:val="0019238A"/>
    <w:rsid w:val="00195732"/>
    <w:rsid w:val="001962E3"/>
    <w:rsid w:val="00197CB7"/>
    <w:rsid w:val="001A5AF0"/>
    <w:rsid w:val="001A6F2A"/>
    <w:rsid w:val="001B51E2"/>
    <w:rsid w:val="001C7089"/>
    <w:rsid w:val="001D4ACE"/>
    <w:rsid w:val="001E3085"/>
    <w:rsid w:val="001F23B4"/>
    <w:rsid w:val="001F395B"/>
    <w:rsid w:val="001F3AF2"/>
    <w:rsid w:val="00203EBD"/>
    <w:rsid w:val="002179A8"/>
    <w:rsid w:val="00224E50"/>
    <w:rsid w:val="002354D1"/>
    <w:rsid w:val="002368C4"/>
    <w:rsid w:val="0024096C"/>
    <w:rsid w:val="00242275"/>
    <w:rsid w:val="0024417C"/>
    <w:rsid w:val="00246940"/>
    <w:rsid w:val="00251A87"/>
    <w:rsid w:val="00257555"/>
    <w:rsid w:val="002658A9"/>
    <w:rsid w:val="00265D44"/>
    <w:rsid w:val="0027338A"/>
    <w:rsid w:val="002821D9"/>
    <w:rsid w:val="00286000"/>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0F1B"/>
    <w:rsid w:val="00346428"/>
    <w:rsid w:val="00347EDD"/>
    <w:rsid w:val="00351647"/>
    <w:rsid w:val="00352D92"/>
    <w:rsid w:val="00353802"/>
    <w:rsid w:val="00360296"/>
    <w:rsid w:val="0036195A"/>
    <w:rsid w:val="0036491E"/>
    <w:rsid w:val="0036638E"/>
    <w:rsid w:val="00366775"/>
    <w:rsid w:val="0037024E"/>
    <w:rsid w:val="003704D5"/>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08"/>
    <w:rsid w:val="00433729"/>
    <w:rsid w:val="00433932"/>
    <w:rsid w:val="004357B7"/>
    <w:rsid w:val="004379CE"/>
    <w:rsid w:val="0044413B"/>
    <w:rsid w:val="0044446E"/>
    <w:rsid w:val="004540F1"/>
    <w:rsid w:val="00455900"/>
    <w:rsid w:val="00457DD3"/>
    <w:rsid w:val="0046156D"/>
    <w:rsid w:val="004638A8"/>
    <w:rsid w:val="00465589"/>
    <w:rsid w:val="00465C84"/>
    <w:rsid w:val="00473AE3"/>
    <w:rsid w:val="0047460A"/>
    <w:rsid w:val="00481EBB"/>
    <w:rsid w:val="00482F7A"/>
    <w:rsid w:val="0048318A"/>
    <w:rsid w:val="004934DE"/>
    <w:rsid w:val="00495DE3"/>
    <w:rsid w:val="004B3E4F"/>
    <w:rsid w:val="004C1FA9"/>
    <w:rsid w:val="004C24D7"/>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3649A"/>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4D48"/>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904F9"/>
    <w:rsid w:val="00690BCB"/>
    <w:rsid w:val="00692ECE"/>
    <w:rsid w:val="006939AA"/>
    <w:rsid w:val="00694AF4"/>
    <w:rsid w:val="00697C9F"/>
    <w:rsid w:val="006A1AA4"/>
    <w:rsid w:val="006A2A29"/>
    <w:rsid w:val="006A4D35"/>
    <w:rsid w:val="006A5382"/>
    <w:rsid w:val="006B0EA7"/>
    <w:rsid w:val="006B45DB"/>
    <w:rsid w:val="006C7B54"/>
    <w:rsid w:val="006D2154"/>
    <w:rsid w:val="006D6F14"/>
    <w:rsid w:val="006E1773"/>
    <w:rsid w:val="006E3756"/>
    <w:rsid w:val="006E4FC5"/>
    <w:rsid w:val="006F3DE9"/>
    <w:rsid w:val="00701B77"/>
    <w:rsid w:val="00703DB1"/>
    <w:rsid w:val="007047B6"/>
    <w:rsid w:val="00705208"/>
    <w:rsid w:val="007078F1"/>
    <w:rsid w:val="00710F99"/>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7705B"/>
    <w:rsid w:val="007814F4"/>
    <w:rsid w:val="00783D5E"/>
    <w:rsid w:val="007853A6"/>
    <w:rsid w:val="00791998"/>
    <w:rsid w:val="00793B5A"/>
    <w:rsid w:val="007947EA"/>
    <w:rsid w:val="007976B8"/>
    <w:rsid w:val="007A36AF"/>
    <w:rsid w:val="007B0E9D"/>
    <w:rsid w:val="007B245C"/>
    <w:rsid w:val="007B268E"/>
    <w:rsid w:val="007B6975"/>
    <w:rsid w:val="007C4B3B"/>
    <w:rsid w:val="007C4DEA"/>
    <w:rsid w:val="007D20E3"/>
    <w:rsid w:val="007D21FC"/>
    <w:rsid w:val="007D362F"/>
    <w:rsid w:val="007D4A64"/>
    <w:rsid w:val="007D7D86"/>
    <w:rsid w:val="007E1065"/>
    <w:rsid w:val="007E173F"/>
    <w:rsid w:val="007E6C98"/>
    <w:rsid w:val="007E7EE1"/>
    <w:rsid w:val="007F01DC"/>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468"/>
    <w:rsid w:val="008C5622"/>
    <w:rsid w:val="008C7C04"/>
    <w:rsid w:val="008D2C02"/>
    <w:rsid w:val="008D5767"/>
    <w:rsid w:val="008E02C8"/>
    <w:rsid w:val="008E069F"/>
    <w:rsid w:val="008F59AC"/>
    <w:rsid w:val="008F6F60"/>
    <w:rsid w:val="009036E7"/>
    <w:rsid w:val="0090697E"/>
    <w:rsid w:val="00910580"/>
    <w:rsid w:val="00914F75"/>
    <w:rsid w:val="00925CEF"/>
    <w:rsid w:val="0092646A"/>
    <w:rsid w:val="009301F2"/>
    <w:rsid w:val="0093306C"/>
    <w:rsid w:val="00933172"/>
    <w:rsid w:val="00934FCA"/>
    <w:rsid w:val="00941F5F"/>
    <w:rsid w:val="009456DD"/>
    <w:rsid w:val="009460F6"/>
    <w:rsid w:val="00946C23"/>
    <w:rsid w:val="00957072"/>
    <w:rsid w:val="00962699"/>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1548B"/>
    <w:rsid w:val="00A256C9"/>
    <w:rsid w:val="00A3017A"/>
    <w:rsid w:val="00A333A0"/>
    <w:rsid w:val="00A34FEA"/>
    <w:rsid w:val="00A37116"/>
    <w:rsid w:val="00A37F9B"/>
    <w:rsid w:val="00A52985"/>
    <w:rsid w:val="00A54045"/>
    <w:rsid w:val="00A57703"/>
    <w:rsid w:val="00A660B6"/>
    <w:rsid w:val="00A753A3"/>
    <w:rsid w:val="00A77B67"/>
    <w:rsid w:val="00A82DEA"/>
    <w:rsid w:val="00A8687A"/>
    <w:rsid w:val="00A87620"/>
    <w:rsid w:val="00A90406"/>
    <w:rsid w:val="00AA14C6"/>
    <w:rsid w:val="00AA74B8"/>
    <w:rsid w:val="00AA7B20"/>
    <w:rsid w:val="00AB10C1"/>
    <w:rsid w:val="00AB137B"/>
    <w:rsid w:val="00AB3A19"/>
    <w:rsid w:val="00AB4D65"/>
    <w:rsid w:val="00AB62F1"/>
    <w:rsid w:val="00AB695B"/>
    <w:rsid w:val="00AC1195"/>
    <w:rsid w:val="00AC384A"/>
    <w:rsid w:val="00AD19DF"/>
    <w:rsid w:val="00AD3584"/>
    <w:rsid w:val="00AD470B"/>
    <w:rsid w:val="00AE2642"/>
    <w:rsid w:val="00AE2BBA"/>
    <w:rsid w:val="00AE3EFB"/>
    <w:rsid w:val="00AE6295"/>
    <w:rsid w:val="00AE745D"/>
    <w:rsid w:val="00B0365A"/>
    <w:rsid w:val="00B0703E"/>
    <w:rsid w:val="00B10CE7"/>
    <w:rsid w:val="00B30054"/>
    <w:rsid w:val="00B334C7"/>
    <w:rsid w:val="00B3523C"/>
    <w:rsid w:val="00B46B1D"/>
    <w:rsid w:val="00B612D5"/>
    <w:rsid w:val="00B753A2"/>
    <w:rsid w:val="00B82357"/>
    <w:rsid w:val="00B8511F"/>
    <w:rsid w:val="00B90640"/>
    <w:rsid w:val="00B90B47"/>
    <w:rsid w:val="00B9228B"/>
    <w:rsid w:val="00B9303C"/>
    <w:rsid w:val="00B93824"/>
    <w:rsid w:val="00BB2180"/>
    <w:rsid w:val="00BB5573"/>
    <w:rsid w:val="00BC69C2"/>
    <w:rsid w:val="00BC706D"/>
    <w:rsid w:val="00BD463F"/>
    <w:rsid w:val="00BE3A33"/>
    <w:rsid w:val="00BE56B7"/>
    <w:rsid w:val="00BF2F1E"/>
    <w:rsid w:val="00BF3255"/>
    <w:rsid w:val="00C042BD"/>
    <w:rsid w:val="00C067BB"/>
    <w:rsid w:val="00C11333"/>
    <w:rsid w:val="00C1261B"/>
    <w:rsid w:val="00C12C0B"/>
    <w:rsid w:val="00C13571"/>
    <w:rsid w:val="00C15AAC"/>
    <w:rsid w:val="00C21BF4"/>
    <w:rsid w:val="00C25FA6"/>
    <w:rsid w:val="00C27B95"/>
    <w:rsid w:val="00C30097"/>
    <w:rsid w:val="00C328DE"/>
    <w:rsid w:val="00C32D88"/>
    <w:rsid w:val="00C35332"/>
    <w:rsid w:val="00C353F9"/>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347D"/>
    <w:rsid w:val="00CE5FEE"/>
    <w:rsid w:val="00D01650"/>
    <w:rsid w:val="00D0464B"/>
    <w:rsid w:val="00D06DD6"/>
    <w:rsid w:val="00D13974"/>
    <w:rsid w:val="00D13D50"/>
    <w:rsid w:val="00D1698C"/>
    <w:rsid w:val="00D16F68"/>
    <w:rsid w:val="00D244C2"/>
    <w:rsid w:val="00D345A2"/>
    <w:rsid w:val="00D37ADB"/>
    <w:rsid w:val="00D4436A"/>
    <w:rsid w:val="00D461C5"/>
    <w:rsid w:val="00D468A2"/>
    <w:rsid w:val="00D5235C"/>
    <w:rsid w:val="00D548C3"/>
    <w:rsid w:val="00D56AEB"/>
    <w:rsid w:val="00D56DF2"/>
    <w:rsid w:val="00D6364B"/>
    <w:rsid w:val="00D711E4"/>
    <w:rsid w:val="00D77061"/>
    <w:rsid w:val="00D864CA"/>
    <w:rsid w:val="00D8656A"/>
    <w:rsid w:val="00D93480"/>
    <w:rsid w:val="00DA05F4"/>
    <w:rsid w:val="00DA3C03"/>
    <w:rsid w:val="00DB0147"/>
    <w:rsid w:val="00DB39CA"/>
    <w:rsid w:val="00DB6AB3"/>
    <w:rsid w:val="00DC1B06"/>
    <w:rsid w:val="00DC26F4"/>
    <w:rsid w:val="00DD1AF4"/>
    <w:rsid w:val="00DD1FCA"/>
    <w:rsid w:val="00DE5981"/>
    <w:rsid w:val="00DF0C95"/>
    <w:rsid w:val="00DF1831"/>
    <w:rsid w:val="00DF6657"/>
    <w:rsid w:val="00E147D4"/>
    <w:rsid w:val="00E152A7"/>
    <w:rsid w:val="00E21DAA"/>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449D"/>
    <w:rsid w:val="00F150A3"/>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14:docId w14:val="64F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814F4"/>
    <w:rPr>
      <w:rFonts w:ascii="Arial" w:eastAsia="Arial" w:hAnsi="Arial" w:cs="Arial"/>
      <w:sz w:val="18"/>
      <w:szCs w:val="18"/>
      <w:shd w:val="clear" w:color="auto" w:fill="FFFFFF"/>
    </w:rPr>
  </w:style>
  <w:style w:type="paragraph" w:customStyle="1" w:styleId="Bodytext20">
    <w:name w:val="Body text (2)"/>
    <w:basedOn w:val="Normln"/>
    <w:link w:val="Bodytext2"/>
    <w:rsid w:val="007814F4"/>
    <w:pPr>
      <w:widowControl w:val="0"/>
      <w:shd w:val="clear" w:color="auto" w:fill="FFFFFF"/>
      <w:spacing w:before="180" w:after="180" w:line="221" w:lineRule="exact"/>
      <w:jc w:val="both"/>
    </w:pPr>
    <w:rPr>
      <w:rFonts w:ascii="Arial" w:eastAsia="Arial" w:hAnsi="Arial" w:cs="Arial"/>
      <w:sz w:val="18"/>
      <w:szCs w:val="18"/>
    </w:rPr>
  </w:style>
  <w:style w:type="paragraph" w:styleId="Revize">
    <w:name w:val="Revision"/>
    <w:hidden/>
    <w:uiPriority w:val="99"/>
    <w:semiHidden/>
    <w:rsid w:val="00D0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59792836">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60DF-B48C-4441-9EB5-3C6B8035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3116</Words>
  <Characters>18043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21117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KRAUSOVA Lenka</cp:lastModifiedBy>
  <cp:revision>3</cp:revision>
  <cp:lastPrinted>2017-07-20T11:23:00Z</cp:lastPrinted>
  <dcterms:created xsi:type="dcterms:W3CDTF">2017-08-04T05:34:00Z</dcterms:created>
  <dcterms:modified xsi:type="dcterms:W3CDTF">2017-08-04T05:46:00Z</dcterms:modified>
</cp:coreProperties>
</file>