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81" w:rsidRDefault="0038053D">
      <w:pPr>
        <w:pStyle w:val="Zkladntext40"/>
      </w:pPr>
      <w:r>
        <w:rPr>
          <w:rStyle w:val="Zkladntext4"/>
          <w:b/>
          <w:bCs/>
        </w:rPr>
        <w:t>Dodatek č. 1 k darovací smlouvě</w:t>
      </w:r>
    </w:p>
    <w:p w:rsidR="00786981" w:rsidRDefault="0038053D">
      <w:pPr>
        <w:pStyle w:val="Zkladntext1"/>
        <w:spacing w:after="540" w:line="259" w:lineRule="auto"/>
        <w:jc w:val="center"/>
      </w:pPr>
      <w:r>
        <w:rPr>
          <w:rStyle w:val="Zkladntext"/>
        </w:rPr>
        <w:t xml:space="preserve">uzavřené smluvními stranami dne </w:t>
      </w:r>
      <w:proofErr w:type="gramStart"/>
      <w:r>
        <w:rPr>
          <w:rStyle w:val="Zkladntext"/>
        </w:rPr>
        <w:t>23.04.2024</w:t>
      </w:r>
      <w:proofErr w:type="gramEnd"/>
    </w:p>
    <w:p w:rsidR="00786981" w:rsidRDefault="0038053D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Vyšší odborná škola ekonomická, sociální a zdravotnická, Obchodní akademie, Střední pedagogická škola a Střední zdravotnická škola, Most, příspěvková organizace</w:t>
      </w:r>
      <w:bookmarkEnd w:id="0"/>
    </w:p>
    <w:p w:rsidR="00786981" w:rsidRDefault="0038053D">
      <w:pPr>
        <w:pStyle w:val="Zkladntext1"/>
      </w:pPr>
      <w:r>
        <w:rPr>
          <w:rStyle w:val="Zkladntext"/>
        </w:rPr>
        <w:t xml:space="preserve">se sídlem: Zdeňka </w:t>
      </w:r>
      <w:r>
        <w:rPr>
          <w:rStyle w:val="Zkladntext"/>
        </w:rPr>
        <w:t>Fibicha 2778/20, 434 01 Most</w:t>
      </w:r>
    </w:p>
    <w:p w:rsidR="00786981" w:rsidRDefault="0038053D">
      <w:pPr>
        <w:pStyle w:val="Zkladntext1"/>
      </w:pPr>
      <w:r>
        <w:rPr>
          <w:rStyle w:val="Zkladntext"/>
        </w:rPr>
        <w:t>IČ:49872427</w:t>
      </w:r>
    </w:p>
    <w:p w:rsidR="00786981" w:rsidRDefault="0038053D">
      <w:pPr>
        <w:pStyle w:val="Zkladntext1"/>
        <w:tabs>
          <w:tab w:val="left" w:leader="hyphen" w:pos="1320"/>
        </w:tabs>
      </w:pPr>
      <w:r>
        <w:rPr>
          <w:rStyle w:val="Zkladntext"/>
        </w:rPr>
        <w:t>DIČ:</w:t>
      </w:r>
      <w:r>
        <w:rPr>
          <w:rStyle w:val="Zkladntext"/>
        </w:rPr>
        <w:tab/>
      </w:r>
    </w:p>
    <w:p w:rsidR="00786981" w:rsidRDefault="0038053D">
      <w:pPr>
        <w:pStyle w:val="Zkladntext1"/>
        <w:spacing w:after="260"/>
      </w:pPr>
      <w:r>
        <w:rPr>
          <w:rStyle w:val="Zkladntext"/>
        </w:rPr>
        <w:t xml:space="preserve">bankovní spojení: Komerční banky, č. účtu: </w:t>
      </w:r>
      <w:proofErr w:type="spellStart"/>
      <w:r w:rsidR="00FD5239">
        <w:rPr>
          <w:rStyle w:val="Zkladntext"/>
        </w:rPr>
        <w:t>xxxxxxxxxxxxxxx</w:t>
      </w:r>
      <w:proofErr w:type="spellEnd"/>
      <w:r w:rsidR="00FD5239">
        <w:rPr>
          <w:rStyle w:val="Zkladntext"/>
        </w:rPr>
        <w:t xml:space="preserve"> </w:t>
      </w:r>
      <w:r>
        <w:rPr>
          <w:rStyle w:val="Zkladntext"/>
        </w:rPr>
        <w:t>zastoupená: Ing. Jitkou Haškovou, ředitelkou školy (dále jako „obdarovaný“)</w:t>
      </w:r>
    </w:p>
    <w:p w:rsidR="00786981" w:rsidRDefault="0038053D">
      <w:pPr>
        <w:pStyle w:val="Zkladntext1"/>
        <w:spacing w:after="260"/>
      </w:pPr>
      <w:r>
        <w:rPr>
          <w:rStyle w:val="Zkladntext"/>
        </w:rPr>
        <w:t>a</w:t>
      </w:r>
    </w:p>
    <w:p w:rsidR="00786981" w:rsidRDefault="0038053D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Krajská zdravotní, a.s.</w:t>
      </w:r>
      <w:bookmarkEnd w:id="1"/>
    </w:p>
    <w:p w:rsidR="00786981" w:rsidRDefault="0038053D">
      <w:pPr>
        <w:pStyle w:val="Zkladntext1"/>
      </w:pPr>
      <w:r>
        <w:rPr>
          <w:rStyle w:val="Zkladntext"/>
        </w:rPr>
        <w:t>se sídlem: Sociální péče 3316/12A, 401 13 Ústí n</w:t>
      </w:r>
      <w:r>
        <w:rPr>
          <w:rStyle w:val="Zkladntext"/>
        </w:rPr>
        <w:t>ad Labem</w:t>
      </w:r>
    </w:p>
    <w:p w:rsidR="00786981" w:rsidRDefault="0038053D">
      <w:pPr>
        <w:pStyle w:val="Zkladntext1"/>
      </w:pPr>
      <w:r>
        <w:rPr>
          <w:rStyle w:val="Zkladntext"/>
        </w:rPr>
        <w:t>IČ:25488627</w:t>
      </w:r>
    </w:p>
    <w:p w:rsidR="00786981" w:rsidRDefault="0038053D">
      <w:pPr>
        <w:pStyle w:val="Zkladntext1"/>
      </w:pPr>
      <w:r>
        <w:rPr>
          <w:rStyle w:val="Zkladntext"/>
        </w:rPr>
        <w:t>DIČ: CZ25488627</w:t>
      </w:r>
    </w:p>
    <w:p w:rsidR="00786981" w:rsidRDefault="0038053D">
      <w:pPr>
        <w:pStyle w:val="Zkladntext1"/>
      </w:pPr>
      <w:r>
        <w:rPr>
          <w:rStyle w:val="Zkladntext"/>
        </w:rPr>
        <w:t xml:space="preserve">zapsaná v obchodním rejstříku vedeném Krajským soudem v Ústí nad Labem, oddíl B, vložka 1550 bankovní spojení: ČSOB, a.s., č. účtu: </w:t>
      </w:r>
      <w:proofErr w:type="spellStart"/>
      <w:r w:rsidR="00FD5239">
        <w:rPr>
          <w:rStyle w:val="Zkladntext"/>
        </w:rPr>
        <w:t>xxxxxxxxxxxxxxxxx</w:t>
      </w:r>
      <w:proofErr w:type="spellEnd"/>
    </w:p>
    <w:p w:rsidR="00786981" w:rsidRDefault="0038053D">
      <w:pPr>
        <w:pStyle w:val="Zkladntext1"/>
        <w:spacing w:after="540"/>
      </w:pPr>
      <w:r>
        <w:rPr>
          <w:rStyle w:val="Zkladntext"/>
        </w:rPr>
        <w:t>zastoupená: MUDr. Jiřím Laštůvkou, zmocněným k výkonu funkce generálního</w:t>
      </w:r>
      <w:r>
        <w:rPr>
          <w:rStyle w:val="Zkladntext"/>
        </w:rPr>
        <w:t xml:space="preserve"> ředitele (dále jako „dárce“)</w:t>
      </w:r>
    </w:p>
    <w:p w:rsidR="00786981" w:rsidRDefault="00786981">
      <w:pPr>
        <w:pStyle w:val="Nadpis20"/>
        <w:keepNext/>
        <w:keepLines/>
        <w:numPr>
          <w:ilvl w:val="0"/>
          <w:numId w:val="1"/>
        </w:numPr>
        <w:jc w:val="center"/>
      </w:pPr>
      <w:bookmarkStart w:id="2" w:name="bookmark4"/>
      <w:bookmarkEnd w:id="2"/>
    </w:p>
    <w:p w:rsidR="00786981" w:rsidRDefault="0038053D">
      <w:pPr>
        <w:pStyle w:val="Zkladntext1"/>
        <w:spacing w:after="260"/>
        <w:jc w:val="both"/>
      </w:pPr>
      <w:r>
        <w:rPr>
          <w:rStyle w:val="Zkladntext"/>
        </w:rPr>
        <w:t>Smluvní strany uzavřely dne 23. 4. 2024 darovací smlouvu, jejímž předmětem je poskytnutí finančního daru k naplňování účelu, pro který je obdarovaný založen, a to zejména k podpoře vzdělávání nelékařských zdravotnických praco</w:t>
      </w:r>
      <w:r>
        <w:rPr>
          <w:rStyle w:val="Zkladntext"/>
        </w:rPr>
        <w:t>vníků v oboru praktická sestra, všeobecná sestra a dětská sestra.</w:t>
      </w:r>
    </w:p>
    <w:p w:rsidR="00786981" w:rsidRDefault="0038053D">
      <w:pPr>
        <w:pStyle w:val="Zkladntext1"/>
        <w:numPr>
          <w:ilvl w:val="0"/>
          <w:numId w:val="2"/>
        </w:numPr>
        <w:tabs>
          <w:tab w:val="left" w:pos="413"/>
        </w:tabs>
        <w:spacing w:after="260"/>
        <w:ind w:left="440" w:hanging="440"/>
      </w:pPr>
      <w:r>
        <w:rPr>
          <w:rStyle w:val="Zkladntext"/>
        </w:rPr>
        <w:t xml:space="preserve">Smluvní strany se dnešního dne dohodly na změně darovací smlouvy formou tohoto dodatku </w:t>
      </w:r>
      <w:proofErr w:type="gramStart"/>
      <w:r>
        <w:rPr>
          <w:rStyle w:val="Zkladntext"/>
        </w:rPr>
        <w:t>č.1 k darovací</w:t>
      </w:r>
      <w:proofErr w:type="gramEnd"/>
      <w:r>
        <w:rPr>
          <w:rStyle w:val="Zkladntext"/>
        </w:rPr>
        <w:t xml:space="preserve"> smlouvě.</w:t>
      </w:r>
    </w:p>
    <w:p w:rsidR="00786981" w:rsidRDefault="0038053D">
      <w:pPr>
        <w:pStyle w:val="Zkladntext1"/>
        <w:numPr>
          <w:ilvl w:val="0"/>
          <w:numId w:val="2"/>
        </w:numPr>
        <w:tabs>
          <w:tab w:val="left" w:pos="413"/>
        </w:tabs>
        <w:ind w:left="440" w:hanging="440"/>
      </w:pPr>
      <w:r>
        <w:rPr>
          <w:rStyle w:val="Zkladntext"/>
        </w:rPr>
        <w:t>Tímto dodatkem se mění darovací smlouva tak, že stávající článek I darovací sml</w:t>
      </w:r>
      <w:r>
        <w:rPr>
          <w:rStyle w:val="Zkladntext"/>
        </w:rPr>
        <w:t>ouvy se doplňuje novým odst. 2, který zní:</w:t>
      </w:r>
    </w:p>
    <w:p w:rsidR="00786981" w:rsidRDefault="0038053D">
      <w:pPr>
        <w:pStyle w:val="Zkladntext1"/>
        <w:spacing w:after="260"/>
        <w:ind w:left="380"/>
        <w:jc w:val="both"/>
      </w:pPr>
      <w:r>
        <w:rPr>
          <w:rStyle w:val="Zkladntext"/>
          <w:i/>
          <w:iCs/>
        </w:rPr>
        <w:t xml:space="preserve">Obdarovaný se zavazuje" poskytnutý finanční dar použít na podporu (motivaci) žáků obdarovaného za výkon souvislé odborné praxe v rámci studijního programu ve 3. a 4. ročníku oboru praktická sestra / v 1 až 3 </w:t>
      </w:r>
      <w:r>
        <w:rPr>
          <w:rStyle w:val="Zkladntext"/>
          <w:i/>
          <w:iCs/>
        </w:rPr>
        <w:t>ročníku oboru všeobecná sestra, dětská sestra. Obdarovaný může poskytnout žákovi obdarovaného částku ve výši 500 Kč za týden odborné praxe, bude-li žák hodnocen známkou za odbornou praxi „výborně“ a bude mít splněnou min. 80 % docházku na odbornou praxi. O</w:t>
      </w:r>
      <w:r>
        <w:rPr>
          <w:rStyle w:val="Zkladntext"/>
          <w:i/>
          <w:iCs/>
        </w:rPr>
        <w:t>bdarovaný je oprávněn poskytnout jednomu žákovi obdarovaného za absolvovanou odbornou praxi v rámci jednoho školního roku ve studijním programu praktická sestra maximální částku 2 000 Kč / ve studijním programu všeobecná sestra, dětská sestra maximální čás</w:t>
      </w:r>
      <w:r>
        <w:rPr>
          <w:rStyle w:val="Zkladntext"/>
          <w:i/>
          <w:iCs/>
        </w:rPr>
        <w:t>tku 9 000 Kč. Maximální výše daru pro školní rok 2023/2024 je 334 000 Kč, pro školní rok 2024/2024 je 141 500 Kč.</w:t>
      </w:r>
    </w:p>
    <w:p w:rsidR="00786981" w:rsidRDefault="00786981">
      <w:pPr>
        <w:pStyle w:val="Nadpis20"/>
        <w:keepNext/>
        <w:keepLines/>
        <w:numPr>
          <w:ilvl w:val="0"/>
          <w:numId w:val="1"/>
        </w:numPr>
        <w:jc w:val="center"/>
      </w:pPr>
      <w:bookmarkStart w:id="3" w:name="bookmark6"/>
      <w:bookmarkEnd w:id="3"/>
    </w:p>
    <w:p w:rsidR="00786981" w:rsidRDefault="0038053D">
      <w:pPr>
        <w:pStyle w:val="Zkladntext1"/>
        <w:numPr>
          <w:ilvl w:val="0"/>
          <w:numId w:val="3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případě, že se na darovací smlouvu, která je měněna tímto dodatkem, vztahuje povinnost jejího uveřejnění prostřednictvím registru smluv jak</w:t>
      </w:r>
      <w:r>
        <w:rPr>
          <w:rStyle w:val="Zkladntext"/>
        </w:rPr>
        <w:t>o podmínka nabytí její účinnosti, nabývá tento dodatek účinnosti nejdříve dnem jeho uveřejnění prostřednictvím registru smluv. Jinak nabývá tento dodatek účinnosti dnem jeho podpisu oběma smluvními stranami.</w:t>
      </w:r>
    </w:p>
    <w:p w:rsidR="00786981" w:rsidRDefault="0038053D">
      <w:pPr>
        <w:pStyle w:val="Zkladntext1"/>
        <w:numPr>
          <w:ilvl w:val="0"/>
          <w:numId w:val="3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Pro případ, že se na tento dodatek vztahuje povi</w:t>
      </w:r>
      <w:r>
        <w:rPr>
          <w:rStyle w:val="Zkladntext"/>
        </w:rPr>
        <w:t>nnost uveřejnit ho prostřednictvím registru smluv, smluvní strany shodně prohlašují, že žádné ustanovení tohoto dodatku (včetně přílohy), nepředstavuje obchodní tajemství žádné smluvní strany podle § 504 zákona č. 89/2012 Sb.,</w:t>
      </w:r>
      <w:r>
        <w:br w:type="page"/>
      </w:r>
    </w:p>
    <w:p w:rsidR="00786981" w:rsidRDefault="0038053D">
      <w:pPr>
        <w:pStyle w:val="Zkladntext1"/>
        <w:ind w:left="420" w:firstLine="20"/>
        <w:jc w:val="both"/>
      </w:pPr>
      <w:r>
        <w:rPr>
          <w:rStyle w:val="Zkladntext"/>
        </w:rPr>
        <w:lastRenderedPageBreak/>
        <w:t>občanský zákoník, a ani důvě</w:t>
      </w:r>
      <w:r>
        <w:rPr>
          <w:rStyle w:val="Zkladntext"/>
        </w:rPr>
        <w:t xml:space="preserve">rné informace, a souhlasí </w:t>
      </w:r>
      <w:proofErr w:type="spellStart"/>
      <w:r>
        <w:rPr>
          <w:rStyle w:val="Zkladntext"/>
        </w:rPr>
        <w:t>sjeho</w:t>
      </w:r>
      <w:proofErr w:type="spellEnd"/>
      <w:r>
        <w:rPr>
          <w:rStyle w:val="Zkladntext"/>
        </w:rPr>
        <w:t xml:space="preserve"> uveřejněním v plném rozsahu. Dále se smluvní strany pro tento případ dohodly, že elektronický obraz tohoto dodatku a </w:t>
      </w:r>
      <w:proofErr w:type="spellStart"/>
      <w:r>
        <w:rPr>
          <w:rStyle w:val="Zkladntext"/>
        </w:rPr>
        <w:t>metadata</w:t>
      </w:r>
      <w:proofErr w:type="spellEnd"/>
      <w:r>
        <w:rPr>
          <w:rStyle w:val="Zkladntext"/>
        </w:rPr>
        <w:t xml:space="preserve"> vyžadovaná zákonem o registru smluv zašle správci registru smluv Krajská zdravotní, a s., ve lhůtě</w:t>
      </w:r>
      <w:r>
        <w:rPr>
          <w:rStyle w:val="Zkladntext"/>
        </w:rPr>
        <w:t xml:space="preserve"> 14 dní ode dne jeho uzavření. V případě, že tento dodatek nebude uveřejněn prostřednictvím registru smluv v 15. den ode dne jeho uzavření, předá elektronický obraz dodatku a </w:t>
      </w:r>
      <w:proofErr w:type="spellStart"/>
      <w:r>
        <w:rPr>
          <w:rStyle w:val="Zkladntext"/>
        </w:rPr>
        <w:t>metadata</w:t>
      </w:r>
      <w:proofErr w:type="spellEnd"/>
      <w:r>
        <w:rPr>
          <w:rStyle w:val="Zkladntext"/>
        </w:rPr>
        <w:t xml:space="preserve"> druhá smluvní strana tak, aby byl dodatek poskytnut správci registru sml</w:t>
      </w:r>
      <w:r>
        <w:rPr>
          <w:rStyle w:val="Zkladntext"/>
        </w:rPr>
        <w:t>uv v souladu se zákonem o registru smluv. Plnění předmětu tohoto dodatku před jeho účinností se považuje za plnění podle dodatku a práva a povinnosti z něho vzniklé se řídí tímto dodatkem.</w:t>
      </w:r>
    </w:p>
    <w:p w:rsidR="00786981" w:rsidRDefault="0038053D">
      <w:pPr>
        <w:pStyle w:val="Zkladntext1"/>
        <w:numPr>
          <w:ilvl w:val="0"/>
          <w:numId w:val="3"/>
        </w:numPr>
        <w:tabs>
          <w:tab w:val="left" w:pos="406"/>
        </w:tabs>
      </w:pPr>
      <w:r>
        <w:rPr>
          <w:rStyle w:val="Zkladntext"/>
        </w:rPr>
        <w:t>V ostatních ustanoveních výslovně nedotčených tímto dodatkem zůstáv</w:t>
      </w:r>
      <w:r>
        <w:rPr>
          <w:rStyle w:val="Zkladntext"/>
        </w:rPr>
        <w:t>á Smlouva beze změn.</w:t>
      </w:r>
    </w:p>
    <w:p w:rsidR="00786981" w:rsidRDefault="0038053D">
      <w:pPr>
        <w:pStyle w:val="Zkladntext1"/>
        <w:numPr>
          <w:ilvl w:val="0"/>
          <w:numId w:val="3"/>
        </w:numPr>
        <w:tabs>
          <w:tab w:val="left" w:pos="406"/>
        </w:tabs>
      </w:pPr>
      <w:r>
        <w:rPr>
          <w:rStyle w:val="Zkladntext"/>
        </w:rPr>
        <w:t xml:space="preserve">Tento dodatek je sepsán ve dvou stejnopisech s platností originálu, po jednom pro každou </w:t>
      </w:r>
      <w:proofErr w:type="gramStart"/>
      <w:r>
        <w:rPr>
          <w:rStyle w:val="Zkladntext"/>
        </w:rPr>
        <w:t>ze</w:t>
      </w:r>
      <w:proofErr w:type="gramEnd"/>
    </w:p>
    <w:p w:rsidR="00786981" w:rsidRDefault="0038053D">
      <w:pPr>
        <w:pStyle w:val="Zkladntext1"/>
        <w:ind w:firstLine="420"/>
        <w:jc w:val="both"/>
      </w:pPr>
      <w:r>
        <w:rPr>
          <w:rStyle w:val="Zkladntext"/>
        </w:rPr>
        <w:t>smluvních stran.</w:t>
      </w:r>
    </w:p>
    <w:p w:rsidR="00786981" w:rsidRDefault="0038053D">
      <w:pPr>
        <w:pStyle w:val="Zkladntext1"/>
        <w:numPr>
          <w:ilvl w:val="0"/>
          <w:numId w:val="3"/>
        </w:numPr>
        <w:tabs>
          <w:tab w:val="left" w:pos="406"/>
        </w:tabs>
        <w:ind w:left="420" w:hanging="420"/>
        <w:jc w:val="both"/>
        <w:sectPr w:rsidR="00786981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042" w:right="1321" w:bottom="1106" w:left="1330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Smluvní </w:t>
      </w:r>
      <w:r>
        <w:rPr>
          <w:rStyle w:val="Zkladntext"/>
        </w:rPr>
        <w:t xml:space="preserve">strany prohlašují, že tento dodatek přečetly, </w:t>
      </w:r>
      <w:proofErr w:type="spellStart"/>
      <w:r>
        <w:rPr>
          <w:rStyle w:val="Zkladntext"/>
        </w:rPr>
        <w:t>sjeho</w:t>
      </w:r>
      <w:proofErr w:type="spellEnd"/>
      <w:r>
        <w:rPr>
          <w:rStyle w:val="Zkladntext"/>
        </w:rPr>
        <w:t xml:space="preserve"> obsahem souhlasí, což stvrzují vlastnoručními podpisy osob oprávněných za ně jednat.</w:t>
      </w:r>
    </w:p>
    <w:p w:rsidR="00786981" w:rsidRDefault="00786981">
      <w:pPr>
        <w:spacing w:line="240" w:lineRule="exact"/>
        <w:rPr>
          <w:sz w:val="19"/>
          <w:szCs w:val="19"/>
        </w:rPr>
      </w:pPr>
    </w:p>
    <w:p w:rsidR="00786981" w:rsidRDefault="00786981">
      <w:pPr>
        <w:spacing w:line="240" w:lineRule="exact"/>
        <w:rPr>
          <w:sz w:val="19"/>
          <w:szCs w:val="19"/>
        </w:rPr>
      </w:pPr>
    </w:p>
    <w:p w:rsidR="00786981" w:rsidRDefault="00786981">
      <w:pPr>
        <w:spacing w:line="240" w:lineRule="exact"/>
        <w:rPr>
          <w:sz w:val="19"/>
          <w:szCs w:val="19"/>
        </w:rPr>
      </w:pPr>
    </w:p>
    <w:p w:rsidR="00786981" w:rsidRDefault="00786981">
      <w:pPr>
        <w:spacing w:line="240" w:lineRule="exact"/>
        <w:rPr>
          <w:sz w:val="19"/>
          <w:szCs w:val="19"/>
        </w:rPr>
      </w:pPr>
    </w:p>
    <w:p w:rsidR="00786981" w:rsidRDefault="00786981">
      <w:pPr>
        <w:spacing w:line="240" w:lineRule="exact"/>
        <w:rPr>
          <w:sz w:val="19"/>
          <w:szCs w:val="19"/>
        </w:rPr>
      </w:pPr>
    </w:p>
    <w:p w:rsidR="00786981" w:rsidRDefault="00786981">
      <w:pPr>
        <w:spacing w:before="39" w:after="39" w:line="240" w:lineRule="exact"/>
        <w:rPr>
          <w:sz w:val="19"/>
          <w:szCs w:val="19"/>
        </w:rPr>
      </w:pPr>
    </w:p>
    <w:p w:rsidR="00786981" w:rsidRDefault="00786981">
      <w:pPr>
        <w:spacing w:line="1" w:lineRule="exact"/>
        <w:sectPr w:rsidR="00786981">
          <w:type w:val="continuous"/>
          <w:pgSz w:w="11900" w:h="16840"/>
          <w:pgMar w:top="927" w:right="0" w:bottom="849" w:left="0" w:header="0" w:footer="3" w:gutter="0"/>
          <w:cols w:space="720"/>
          <w:noEndnote/>
          <w:docGrid w:linePitch="360"/>
        </w:sectPr>
      </w:pPr>
    </w:p>
    <w:p w:rsidR="00786981" w:rsidRDefault="0038053D">
      <w:pPr>
        <w:pStyle w:val="Zkladntext1"/>
        <w:framePr w:w="2126" w:h="274" w:wrap="none" w:vAnchor="text" w:hAnchor="page" w:x="1352" w:y="21"/>
        <w:spacing w:line="240" w:lineRule="auto"/>
      </w:pPr>
      <w:r>
        <w:rPr>
          <w:rStyle w:val="Zkladntext"/>
        </w:rPr>
        <w:t>V Ústí nad Labem, dne</w:t>
      </w:r>
    </w:p>
    <w:p w:rsidR="00786981" w:rsidRDefault="0038053D">
      <w:pPr>
        <w:pStyle w:val="Zkladntext50"/>
        <w:framePr w:w="1210" w:h="302" w:wrap="none" w:vAnchor="text" w:hAnchor="page" w:x="3906" w:y="212"/>
      </w:pPr>
      <w:r>
        <w:rPr>
          <w:rStyle w:val="Zkladntext5"/>
        </w:rPr>
        <w:t>1 4 -01- 2025</w:t>
      </w:r>
    </w:p>
    <w:p w:rsidR="00786981" w:rsidRDefault="0038053D">
      <w:pPr>
        <w:pStyle w:val="Zkladntext1"/>
        <w:framePr w:w="1238" w:h="250" w:wrap="none" w:vAnchor="text" w:hAnchor="page" w:x="6349" w:y="25"/>
        <w:spacing w:line="240" w:lineRule="auto"/>
      </w:pPr>
      <w:r>
        <w:rPr>
          <w:rStyle w:val="Zkladntext"/>
        </w:rPr>
        <w:t>V Mostě, dne</w:t>
      </w:r>
    </w:p>
    <w:p w:rsidR="00786981" w:rsidRDefault="0038053D">
      <w:pPr>
        <w:pStyle w:val="Titulekobrzku0"/>
        <w:framePr w:w="4315" w:h="259" w:wrap="none" w:vAnchor="text" w:hAnchor="page" w:x="1362" w:y="2953"/>
      </w:pPr>
      <w:r>
        <w:rPr>
          <w:rStyle w:val="Titulekobrzku"/>
        </w:rPr>
        <w:t>zmocněný k výkonu funkce generálního ře</w:t>
      </w:r>
      <w:r>
        <w:rPr>
          <w:rStyle w:val="Titulekobrzku"/>
        </w:rPr>
        <w:t>ditele</w:t>
      </w:r>
    </w:p>
    <w:p w:rsidR="00786981" w:rsidRDefault="00786981">
      <w:pPr>
        <w:pStyle w:val="Zkladntext20"/>
        <w:framePr w:w="1819" w:h="658" w:wrap="none" w:vAnchor="text" w:hAnchor="page" w:x="8533" w:y="1873"/>
      </w:pPr>
    </w:p>
    <w:p w:rsidR="00786981" w:rsidRDefault="0038053D">
      <w:pPr>
        <w:pStyle w:val="Zkladntext1"/>
        <w:framePr w:w="1680" w:h="552" w:wrap="none" w:vAnchor="text" w:hAnchor="page" w:x="7631" w:y="2689"/>
        <w:jc w:val="center"/>
      </w:pPr>
      <w:r>
        <w:rPr>
          <w:rStyle w:val="Zkladntext"/>
        </w:rPr>
        <w:t>Ing. Jitka Hašková</w:t>
      </w:r>
      <w:r>
        <w:rPr>
          <w:rStyle w:val="Zkladntext"/>
        </w:rPr>
        <w:br/>
        <w:t>ředitel školy</w:t>
      </w: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  <w:bookmarkStart w:id="4" w:name="_GoBack"/>
      <w:bookmarkEnd w:id="4"/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line="360" w:lineRule="exact"/>
      </w:pPr>
    </w:p>
    <w:p w:rsidR="00786981" w:rsidRDefault="00786981">
      <w:pPr>
        <w:spacing w:after="652" w:line="1" w:lineRule="exact"/>
      </w:pPr>
    </w:p>
    <w:p w:rsidR="00786981" w:rsidRDefault="00786981">
      <w:pPr>
        <w:spacing w:line="1" w:lineRule="exact"/>
      </w:pPr>
    </w:p>
    <w:sectPr w:rsidR="00786981">
      <w:type w:val="continuous"/>
      <w:pgSz w:w="11900" w:h="16840"/>
      <w:pgMar w:top="927" w:right="1352" w:bottom="84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3D" w:rsidRDefault="0038053D">
      <w:r>
        <w:separator/>
      </w:r>
    </w:p>
  </w:endnote>
  <w:endnote w:type="continuationSeparator" w:id="0">
    <w:p w:rsidR="0038053D" w:rsidRDefault="003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81" w:rsidRDefault="003805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2970530</wp:posOffset>
              </wp:positionH>
              <wp:positionV relativeFrom="page">
                <wp:posOffset>10213975</wp:posOffset>
              </wp:positionV>
              <wp:extent cx="2054225" cy="1981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225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tabs>
                              <w:tab w:val="right" w:pos="1848"/>
                              <w:tab w:val="right" w:pos="322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Uvolnil: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Schválil: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Distribuce:</w:t>
                          </w:r>
                        </w:p>
                        <w:p w:rsidR="00786981" w:rsidRDefault="0038053D">
                          <w:pPr>
                            <w:pStyle w:val="Zhlavnebozpat20"/>
                            <w:tabs>
                              <w:tab w:val="right" w:pos="1661"/>
                              <w:tab w:val="right" w:pos="303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VKK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GR KZ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Intranet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3.90000000000001pt;margin-top:804.25pt;width:161.75pt;height:15.6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848" w:val="right"/>
                        <w:tab w:pos="32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Uvolnil:</w:t>
                      <w:tab/>
                      <w:t>Schválil:</w:t>
                      <w:tab/>
                      <w:t>Distribuce: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61" w:val="right"/>
                        <w:tab w:pos="3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VKK</w:t>
                      <w:tab/>
                      <w:t>GR KZ</w:t>
                      <w:tab/>
                      <w:t>Intranet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6402705</wp:posOffset>
              </wp:positionH>
              <wp:positionV relativeFrom="page">
                <wp:posOffset>10213975</wp:posOffset>
              </wp:positionV>
              <wp:extent cx="289560" cy="1981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2z2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04.15000000000003pt;margin-top:804.25pt;width:22.800000000000001pt;height:15.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Strana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2z2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10217150</wp:posOffset>
              </wp:positionV>
              <wp:extent cx="292735" cy="1917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Verze:</w:t>
                          </w:r>
                        </w:p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37.90000000000003pt;margin-top:804.5pt;width:23.050000000000001pt;height:15.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Verze: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81" w:rsidRDefault="003805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10195560</wp:posOffset>
              </wp:positionV>
              <wp:extent cx="5662930" cy="2222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293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tabs>
                              <w:tab w:val="right" w:pos="2213"/>
                              <w:tab w:val="right" w:pos="3538"/>
                              <w:tab w:val="right" w:pos="4886"/>
                              <w:tab w:val="right" w:pos="6269"/>
                              <w:tab w:val="right" w:pos="7589"/>
                              <w:tab w:val="right" w:pos="89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Účinnost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od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Garant: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Uvolnil: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Schválil: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Distribuce: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Verze: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</w:t>
                          </w:r>
                        </w:p>
                        <w:p w:rsidR="00786981" w:rsidRDefault="0038053D">
                          <w:pPr>
                            <w:pStyle w:val="Zhlavnebozpat20"/>
                            <w:tabs>
                              <w:tab w:val="right" w:pos="1949"/>
                              <w:tab w:val="right" w:pos="3283"/>
                              <w:tab w:val="right" w:pos="4622"/>
                              <w:tab w:val="right" w:pos="6010"/>
                              <w:tab w:val="right" w:pos="7325"/>
                              <w:tab w:val="right" w:pos="864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1.8.2021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NRLZ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VKK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GR KZ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Intranet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1z2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0.900000000000006pt;margin-top:802.80000000000007pt;width:445.90000000000003pt;height:17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213" w:val="right"/>
                        <w:tab w:pos="3538" w:val="right"/>
                        <w:tab w:pos="4886" w:val="right"/>
                        <w:tab w:pos="6269" w:val="right"/>
                        <w:tab w:pos="7589" w:val="right"/>
                        <w:tab w:pos="89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Účinnost od:</w:t>
                      <w:tab/>
                      <w:t>Garant:</w:t>
                      <w:tab/>
                      <w:t>Uvolnil:</w:t>
                      <w:tab/>
                      <w:t>Schválil:</w:t>
                      <w:tab/>
                      <w:t>Distribuce:</w:t>
                      <w:tab/>
                      <w:t>Verze:</w:t>
                      <w:tab/>
                      <w:t>Strana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949" w:val="right"/>
                        <w:tab w:pos="3283" w:val="right"/>
                        <w:tab w:pos="4622" w:val="right"/>
                        <w:tab w:pos="6010" w:val="right"/>
                        <w:tab w:pos="7325" w:val="right"/>
                        <w:tab w:pos="86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1.8.2021</w:t>
                      <w:tab/>
                      <w:t>NRLZ</w:t>
                      <w:tab/>
                      <w:t>VKK</w:t>
                      <w:tab/>
                      <w:t>GR KZ</w:t>
                      <w:tab/>
                      <w:t>Intranet</w:t>
                      <w:tab/>
                      <w:t>4</w:t>
                      <w:tab/>
                      <w:t>1z2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3D" w:rsidRDefault="0038053D"/>
  </w:footnote>
  <w:footnote w:type="continuationSeparator" w:id="0">
    <w:p w:rsidR="0038053D" w:rsidRDefault="00380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81" w:rsidRDefault="003805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441960</wp:posOffset>
              </wp:positionV>
              <wp:extent cx="193230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KZ12 FO0027 Dodatek ke smlouvě - vzor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9.25pt;margin-top:34.800000000000004pt;width:152.15000000000001pt;height:6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KZ12 FO0027 Dodatek ke smlouvě - vzor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81" w:rsidRDefault="003805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433070</wp:posOffset>
              </wp:positionV>
              <wp:extent cx="193230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981" w:rsidRDefault="003805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KZ12_F00027 Dodatek ke smlouvě - vzor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150000000000006pt;margin-top:34.100000000000001pt;width:152.15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>KZ12_F00027 Dodatek ke smlouvě - vzor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A75"/>
    <w:multiLevelType w:val="multilevel"/>
    <w:tmpl w:val="D646FC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2799B"/>
    <w:multiLevelType w:val="multilevel"/>
    <w:tmpl w:val="FC3AEF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2402F"/>
    <w:multiLevelType w:val="multilevel"/>
    <w:tmpl w:val="0AEE97F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1"/>
    <w:rsid w:val="0038053D"/>
    <w:rsid w:val="00786981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02D2"/>
  <w15:docId w15:val="{B79034C3-DB94-4854-A2F5-479B4AFC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pacing w:before="200" w:line="259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76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8"/>
      <w:szCs w:val="48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Beránková Jana</cp:lastModifiedBy>
  <cp:revision>2</cp:revision>
  <dcterms:created xsi:type="dcterms:W3CDTF">2025-01-29T08:23:00Z</dcterms:created>
  <dcterms:modified xsi:type="dcterms:W3CDTF">2025-01-29T08:29:00Z</dcterms:modified>
</cp:coreProperties>
</file>