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0193A" w14:textId="77777777" w:rsidR="00EF25C3" w:rsidRDefault="00EF25C3" w:rsidP="00D859C2">
      <w:pPr>
        <w:jc w:val="center"/>
        <w:rPr>
          <w:b/>
          <w:sz w:val="36"/>
          <w:szCs w:val="36"/>
        </w:rPr>
      </w:pPr>
    </w:p>
    <w:p w14:paraId="7DD4C1EC" w14:textId="77777777" w:rsidR="00EF25C3" w:rsidRDefault="00EF25C3" w:rsidP="00D859C2">
      <w:pPr>
        <w:jc w:val="center"/>
        <w:rPr>
          <w:b/>
          <w:sz w:val="36"/>
          <w:szCs w:val="36"/>
        </w:rPr>
      </w:pPr>
    </w:p>
    <w:p w14:paraId="662084AD" w14:textId="77777777" w:rsidR="00EF25C3" w:rsidRDefault="00EF25C3" w:rsidP="00D859C2">
      <w:pPr>
        <w:jc w:val="center"/>
        <w:rPr>
          <w:b/>
          <w:sz w:val="36"/>
          <w:szCs w:val="36"/>
        </w:rPr>
      </w:pPr>
    </w:p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BAE708D" w:rsidR="00D859C2" w:rsidRPr="00726B26" w:rsidRDefault="00200E03" w:rsidP="00D859C2">
      <w:pPr>
        <w:rPr>
          <w:b/>
        </w:rPr>
      </w:pPr>
      <w:r>
        <w:rPr>
          <w:b/>
        </w:rPr>
        <w:t xml:space="preserve">B. Braun </w:t>
      </w:r>
      <w:proofErr w:type="spellStart"/>
      <w:r>
        <w:rPr>
          <w:b/>
        </w:rPr>
        <w:t>Medical</w:t>
      </w:r>
      <w:proofErr w:type="spellEnd"/>
      <w:r>
        <w:rPr>
          <w:b/>
        </w:rPr>
        <w:t xml:space="preserve"> s.r.o. </w:t>
      </w:r>
    </w:p>
    <w:p w14:paraId="3DADA2B1" w14:textId="755D3C87" w:rsidR="00D859C2" w:rsidRDefault="00D859C2" w:rsidP="00D859C2">
      <w:r>
        <w:t>IČ</w:t>
      </w:r>
      <w:r w:rsidR="00200E03">
        <w:t xml:space="preserve">: 48586285 </w:t>
      </w:r>
    </w:p>
    <w:p w14:paraId="494735B8" w14:textId="038BAF61" w:rsidR="00D859C2" w:rsidRPr="00512AB9" w:rsidRDefault="00D859C2" w:rsidP="00D859C2">
      <w:r>
        <w:t xml:space="preserve">DIČ: </w:t>
      </w:r>
      <w:r w:rsidR="00200E03">
        <w:t xml:space="preserve">CZ48586285 </w:t>
      </w:r>
    </w:p>
    <w:p w14:paraId="4BE4B061" w14:textId="077EAB4E" w:rsidR="00D859C2" w:rsidRPr="00512AB9" w:rsidRDefault="00D859C2" w:rsidP="00D859C2">
      <w:r>
        <w:t>se sídlem</w:t>
      </w:r>
      <w:r w:rsidRPr="00512AB9">
        <w:t xml:space="preserve">:  </w:t>
      </w:r>
      <w:r w:rsidR="00200E03">
        <w:t xml:space="preserve">V Parku 2335/20, 148 00 Praha 4 </w:t>
      </w:r>
    </w:p>
    <w:p w14:paraId="1F4F5F98" w14:textId="10DCDF2E" w:rsidR="00D859C2" w:rsidRPr="00512AB9" w:rsidRDefault="00D859C2" w:rsidP="00D859C2">
      <w:r>
        <w:t>zastoupena</w:t>
      </w:r>
      <w:r w:rsidRPr="00512AB9">
        <w:t xml:space="preserve">: </w:t>
      </w:r>
      <w:r w:rsidR="00C10110">
        <w:t>PhDr. Daliborem Štěpánem, na základě plné moci</w:t>
      </w:r>
    </w:p>
    <w:p w14:paraId="43130257" w14:textId="193A3C0D" w:rsidR="00D859C2" w:rsidRPr="00512AB9" w:rsidRDefault="00D859C2" w:rsidP="00D859C2">
      <w:r w:rsidRPr="00512AB9">
        <w:t xml:space="preserve">bankovní spojení: </w:t>
      </w:r>
      <w:proofErr w:type="spellStart"/>
      <w:r w:rsidR="00200E03">
        <w:t>UniCredit</w:t>
      </w:r>
      <w:proofErr w:type="spellEnd"/>
      <w:r w:rsidR="00200E03">
        <w:t xml:space="preserve"> Bank Czech Republic and Slovakia, a.s. </w:t>
      </w:r>
    </w:p>
    <w:p w14:paraId="4B4D9F51" w14:textId="55F0B813" w:rsidR="00D859C2" w:rsidRPr="00512AB9" w:rsidRDefault="00D859C2" w:rsidP="00D859C2">
      <w:r w:rsidRPr="00512AB9">
        <w:t xml:space="preserve">číslo účtu: </w:t>
      </w:r>
      <w:r w:rsidR="00200E03">
        <w:t xml:space="preserve">515293009/2700 </w:t>
      </w:r>
    </w:p>
    <w:p w14:paraId="7BE5CCD9" w14:textId="37C0E879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0626EF">
        <w:t xml:space="preserve">u Městského soudu v Praze, oddíl C, vložka 17893 </w:t>
      </w:r>
      <w:r>
        <w:t xml:space="preserve"> 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0B2CA1FE" w:rsidR="00095C75" w:rsidRPr="00CF0C56" w:rsidRDefault="00095C75" w:rsidP="00A05D45">
      <w:pPr>
        <w:pStyle w:val="Odstavecsmlouvy"/>
        <w:numPr>
          <w:ilvl w:val="1"/>
          <w:numId w:val="3"/>
        </w:numPr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„</w:t>
      </w:r>
      <w:proofErr w:type="spellStart"/>
      <w:r w:rsidR="009C4BEB" w:rsidRPr="0092375D">
        <w:rPr>
          <w:rFonts w:eastAsia="Arial"/>
          <w:b/>
        </w:rPr>
        <w:t>Injektomaty</w:t>
      </w:r>
      <w:proofErr w:type="spellEnd"/>
      <w:r w:rsidR="009C4BEB" w:rsidRPr="0092375D">
        <w:rPr>
          <w:rFonts w:eastAsia="Arial"/>
          <w:b/>
        </w:rPr>
        <w:t xml:space="preserve"> pro IKK</w:t>
      </w:r>
      <w:r w:rsidR="719E714E" w:rsidRPr="38690F1A">
        <w:rPr>
          <w:rFonts w:eastAsia="Arial"/>
        </w:rPr>
        <w:t>“</w:t>
      </w:r>
      <w:r>
        <w:t xml:space="preserve"> 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77777777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9C4BEB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3C36BE59" w:rsidR="00BA5EEC" w:rsidRDefault="00BA5EEC" w:rsidP="00BA5EEC">
      <w:pPr>
        <w:pStyle w:val="Odstavecsmlouvy"/>
        <w:numPr>
          <w:ilvl w:val="1"/>
          <w:numId w:val="3"/>
        </w:numPr>
      </w:pPr>
      <w:r w:rsidRPr="00D231CC">
        <w:t>Prodávající je povinen do 2 týdnů od převzetí Zboží Kupujícím provést zaškolení</w:t>
      </w:r>
      <w:r>
        <w:t>, tj.</w:t>
      </w:r>
      <w:r w:rsidR="00821AEC">
        <w:t> </w:t>
      </w:r>
      <w:r w:rsidRPr="00D231CC">
        <w:t xml:space="preserve">instruktáž uživatele </w:t>
      </w:r>
      <w:r w:rsidR="00994805">
        <w:t xml:space="preserve">dle § 41 </w:t>
      </w:r>
      <w:r w:rsidR="001E2240" w:rsidRPr="00D859C2">
        <w:t xml:space="preserve">zákona č. </w:t>
      </w:r>
      <w:r w:rsidR="001E2240">
        <w:t>375</w:t>
      </w:r>
      <w:r w:rsidR="001E2240" w:rsidRPr="00D859C2">
        <w:t>/</w:t>
      </w:r>
      <w:r w:rsidR="001E2240">
        <w:t>2022</w:t>
      </w:r>
      <w:r w:rsidR="001E2240" w:rsidRPr="00D859C2">
        <w:t xml:space="preserve"> Sb., </w:t>
      </w:r>
      <w:r w:rsidR="001E2240" w:rsidRPr="004820A4">
        <w:t>o zdravotnických prostředcích a</w:t>
      </w:r>
      <w:r w:rsidR="00821AEC">
        <w:t> </w:t>
      </w:r>
      <w:r w:rsidR="001E2240">
        <w:t>diagnostických zdravotnických prostředcích in vitro</w:t>
      </w:r>
      <w:r w:rsidR="001E2240" w:rsidRPr="004820A4">
        <w:t>, ve znění pozdějších předpisů</w:t>
      </w:r>
      <w:r w:rsidR="001E2240">
        <w:t xml:space="preserve"> (dále jen „</w:t>
      </w:r>
      <w:proofErr w:type="spellStart"/>
      <w:r w:rsidR="001E2240" w:rsidRPr="00D859C2">
        <w:rPr>
          <w:b/>
        </w:rPr>
        <w:t>ZoZP</w:t>
      </w:r>
      <w:proofErr w:type="spellEnd"/>
      <w:r w:rsidR="001E2240">
        <w:t>“),</w:t>
      </w:r>
      <w:r w:rsidR="00994805">
        <w:t xml:space="preserve"> </w:t>
      </w:r>
      <w:r w:rsidRPr="00D231CC">
        <w:t xml:space="preserve">na pracovišti </w:t>
      </w:r>
      <w:r>
        <w:t xml:space="preserve">Kupujícího </w:t>
      </w:r>
      <w:r w:rsidRPr="00D231CC">
        <w:t xml:space="preserve">k obsluze </w:t>
      </w:r>
      <w:r>
        <w:t xml:space="preserve">Zboží </w:t>
      </w:r>
      <w:r w:rsidRPr="00D231CC">
        <w:t xml:space="preserve">dle </w:t>
      </w:r>
      <w:r w:rsidR="009A7E08">
        <w:t>platných právních předpisů</w:t>
      </w:r>
      <w:r w:rsidRPr="00D231CC">
        <w:t xml:space="preserve">, včetně doložení pověření školitele výrobcem nebo zplnomocněným zástupcem, a to </w:t>
      </w:r>
      <w:r>
        <w:t xml:space="preserve">alespoň </w:t>
      </w:r>
      <w:r w:rsidRPr="00D231CC">
        <w:t xml:space="preserve">v rozsahu nezbytném pro řádnou obsluhu Zboží (dále </w:t>
      </w:r>
      <w:r>
        <w:t xml:space="preserve">též </w:t>
      </w:r>
      <w:r w:rsidRPr="00D231CC">
        <w:t>jen „</w:t>
      </w:r>
      <w:r w:rsidRPr="00D231CC">
        <w:rPr>
          <w:b/>
        </w:rPr>
        <w:t>Instruktáž</w:t>
      </w:r>
      <w:r w:rsidRPr="00D231CC">
        <w:t xml:space="preserve">“). Plnění podle tohoto odstavce smlouvy je Prodávající povinen poskytnout </w:t>
      </w:r>
      <w:r w:rsidRPr="00617BD1">
        <w:rPr>
          <w:b/>
          <w:u w:val="single"/>
        </w:rPr>
        <w:t>bezplatně</w:t>
      </w:r>
      <w:r w:rsidRPr="00D231CC">
        <w:t>, a to včetně případného opakování po dobu životnosti Zboží.</w:t>
      </w:r>
    </w:p>
    <w:p w14:paraId="12D5CBFC" w14:textId="77777777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58605A75" w14:textId="77777777" w:rsidR="001E2240" w:rsidRDefault="001E2240" w:rsidP="001E2240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389CC8E9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AB5C8B" w:rsidRPr="0092375D">
        <w:rPr>
          <w:b/>
        </w:rPr>
        <w:t>5</w:t>
      </w:r>
      <w:r w:rsidR="002F4F30" w:rsidRPr="0092375D">
        <w:rPr>
          <w:b/>
        </w:rPr>
        <w:t xml:space="preserve"> ks </w:t>
      </w:r>
      <w:proofErr w:type="spellStart"/>
      <w:r w:rsidR="00AB5C8B" w:rsidRPr="0092375D">
        <w:rPr>
          <w:b/>
        </w:rPr>
        <w:t>injektomatů</w:t>
      </w:r>
      <w:proofErr w:type="spellEnd"/>
      <w:r w:rsidR="008645D8" w:rsidRPr="0092375D">
        <w:rPr>
          <w:b/>
        </w:rPr>
        <w:t>,</w:t>
      </w:r>
      <w:r w:rsidR="008645D8" w:rsidRPr="00F5430E">
        <w:t xml:space="preserve"> </w:t>
      </w:r>
      <w:r w:rsidR="008645D8" w:rsidRPr="00D859C2">
        <w:rPr>
          <w:b/>
        </w:rPr>
        <w:t xml:space="preserve">typ: </w:t>
      </w:r>
      <w:proofErr w:type="spellStart"/>
      <w:r w:rsidR="00AB5C8B">
        <w:rPr>
          <w:b/>
        </w:rPr>
        <w:t>Perfusor</w:t>
      </w:r>
      <w:proofErr w:type="spellEnd"/>
      <w:r w:rsidR="00AB5C8B">
        <w:rPr>
          <w:b/>
        </w:rPr>
        <w:t xml:space="preserve"> </w:t>
      </w:r>
      <w:proofErr w:type="spellStart"/>
      <w:r w:rsidR="00AB5C8B">
        <w:rPr>
          <w:b/>
        </w:rPr>
        <w:t>Space</w:t>
      </w:r>
      <w:proofErr w:type="spellEnd"/>
      <w:r w:rsidR="004453FF" w:rsidRPr="00D859C2">
        <w:rPr>
          <w:b/>
        </w:rPr>
        <w:t xml:space="preserve">, výrobce </w:t>
      </w:r>
      <w:r w:rsidR="008E630B">
        <w:rPr>
          <w:b/>
        </w:rPr>
        <w:t xml:space="preserve">B. Braun </w:t>
      </w:r>
      <w:proofErr w:type="spellStart"/>
      <w:r w:rsidR="008E630B">
        <w:rPr>
          <w:b/>
        </w:rPr>
        <w:t>Melsungen</w:t>
      </w:r>
      <w:proofErr w:type="spellEnd"/>
      <w:r w:rsidR="008E630B">
        <w:rPr>
          <w:b/>
        </w:rPr>
        <w:t xml:space="preserve"> AG</w:t>
      </w:r>
      <w:r w:rsidR="004453FF" w:rsidRPr="00D859C2">
        <w:rPr>
          <w:i/>
        </w:rPr>
        <w:t xml:space="preserve">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lastRenderedPageBreak/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4C7E5485" w:rsidR="002E3B0B" w:rsidRPr="00D859C2" w:rsidRDefault="00BA5EEC" w:rsidP="00D859C2">
      <w:pPr>
        <w:pStyle w:val="Psmenoodstavce"/>
      </w:pPr>
      <w:r w:rsidRPr="00D231CC">
        <w:t xml:space="preserve">v elektronické podobě na CD/DVD/USB </w:t>
      </w:r>
      <w:proofErr w:type="spellStart"/>
      <w:r w:rsidRPr="00D231CC">
        <w:t>flash</w:t>
      </w:r>
      <w:proofErr w:type="spellEnd"/>
      <w:r w:rsidRPr="00D231CC">
        <w:t xml:space="preserve">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proofErr w:type="spellStart"/>
      <w:r w:rsidR="00994805" w:rsidRPr="00994805">
        <w:rPr>
          <w:b/>
        </w:rPr>
        <w:t>ZoTPV</w:t>
      </w:r>
      <w:proofErr w:type="spellEnd"/>
      <w:r w:rsidR="00994805">
        <w:t>“)</w:t>
      </w:r>
      <w:r w:rsidRPr="00D231CC">
        <w:t>, a</w:t>
      </w:r>
      <w:r w:rsidR="00821AEC">
        <w:t> </w:t>
      </w:r>
      <w:r w:rsidRPr="00D231CC">
        <w:t>pokud se jedná o zdravotnický prostředek</w:t>
      </w:r>
      <w:r w:rsidR="00994805">
        <w:t>,</w:t>
      </w:r>
      <w:r w:rsidRPr="00D231CC">
        <w:t xml:space="preserve"> dle </w:t>
      </w:r>
      <w:proofErr w:type="spellStart"/>
      <w:r w:rsidR="00994805">
        <w:t>ZoZP</w:t>
      </w:r>
      <w:proofErr w:type="spellEnd"/>
      <w:r w:rsidR="00994805">
        <w:t xml:space="preserve">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</w:t>
      </w:r>
      <w:r w:rsidR="00821AEC">
        <w:t> </w:t>
      </w:r>
      <w:r w:rsidRPr="00D231CC">
        <w:t>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</w:t>
      </w:r>
      <w:r w:rsidR="00821AEC">
        <w:t> </w:t>
      </w:r>
      <w:r w:rsidRPr="00D231CC">
        <w:t>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A" w14:textId="5F373A1C" w:rsidR="003F7B02" w:rsidRPr="00D859C2" w:rsidRDefault="003A1056" w:rsidP="38690F1A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</w:t>
      </w:r>
      <w:r w:rsidR="00071C55" w:rsidRPr="00071C55">
        <w:rPr>
          <w:b/>
        </w:rPr>
        <w:t xml:space="preserve">do </w:t>
      </w:r>
      <w:r w:rsidR="009C4BEB">
        <w:rPr>
          <w:b/>
        </w:rPr>
        <w:t>8</w:t>
      </w:r>
      <w:r w:rsidR="00071C55" w:rsidRPr="00071C55">
        <w:rPr>
          <w:b/>
        </w:rPr>
        <w:t xml:space="preserve"> týdnů</w:t>
      </w:r>
      <w:r w:rsidR="00071C55">
        <w:t xml:space="preserve">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C" w14:textId="663F8BF9" w:rsidR="00BE2371" w:rsidRPr="00316F72" w:rsidRDefault="003F7B02" w:rsidP="00D859C2">
      <w:pPr>
        <w:pStyle w:val="Odstavecsmlouvy"/>
      </w:pPr>
      <w:r w:rsidRPr="00316F72">
        <w:t xml:space="preserve">Místem dodání Zboží </w:t>
      </w:r>
      <w:r w:rsidR="00D50BBE" w:rsidRPr="00316F72">
        <w:t xml:space="preserve">je </w:t>
      </w:r>
      <w:r w:rsidR="009C4BEB">
        <w:t>Interní kardiologická k</w:t>
      </w:r>
      <w:r w:rsidR="00071C55" w:rsidRPr="00316F72">
        <w:t xml:space="preserve">linika, </w:t>
      </w:r>
      <w:r w:rsidR="0092375D">
        <w:t xml:space="preserve">Fakultní nemocnice Brno, </w:t>
      </w:r>
      <w:r w:rsidR="00071C55" w:rsidRPr="00316F72">
        <w:t xml:space="preserve">pracoviště </w:t>
      </w:r>
      <w:r w:rsidR="009C4BEB">
        <w:t>N</w:t>
      </w:r>
      <w:r w:rsidR="00071C55" w:rsidRPr="00316F72">
        <w:t xml:space="preserve">emocnice </w:t>
      </w:r>
      <w:r w:rsidR="0092375D">
        <w:t>Bohunice a Porodnice,</w:t>
      </w:r>
      <w:r w:rsidR="00071C55" w:rsidRPr="00316F72">
        <w:t xml:space="preserve"> </w:t>
      </w:r>
      <w:r w:rsidR="009C4BEB">
        <w:t>Jihlavská 20</w:t>
      </w:r>
      <w:r w:rsidR="00071C55" w:rsidRPr="00316F72">
        <w:t>, 6</w:t>
      </w:r>
      <w:r w:rsidR="009C4BEB">
        <w:t>25</w:t>
      </w:r>
      <w:r w:rsidR="00071C55" w:rsidRPr="00316F72">
        <w:t xml:space="preserve"> 00 Brno.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264CCF7E" w:rsidR="00D82704" w:rsidRPr="00D859C2" w:rsidRDefault="009A3D16" w:rsidP="49ED3F43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</w:t>
      </w:r>
      <w:proofErr w:type="spellStart"/>
      <w:r w:rsidR="00D02EDB">
        <w:t>xxxx</w:t>
      </w:r>
      <w:proofErr w:type="spellEnd"/>
      <w:r w:rsidR="00DE3A3F">
        <w:t xml:space="preserve">, tel.: </w:t>
      </w:r>
      <w:proofErr w:type="spellStart"/>
      <w:r w:rsidR="00D02EDB">
        <w:t>xxxx</w:t>
      </w:r>
      <w:proofErr w:type="spellEnd"/>
      <w:r w:rsidR="00DE3A3F">
        <w:t xml:space="preserve"> a písemně na e-mail: </w:t>
      </w:r>
      <w:proofErr w:type="spellStart"/>
      <w:r w:rsidR="00D02EDB">
        <w:t>xxxx</w:t>
      </w:r>
      <w:proofErr w:type="spellEnd"/>
      <w:r>
        <w:t>. Bez 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</w:t>
      </w:r>
      <w:proofErr w:type="spellStart"/>
      <w:r>
        <w:t>workflow</w:t>
      </w:r>
      <w:proofErr w:type="spellEnd"/>
      <w:r>
        <w:t>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</w:t>
      </w:r>
      <w:proofErr w:type="spellStart"/>
      <w:r w:rsidR="00EE155A">
        <w:t>ZoZP</w:t>
      </w:r>
      <w:proofErr w:type="spellEnd"/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DD73379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>“). Prodávající i Kupující jsou oprávněni v předávacím protokolu uvést jakékoliv záznamy, vady, nedodělky, připomínky či výhrady; tyto se však nepovažují za změnu této smlouvy či dodatek k této smlouvě. Kupující je v předávacím protokolu oprávněn stanovit přiměřenou lhůtu pro odstranění vad a nedodělků, které do předávacího protokolu uvedl. Neuvedení jakýchkoliv (i zjevných) vad či nedodělků do předávacího protokolu neomezuje Kupujícího v právu oznamovat zjištěné vady a nedodělky Prodávajícímu i po 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691579F1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lastRenderedPageBreak/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</w:t>
      </w:r>
      <w:r w:rsidR="00821AEC">
        <w:t> </w:t>
      </w:r>
      <w:r>
        <w:t>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>, tj. že nebezpečí škody na Zboží (na všech jeho položkách) přechází na</w:t>
      </w:r>
      <w:r w:rsidR="00821AEC">
        <w:t> </w:t>
      </w:r>
      <w:r w:rsidR="00ED41AA">
        <w:t xml:space="preserve">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proofErr w:type="spellStart"/>
      <w:r w:rsidR="00094B12">
        <w:t>ZoZP</w:t>
      </w:r>
      <w:proofErr w:type="spellEnd"/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687213F1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</w:t>
      </w:r>
      <w:r w:rsidR="00821AEC">
        <w:t> </w:t>
      </w:r>
      <w:r>
        <w:t>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52BE3C3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</w:t>
      </w:r>
      <w:r w:rsidR="00821AEC">
        <w:t> </w:t>
      </w:r>
      <w:r>
        <w:t xml:space="preserve">povinen na své náklady odstranit odpady a nečistoty vzniklé plněním jeho povinností podle této smlouvy a průběžně odstraňovat veškerá znečištění a poškození prostor, která svou činností způsobí. Po splnění svých povinností podle této smlouvy </w:t>
      </w:r>
      <w:r>
        <w:lastRenderedPageBreak/>
        <w:t>je</w:t>
      </w:r>
      <w:r w:rsidR="00821AEC">
        <w:t> </w:t>
      </w:r>
      <w:r>
        <w:t>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431667DF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</w:t>
      </w:r>
      <w:r w:rsidR="00821AEC">
        <w:t> </w:t>
      </w:r>
      <w:r>
        <w:t>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0FEDFC12" w:rsidR="00AF2763" w:rsidRPr="00D859C2" w:rsidRDefault="00B764A0" w:rsidP="00094B12">
      <w:pPr>
        <w:pStyle w:val="Odstavecsmlouvy"/>
      </w:pPr>
      <w:r w:rsidRPr="00D859C2">
        <w:t>Kupní cena se sjednává jako cena pevná a konečná za veškerá plnění poskytovaná Prodávajícím Kupujícímu na základě této smlouvy a činí</w:t>
      </w:r>
      <w:r>
        <w:t xml:space="preserve"> (dále též jen „</w:t>
      </w:r>
      <w:r w:rsidRPr="00CC6A8F">
        <w:rPr>
          <w:b/>
        </w:rPr>
        <w:t>kupní cena</w:t>
      </w:r>
      <w:r>
        <w:t>“ nebo „</w:t>
      </w:r>
      <w:r w:rsidRPr="00CC6A8F">
        <w:rPr>
          <w:b/>
        </w:rPr>
        <w:t>celková kupní cena</w:t>
      </w:r>
      <w:r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57"/>
        <w:gridCol w:w="3806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22915A49" w:rsidR="00D859C2" w:rsidRPr="005B49AA" w:rsidRDefault="00CB59AF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175 000,00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4112A43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CB59AF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2988F6ED" w:rsidR="00D859C2" w:rsidRPr="005B49AA" w:rsidRDefault="00CB59AF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36 750,00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1E4ECA38" w:rsidR="00D859C2" w:rsidRPr="005B49AA" w:rsidRDefault="00CB59AF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211 750,00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353BF939" w:rsidR="00D70368" w:rsidRPr="00D859C2" w:rsidRDefault="00D70368" w:rsidP="00D70368">
      <w:pPr>
        <w:pStyle w:val="Odstavecsmlouvy"/>
        <w:numPr>
          <w:ilvl w:val="1"/>
          <w:numId w:val="3"/>
        </w:numPr>
      </w:pPr>
      <w:r w:rsidRPr="00D859C2">
        <w:t xml:space="preserve">Sjednaná </w:t>
      </w:r>
      <w:r>
        <w:t>kupní c</w:t>
      </w:r>
      <w:r w:rsidRPr="00D859C2">
        <w:t>ena zahrnuje kromě Zboží, zejména náklady na dopravu do místa plnění, obaly, naložení, složení, pojištění během dopravy, případné clo, instalaci vč.</w:t>
      </w:r>
      <w:r w:rsidR="00340EA3">
        <w:t> </w:t>
      </w:r>
      <w:r w:rsidRPr="00D859C2">
        <w:t xml:space="preserve">konfigurace modalit, uvedení do provozu, </w:t>
      </w:r>
      <w:r w:rsidR="00B8405E">
        <w:t xml:space="preserve">Montáž, </w:t>
      </w:r>
      <w:r>
        <w:t xml:space="preserve">Instruktáž, </w:t>
      </w:r>
      <w:r w:rsidRPr="00D859C2">
        <w:t xml:space="preserve">provedení funkční zkoušky </w:t>
      </w:r>
      <w:r w:rsidRPr="00D859C2">
        <w:rPr>
          <w:bCs/>
        </w:rPr>
        <w:t xml:space="preserve">vč. přejímací zkoušky dlouhodobé stability (pouze u Zboží, které této zkoušce podle </w:t>
      </w:r>
      <w:r>
        <w:rPr>
          <w:bCs/>
        </w:rPr>
        <w:t>AZ</w:t>
      </w:r>
      <w:r w:rsidRPr="00D859C2">
        <w:rPr>
          <w:bCs/>
        </w:rPr>
        <w:t>, podléhá), vstupní validace či kalibrace (pouze u Zboží, u nějž je při provozu vyžadována)</w:t>
      </w:r>
      <w:r w:rsidRPr="00D859C2">
        <w:t>, ověření přenosu dat z přístroje na pracovní stanici (pokud je u přístroje samostatná pracovní stanice</w:t>
      </w:r>
      <w:r>
        <w:t>)</w:t>
      </w:r>
      <w:r w:rsidRPr="00D859C2">
        <w:t>, ověření přenosu dat do archivu MARIE PACS a</w:t>
      </w:r>
      <w:r w:rsidR="00B764A0">
        <w:t> </w:t>
      </w:r>
      <w:r w:rsidRPr="00D859C2">
        <w:t xml:space="preserve">odzkoušení bezproblémového provozu, recyklační poplatek (pouze u Zboží, které tomuto poplatku podle </w:t>
      </w:r>
      <w:r>
        <w:t xml:space="preserve">právních předpisů </w:t>
      </w:r>
      <w:r w:rsidRPr="00D859C2">
        <w:t xml:space="preserve">podléhá), preventivní bezpečnostně technické kontroly vč. aktualizace příp. firmware, zkoušek dlouhodobé stability </w:t>
      </w:r>
      <w:r w:rsidRPr="00D859C2">
        <w:rPr>
          <w:bCs/>
        </w:rPr>
        <w:t xml:space="preserve">(pouze u Zboží, které této zkoušce podle </w:t>
      </w:r>
      <w:r>
        <w:rPr>
          <w:bCs/>
        </w:rPr>
        <w:t>AZ</w:t>
      </w:r>
      <w:r w:rsidRPr="00D859C2">
        <w:rPr>
          <w:bCs/>
        </w:rPr>
        <w:t xml:space="preserve"> podléhá), </w:t>
      </w:r>
      <w:r w:rsidRPr="00D859C2">
        <w:t xml:space="preserve">validace nebo kalibrace parametrů </w:t>
      </w:r>
      <w:r w:rsidRPr="00D859C2">
        <w:rPr>
          <w:bCs/>
        </w:rPr>
        <w:t>(pouze u Zboží, u nějž je při provozu vyžadována)</w:t>
      </w:r>
      <w:r w:rsidRPr="00D859C2">
        <w:t xml:space="preserve">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12B15ADD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="00A65C6A">
        <w:rPr>
          <w:b/>
        </w:rPr>
        <w:t>6</w:t>
      </w:r>
      <w:r w:rsidRPr="00071C55">
        <w:rPr>
          <w:b/>
        </w:rPr>
        <w:t>0 dnů</w:t>
      </w:r>
      <w:r w:rsidRPr="00D859C2">
        <w:t xml:space="preserve">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 a datum splatnosti v souladu se smlouvou</w:t>
      </w:r>
      <w:r w:rsidRPr="00D859C2">
        <w:rPr>
          <w:color w:val="000000"/>
        </w:rPr>
        <w:t xml:space="preserve">, jinak je Kupující oprávněn vrátit fakturu Prodávajícímu k přepracování </w:t>
      </w:r>
      <w:r w:rsidRPr="00D859C2">
        <w:rPr>
          <w:color w:val="000000"/>
        </w:rPr>
        <w:lastRenderedPageBreak/>
        <w:t>či</w:t>
      </w:r>
      <w:r w:rsidR="00BA2483">
        <w:rPr>
          <w:color w:val="000000"/>
        </w:rPr>
        <w:t> </w:t>
      </w:r>
      <w:r w:rsidRPr="00D859C2">
        <w:rPr>
          <w:color w:val="000000"/>
        </w:rPr>
        <w:t>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421373B0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</w:t>
      </w:r>
      <w:r w:rsidR="00B764A0">
        <w:rPr>
          <w:color w:val="000000" w:themeColor="text1"/>
        </w:rPr>
        <w:t> </w:t>
      </w:r>
      <w:r w:rsidRPr="67056C94">
        <w:rPr>
          <w:color w:val="000000" w:themeColor="text1"/>
        </w:rPr>
        <w:t xml:space="preserve">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56687451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</w:t>
      </w:r>
      <w:r w:rsidR="00B764A0">
        <w:rPr>
          <w:color w:val="000000" w:themeColor="text1"/>
        </w:rPr>
        <w:t> </w:t>
      </w:r>
      <w:r w:rsidR="009A4F9F" w:rsidRPr="67056C94">
        <w:rPr>
          <w:color w:val="000000" w:themeColor="text1"/>
        </w:rPr>
        <w:t xml:space="preserve">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2A547FE5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</w:t>
      </w:r>
      <w:r w:rsidR="00B764A0">
        <w:t> </w:t>
      </w:r>
      <w:r>
        <w:t>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5B5E1057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</w:t>
      </w:r>
      <w:r w:rsidR="00B764A0">
        <w:t> </w:t>
      </w:r>
      <w:r w:rsidR="0058691F" w:rsidRPr="00D859C2">
        <w:t>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B764A0">
        <w:t> </w:t>
      </w:r>
      <w:r w:rsidR="0058691F" w:rsidRPr="00D859C2">
        <w:t xml:space="preserve">Zboží, zejména </w:t>
      </w:r>
      <w:r w:rsidR="00690BB7" w:rsidRPr="00D859C2">
        <w:t>požadavkům</w:t>
      </w:r>
      <w:r w:rsidR="0058691F" w:rsidRPr="00D859C2">
        <w:t xml:space="preserve"> </w:t>
      </w:r>
      <w:proofErr w:type="spellStart"/>
      <w:r w:rsidR="00994805">
        <w:t>ZoZP</w:t>
      </w:r>
      <w:proofErr w:type="spellEnd"/>
      <w:r w:rsidR="00994805">
        <w:t xml:space="preserve">, MDR, IVDR a </w:t>
      </w:r>
      <w:proofErr w:type="spellStart"/>
      <w:r w:rsidR="00994805">
        <w:t>ZoTPV</w:t>
      </w:r>
      <w:proofErr w:type="spellEnd"/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691E76E1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</w:t>
      </w:r>
      <w:r w:rsidR="00B764A0">
        <w:t> </w:t>
      </w:r>
      <w:r w:rsidRPr="00D859C2">
        <w:t>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78826357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pracovních dnů </w:t>
      </w:r>
      <w:r w:rsidR="0009512B">
        <w:t>od jejich oznámení</w:t>
      </w:r>
      <w:r>
        <w:t>. Smluvní strany se však s ohledem na charakter a</w:t>
      </w:r>
      <w:r w:rsidR="00340EA3">
        <w:t> </w:t>
      </w:r>
      <w:r>
        <w:t>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7017C36A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3" w14:textId="0C827893" w:rsidR="00F06B76" w:rsidRPr="00D859C2" w:rsidRDefault="00563528" w:rsidP="00094B12">
      <w:pPr>
        <w:pStyle w:val="Odstavecsmlouvy"/>
      </w:pPr>
      <w:r>
        <w:t xml:space="preserve">V případě </w:t>
      </w:r>
      <w:r w:rsidR="00AB2F46">
        <w:t xml:space="preserve">prodlení </w:t>
      </w:r>
      <w:r>
        <w:t xml:space="preserve">Prodávajícího </w:t>
      </w:r>
      <w:r w:rsidR="00AB2F46">
        <w:t>se zahájením prací</w:t>
      </w:r>
      <w:r w:rsidR="00F06B76" w:rsidRPr="00D859C2">
        <w:t xml:space="preserve"> na odstranění Kupujícím oznámených vad Zboží</w:t>
      </w:r>
      <w:r w:rsidR="004A1880">
        <w:t xml:space="preserve"> </w:t>
      </w:r>
      <w:r>
        <w:t xml:space="preserve">je Prodávající povinen </w:t>
      </w:r>
      <w:r w:rsidR="00AB2F46" w:rsidRPr="00D859C2">
        <w:t>uhradit Kupujícímu smluvní pokutu ve</w:t>
      </w:r>
      <w:r w:rsidR="00340EA3">
        <w:t> </w:t>
      </w:r>
      <w:r w:rsidR="00AB2F46" w:rsidRPr="00D859C2">
        <w:t xml:space="preserve">výši 0,2% </w:t>
      </w:r>
      <w:r>
        <w:t>z celkové kupní ceny včetně</w:t>
      </w:r>
      <w:r w:rsidR="00AB2F46" w:rsidRPr="00D859C2">
        <w:t xml:space="preserve"> DPH </w:t>
      </w:r>
      <w:r w:rsidR="00AB2F46">
        <w:t xml:space="preserve">za každý případ a </w:t>
      </w:r>
      <w:r w:rsidR="00AB2F46" w:rsidRPr="00D859C2">
        <w:t xml:space="preserve">za každý </w:t>
      </w:r>
      <w:r w:rsidR="00AB2F46">
        <w:t xml:space="preserve">i započatý </w:t>
      </w:r>
      <w:r w:rsidR="00AB2F46" w:rsidRPr="00D859C2">
        <w:t>den prodlení</w:t>
      </w:r>
      <w:r w:rsidR="00AB2F46">
        <w:t>.</w:t>
      </w:r>
      <w:r>
        <w:t xml:space="preserve"> V případě prodlení Prodávajícího s odstraněním Kupujícím oznámených vad Zboží, tj. v případě </w:t>
      </w:r>
      <w:r w:rsidR="00F06B76" w:rsidRPr="00D859C2">
        <w:t xml:space="preserve">prodlení s uvedením vadného Zboží </w:t>
      </w:r>
      <w:r w:rsidR="007A084F">
        <w:t xml:space="preserve">zpět </w:t>
      </w:r>
      <w:r w:rsidR="00F06B76" w:rsidRPr="00D859C2">
        <w:t>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F06B76" w:rsidRPr="00D859C2">
        <w:t>.</w:t>
      </w:r>
    </w:p>
    <w:p w14:paraId="75136AC4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15B0B937" w14:textId="5F9F64F2" w:rsidR="00B76CBC" w:rsidRPr="00D859C2" w:rsidRDefault="00B76CBC" w:rsidP="00B76CBC">
      <w:pPr>
        <w:pStyle w:val="Odstavecsmlouvy"/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039E8C52" w14:textId="77777777" w:rsidR="00B76CBC" w:rsidRDefault="00B76CBC" w:rsidP="00B76CBC">
      <w:pPr>
        <w:pStyle w:val="Odstavecsmlouvy"/>
        <w:numPr>
          <w:ilvl w:val="0"/>
          <w:numId w:val="0"/>
        </w:numPr>
        <w:ind w:left="567"/>
      </w:pPr>
    </w:p>
    <w:p w14:paraId="15E52621" w14:textId="764B7F09" w:rsidR="0009512B" w:rsidRDefault="0009512B" w:rsidP="00094B12">
      <w:pPr>
        <w:pStyle w:val="Odstavecsmlouvy"/>
      </w:pPr>
      <w:r>
        <w:t>V případě prodlení Prodávajícího se zahájením prací</w:t>
      </w:r>
      <w:r w:rsidRPr="00D859C2">
        <w:t xml:space="preserve"> na odstranění Kupujícím oznámených vad </w:t>
      </w:r>
      <w:r>
        <w:t>nebo nedodělků Montáže</w:t>
      </w:r>
      <w:r w:rsidRPr="00D859C2">
        <w:t xml:space="preserve"> </w:t>
      </w:r>
      <w:r>
        <w:t xml:space="preserve">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>i</w:t>
      </w:r>
      <w:r w:rsidR="00B764A0">
        <w:t> </w:t>
      </w:r>
      <w:r>
        <w:t xml:space="preserve">započatý </w:t>
      </w:r>
      <w:r w:rsidRPr="00D859C2">
        <w:t>den prodlení.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proofErr w:type="gramStart"/>
      <w:r w:rsidR="009C4BEB">
        <w:t>IX.5</w:t>
      </w:r>
      <w:r>
        <w:fldChar w:fldCharType="end"/>
      </w:r>
      <w:r>
        <w:t xml:space="preserve"> této</w:t>
      </w:r>
      <w:proofErr w:type="gramEnd"/>
      <w:r>
        <w:t xml:space="preserve">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 xml:space="preserve">1 000,-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4C02ECD0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</w:t>
      </w:r>
      <w:r w:rsidR="00340EA3">
        <w:t> </w:t>
      </w:r>
      <w:r w:rsidRPr="00D859C2">
        <w:t xml:space="preserve">náhradu škody, kterou lze vymáhat samostatně vedle smluvní pokuty v celém rozsahu, </w:t>
      </w:r>
      <w:proofErr w:type="gramStart"/>
      <w:r w:rsidRPr="00D859C2">
        <w:t>tzn.</w:t>
      </w:r>
      <w:proofErr w:type="gramEnd"/>
      <w:r w:rsidRPr="00D859C2">
        <w:t xml:space="preserve"> částka smluvní pokuty se do výše náhrady škody </w:t>
      </w:r>
      <w:proofErr w:type="gramStart"/>
      <w:r w:rsidRPr="00D859C2">
        <w:t>nezapočítává</w:t>
      </w:r>
      <w:proofErr w:type="gramEnd"/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2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6EDD07FA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počítačových sítí a</w:t>
      </w:r>
      <w:r w:rsidR="00B764A0">
        <w:t> </w:t>
      </w:r>
      <w:r>
        <w:t>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04D9C55" w:rsidR="004A1880" w:rsidRDefault="004A1880" w:rsidP="004A1880">
      <w:pPr>
        <w:pStyle w:val="Odstavecsmlouvy"/>
        <w:numPr>
          <w:ilvl w:val="1"/>
          <w:numId w:val="3"/>
        </w:numPr>
      </w:pPr>
      <w:r>
        <w:t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</w:t>
      </w:r>
      <w:r w:rsidR="00340EA3">
        <w:t> </w:t>
      </w:r>
      <w:r>
        <w:t xml:space="preserve">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3" w:name="_Ref41464712"/>
      <w:bookmarkStart w:id="4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3"/>
    </w:p>
    <w:bookmarkEnd w:id="4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2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A57C7EB" w:rsidR="00160D16" w:rsidRPr="00D859C2" w:rsidRDefault="00160D16" w:rsidP="00160D16">
      <w:pPr>
        <w:pStyle w:val="Odstavecsmlouvy"/>
      </w:pPr>
      <w:r>
        <w:t>Prodávající s ohledem na povinnosti Kupujícího vyplývající zejména ze zákona č.</w:t>
      </w:r>
      <w:r w:rsidR="00F83F67">
        <w:t> </w:t>
      </w:r>
      <w:r>
        <w:t>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45371FBA" w:rsidR="00D813B7" w:rsidRPr="00D859C2" w:rsidRDefault="00D813B7" w:rsidP="00094B12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</w:t>
      </w:r>
      <w:r w:rsidR="00340EA3">
        <w:t> </w:t>
      </w:r>
      <w:r w:rsidRPr="00D859C2">
        <w:t>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1DEDCEE1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</w:t>
      </w:r>
      <w:r w:rsidR="00CA7146">
        <w:t> </w:t>
      </w:r>
      <w:r w:rsidRPr="00D859C2">
        <w:t>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69AAA37B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071C55">
        <w:rPr>
          <w:snapToGrid w:val="0"/>
        </w:rPr>
        <w:t>dvou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071C55">
        <w:rPr>
          <w:snapToGrid w:val="0"/>
        </w:rPr>
        <w:t>jedno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40F18F98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>Tato smlouva je platná dnem podpisu oprávněných zástupců obou smluvních stran a</w:t>
      </w:r>
      <w:r w:rsidR="00340EA3">
        <w:rPr>
          <w:snapToGrid w:val="0"/>
        </w:rPr>
        <w:t> </w:t>
      </w:r>
      <w:r w:rsidRPr="00D859C2">
        <w:rPr>
          <w:snapToGrid w:val="0"/>
        </w:rPr>
        <w:t>nabývá účinnosti dnem jejího zveřejnění v registru smluv v souladu s § 6 zákona o</w:t>
      </w:r>
      <w:r w:rsidR="00340EA3">
        <w:rPr>
          <w:snapToGrid w:val="0"/>
        </w:rPr>
        <w:t> </w:t>
      </w:r>
      <w:r w:rsidRPr="00D859C2">
        <w:rPr>
          <w:snapToGrid w:val="0"/>
        </w:rPr>
        <w:t xml:space="preserve">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0"/>
        <w:gridCol w:w="1000"/>
        <w:gridCol w:w="3795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05873295" w:rsidR="00094B12" w:rsidRPr="00D722DC" w:rsidRDefault="00094B12" w:rsidP="00C33CDF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AA4A75">
              <w:rPr>
                <w:sz w:val="22"/>
                <w:szCs w:val="22"/>
              </w:rPr>
              <w:t>Pra</w:t>
            </w:r>
            <w:r w:rsidR="00C33CDF">
              <w:rPr>
                <w:sz w:val="22"/>
                <w:szCs w:val="22"/>
              </w:rPr>
              <w:t>z</w:t>
            </w:r>
            <w:r w:rsidR="00AA4A75">
              <w:rPr>
                <w:sz w:val="22"/>
                <w:szCs w:val="22"/>
              </w:rPr>
              <w:t>e</w:t>
            </w:r>
            <w:r w:rsidRPr="001150C5">
              <w:rPr>
                <w:sz w:val="22"/>
                <w:szCs w:val="22"/>
              </w:rPr>
              <w:t xml:space="preserve"> dne</w:t>
            </w:r>
            <w:r w:rsidR="00E22B46">
              <w:rPr>
                <w:sz w:val="22"/>
                <w:szCs w:val="22"/>
              </w:rPr>
              <w:t xml:space="preserve"> 22. 1. 2025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5873E19F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  <w:r w:rsidR="00E22B46">
              <w:rPr>
                <w:sz w:val="22"/>
                <w:szCs w:val="22"/>
              </w:rPr>
              <w:t xml:space="preserve"> 28. 1. 2025</w:t>
            </w:r>
            <w:bookmarkStart w:id="5" w:name="_GoBack"/>
            <w:bookmarkEnd w:id="5"/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FE55CFF" w14:textId="77777777" w:rsidR="009F6BC2" w:rsidRDefault="009F6BC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D2D7895" w14:textId="77777777" w:rsidR="009F6BC2" w:rsidRDefault="009F6BC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468E132B" w:rsidR="00094B12" w:rsidRPr="001150C5" w:rsidRDefault="00AA4A75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B. Braun </w:t>
            </w:r>
            <w:proofErr w:type="spellStart"/>
            <w:r>
              <w:rPr>
                <w:b/>
                <w:sz w:val="22"/>
                <w:szCs w:val="22"/>
              </w:rPr>
              <w:t>Medical</w:t>
            </w:r>
            <w:proofErr w:type="spellEnd"/>
            <w:r>
              <w:rPr>
                <w:b/>
                <w:sz w:val="22"/>
                <w:szCs w:val="22"/>
              </w:rPr>
              <w:t xml:space="preserve"> s.r.o. </w:t>
            </w:r>
          </w:p>
          <w:p w14:paraId="17D23793" w14:textId="4477ACB8" w:rsidR="00094B12" w:rsidRPr="00D722DC" w:rsidRDefault="008C4E66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t xml:space="preserve">PhDr. Daliborem Štěpánem, </w:t>
            </w:r>
            <w:r w:rsidR="009F6BC2">
              <w:br/>
            </w:r>
            <w:r>
              <w:t>na základě plné moci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t>PŘÍLOHA Č. 1</w:t>
      </w: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3E7F6FC" w14:textId="28FBEB5C" w:rsidR="00445588" w:rsidRPr="002100CE" w:rsidRDefault="00C646F4" w:rsidP="00094B12">
      <w:pPr>
        <w:rPr>
          <w:b/>
          <w:u w:val="single"/>
        </w:rPr>
      </w:pPr>
      <w:r w:rsidRPr="002100CE">
        <w:rPr>
          <w:b/>
          <w:u w:val="single"/>
        </w:rPr>
        <w:t>Technické údaje</w:t>
      </w:r>
    </w:p>
    <w:p w14:paraId="6380FA04" w14:textId="77777777" w:rsidR="00C646F4" w:rsidRPr="00CC2532" w:rsidRDefault="00C646F4" w:rsidP="00094B12">
      <w:pPr>
        <w:rPr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646F4" w:rsidRPr="00CC2532" w14:paraId="38B9B1B6" w14:textId="77777777" w:rsidTr="00C62641"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B8EF30" w14:textId="1EF68801" w:rsidR="00C646F4" w:rsidRPr="00CC2532" w:rsidRDefault="00C646F4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Typ jednotky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BCD163" w14:textId="5DC1FADF" w:rsidR="00C646F4" w:rsidRPr="00CC2532" w:rsidRDefault="00C646F4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Volumetrická infuzní pumpa</w:t>
            </w:r>
          </w:p>
        </w:tc>
      </w:tr>
      <w:tr w:rsidR="00C646F4" w:rsidRPr="00CC2532" w14:paraId="4ED077FA" w14:textId="77777777" w:rsidTr="00C62641"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46E35893" w14:textId="03890876" w:rsidR="00C646F4" w:rsidRPr="00CC2532" w:rsidRDefault="00C646F4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Klasifikace (v souladu s normou IEC/EN 60601-1)</w:t>
            </w:r>
          </w:p>
        </w:tc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32333DC9" w14:textId="77777777" w:rsidR="00C646F4" w:rsidRPr="00CC2532" w:rsidRDefault="00153909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Odolné proti ovlivnění defibrilátorem, vybavení typu CF</w:t>
            </w:r>
          </w:p>
          <w:p w14:paraId="1AC9E7DB" w14:textId="4B1B3C0E" w:rsidR="00153909" w:rsidRPr="00CC2532" w:rsidRDefault="00153909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 xml:space="preserve">Třída ochrany II, Třída ochrany I v kombinaci se </w:t>
            </w:r>
            <w:proofErr w:type="spellStart"/>
            <w:r w:rsidRPr="00CC2532">
              <w:rPr>
                <w:sz w:val="20"/>
              </w:rPr>
              <w:t>Space</w:t>
            </w:r>
            <w:proofErr w:type="spellEnd"/>
            <w:r w:rsidRPr="00CC2532">
              <w:rPr>
                <w:sz w:val="20"/>
              </w:rPr>
              <w:t xml:space="preserve"> Station</w:t>
            </w:r>
          </w:p>
        </w:tc>
      </w:tr>
      <w:tr w:rsidR="00C646F4" w:rsidRPr="00CC2532" w14:paraId="58CAA945" w14:textId="77777777" w:rsidTr="00C62641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978D3C" w14:textId="42533C3F" w:rsidR="00C646F4" w:rsidRPr="00CC2532" w:rsidRDefault="00321AEE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Třída (podle směrnice 93/42 EEC)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12015B" w14:textId="0E4DB371" w:rsidR="00C646F4" w:rsidRPr="00CC2532" w:rsidRDefault="00321AEE" w:rsidP="00094B12">
            <w:pPr>
              <w:rPr>
                <w:sz w:val="20"/>
              </w:rPr>
            </w:pPr>
            <w:proofErr w:type="spellStart"/>
            <w:r w:rsidRPr="00CC2532">
              <w:rPr>
                <w:sz w:val="20"/>
              </w:rPr>
              <w:t>IIb</w:t>
            </w:r>
            <w:proofErr w:type="spellEnd"/>
          </w:p>
        </w:tc>
      </w:tr>
      <w:tr w:rsidR="00C646F4" w:rsidRPr="00CC2532" w14:paraId="1079D980" w14:textId="77777777" w:rsidTr="00C62641"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71CC9228" w14:textId="7F7B58D3" w:rsidR="00C646F4" w:rsidRPr="00CC2532" w:rsidRDefault="00321AEE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Ochrana proti vlhku</w:t>
            </w:r>
          </w:p>
        </w:tc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500FFD6B" w14:textId="4E837EE9" w:rsidR="00C646F4" w:rsidRPr="00CC2532" w:rsidRDefault="00321AEE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IP 22 (ochrana proti kapající vodě při horizontálním použití)</w:t>
            </w:r>
          </w:p>
        </w:tc>
      </w:tr>
      <w:tr w:rsidR="00C646F4" w:rsidRPr="00CC2532" w14:paraId="1D900B77" w14:textId="77777777" w:rsidTr="00C62641"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14:paraId="2D99BEFF" w14:textId="525FC96C" w:rsidR="00321AEE" w:rsidRPr="00CC2532" w:rsidRDefault="00321AEE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Vnější zdroj proudu:</w:t>
            </w:r>
          </w:p>
        </w:tc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14:paraId="7E40F8A7" w14:textId="77777777" w:rsidR="00C646F4" w:rsidRPr="00CC2532" w:rsidRDefault="00C646F4" w:rsidP="00094B12">
            <w:pPr>
              <w:rPr>
                <w:sz w:val="20"/>
              </w:rPr>
            </w:pPr>
          </w:p>
        </w:tc>
      </w:tr>
      <w:tr w:rsidR="00C646F4" w:rsidRPr="00CC2532" w14:paraId="11B3E971" w14:textId="77777777" w:rsidTr="00C62641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A14A42E" w14:textId="3A93B3A2" w:rsidR="00C646F4" w:rsidRPr="00CC2532" w:rsidRDefault="00321AEE" w:rsidP="00321AEE">
            <w:pPr>
              <w:pStyle w:val="Odstavecseseznamem"/>
              <w:numPr>
                <w:ilvl w:val="0"/>
                <w:numId w:val="17"/>
              </w:numPr>
              <w:rPr>
                <w:rFonts w:ascii="Arial" w:hAnsi="Arial"/>
                <w:sz w:val="20"/>
              </w:rPr>
            </w:pPr>
            <w:r w:rsidRPr="00CC2532">
              <w:rPr>
                <w:rFonts w:ascii="Arial" w:hAnsi="Arial"/>
                <w:sz w:val="20"/>
              </w:rPr>
              <w:t>Jmenovité napětí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4EB4B48" w14:textId="3B7A6D5E" w:rsidR="00C646F4" w:rsidRPr="00CC2532" w:rsidRDefault="00321AEE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 xml:space="preserve">přes </w:t>
            </w:r>
            <w:proofErr w:type="spellStart"/>
            <w:r w:rsidRPr="00CC2532">
              <w:rPr>
                <w:sz w:val="20"/>
              </w:rPr>
              <w:t>SpaceStation</w:t>
            </w:r>
            <w:proofErr w:type="spellEnd"/>
            <w:r w:rsidRPr="00CC2532">
              <w:rPr>
                <w:sz w:val="20"/>
              </w:rPr>
              <w:t xml:space="preserve"> B. Braun nebo vhodným síťovým adaptérem</w:t>
            </w:r>
          </w:p>
        </w:tc>
      </w:tr>
      <w:tr w:rsidR="00C646F4" w:rsidRPr="00CC2532" w14:paraId="5FD7D404" w14:textId="77777777" w:rsidTr="00C62641"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0F5730" w14:textId="289046B4" w:rsidR="00C646F4" w:rsidRPr="00CC2532" w:rsidRDefault="00321AEE" w:rsidP="00321AEE">
            <w:pPr>
              <w:pStyle w:val="Odstavecseseznamem"/>
              <w:numPr>
                <w:ilvl w:val="0"/>
                <w:numId w:val="17"/>
              </w:numPr>
              <w:rPr>
                <w:rFonts w:ascii="Arial" w:hAnsi="Arial"/>
                <w:sz w:val="20"/>
              </w:rPr>
            </w:pPr>
            <w:r w:rsidRPr="00CC2532">
              <w:rPr>
                <w:rFonts w:ascii="Arial" w:hAnsi="Arial"/>
                <w:sz w:val="20"/>
              </w:rPr>
              <w:t>Vnější nízké napětí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09CAF" w14:textId="066B64A8" w:rsidR="00C646F4" w:rsidRPr="00CC2532" w:rsidRDefault="00321AEE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 xml:space="preserve">11 … 16 V DC ═ 8VA přes spojovací kabel SP 12 V nebo přes </w:t>
            </w:r>
            <w:proofErr w:type="spellStart"/>
            <w:r w:rsidRPr="00CC2532">
              <w:rPr>
                <w:sz w:val="20"/>
              </w:rPr>
              <w:t>SpaceStation</w:t>
            </w:r>
            <w:proofErr w:type="spellEnd"/>
          </w:p>
        </w:tc>
      </w:tr>
      <w:tr w:rsidR="00C646F4" w:rsidRPr="00CC2532" w14:paraId="66D3C45C" w14:textId="77777777" w:rsidTr="00C62641"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75ED93C3" w14:textId="54FFB378" w:rsidR="00C646F4" w:rsidRPr="00CC2532" w:rsidRDefault="00321AEE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Volání personálu</w:t>
            </w:r>
          </w:p>
        </w:tc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364A98C6" w14:textId="46F7CF5F" w:rsidR="00C646F4" w:rsidRPr="00CC2532" w:rsidRDefault="00321AEE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Max. 24 V / 0,5 A / 24 AV (VDE 0834)</w:t>
            </w:r>
          </w:p>
        </w:tc>
      </w:tr>
      <w:tr w:rsidR="00321AEE" w:rsidRPr="00CC2532" w14:paraId="3F450A16" w14:textId="77777777" w:rsidTr="00C62641"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2914DB27" w14:textId="2BDB4C20" w:rsidR="00321AEE" w:rsidRPr="00CC2532" w:rsidRDefault="00321AEE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EMC</w:t>
            </w:r>
          </w:p>
        </w:tc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202825F6" w14:textId="6B9D937D" w:rsidR="00321AEE" w:rsidRPr="00CC2532" w:rsidRDefault="00321AEE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IEC/EN 60601</w:t>
            </w:r>
            <w:r w:rsidR="00303109" w:rsidRPr="00CC2532">
              <w:rPr>
                <w:sz w:val="20"/>
              </w:rPr>
              <w:t>-1-2 / 60601-2-24</w:t>
            </w:r>
          </w:p>
        </w:tc>
      </w:tr>
      <w:tr w:rsidR="00321AEE" w:rsidRPr="00CC2532" w14:paraId="2D5DD8CD" w14:textId="77777777" w:rsidTr="00C62641"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1A4A86BC" w14:textId="28D2BF11" w:rsidR="00321AEE" w:rsidRPr="00CC2532" w:rsidRDefault="00303109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Provozní doba</w:t>
            </w:r>
          </w:p>
        </w:tc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381F8C80" w14:textId="3A698499" w:rsidR="00321AEE" w:rsidRPr="00CC2532" w:rsidRDefault="00303109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100 % (kontinuální provoz)</w:t>
            </w:r>
          </w:p>
        </w:tc>
      </w:tr>
      <w:tr w:rsidR="00321AEE" w:rsidRPr="00CC2532" w14:paraId="0D9BBDB3" w14:textId="77777777" w:rsidTr="00C62641"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14:paraId="5F336A12" w14:textId="2AD5BBB3" w:rsidR="00321AEE" w:rsidRPr="00CC2532" w:rsidRDefault="00303109" w:rsidP="00303109">
            <w:pPr>
              <w:rPr>
                <w:sz w:val="20"/>
              </w:rPr>
            </w:pPr>
            <w:r w:rsidRPr="00CC2532">
              <w:rPr>
                <w:sz w:val="20"/>
              </w:rPr>
              <w:t>Provozní podmínky:</w:t>
            </w:r>
          </w:p>
        </w:tc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14:paraId="52792C0D" w14:textId="77777777" w:rsidR="00321AEE" w:rsidRPr="00CC2532" w:rsidRDefault="00321AEE" w:rsidP="00094B12">
            <w:pPr>
              <w:rPr>
                <w:sz w:val="20"/>
              </w:rPr>
            </w:pPr>
          </w:p>
        </w:tc>
      </w:tr>
      <w:tr w:rsidR="00321AEE" w:rsidRPr="00CC2532" w14:paraId="3DD27D09" w14:textId="77777777" w:rsidTr="00C62641">
        <w:trPr>
          <w:trHeight w:val="934"/>
        </w:trPr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01A2BF" w14:textId="37E3D39B" w:rsidR="00321AEE" w:rsidRPr="00CC2532" w:rsidRDefault="00303109" w:rsidP="00303109">
            <w:pPr>
              <w:pStyle w:val="Odstavecseseznamem"/>
              <w:numPr>
                <w:ilvl w:val="0"/>
                <w:numId w:val="18"/>
              </w:numPr>
              <w:rPr>
                <w:sz w:val="20"/>
              </w:rPr>
            </w:pPr>
            <w:r w:rsidRPr="00CC2532">
              <w:rPr>
                <w:rFonts w:ascii="Arial" w:hAnsi="Arial"/>
                <w:sz w:val="20"/>
              </w:rPr>
              <w:t>Relativní vlhkost</w:t>
            </w:r>
          </w:p>
          <w:p w14:paraId="37F11C9F" w14:textId="77777777" w:rsidR="00303109" w:rsidRPr="00CC2532" w:rsidRDefault="00303109" w:rsidP="00303109">
            <w:pPr>
              <w:pStyle w:val="Odstavecseseznamem"/>
              <w:numPr>
                <w:ilvl w:val="0"/>
                <w:numId w:val="18"/>
              </w:numPr>
              <w:rPr>
                <w:sz w:val="20"/>
              </w:rPr>
            </w:pPr>
            <w:r w:rsidRPr="00CC2532">
              <w:rPr>
                <w:rFonts w:ascii="Arial" w:hAnsi="Arial"/>
                <w:sz w:val="20"/>
              </w:rPr>
              <w:t>Teplota</w:t>
            </w:r>
          </w:p>
          <w:p w14:paraId="7F5F3902" w14:textId="55460189" w:rsidR="00303109" w:rsidRPr="00CC2532" w:rsidRDefault="00303109" w:rsidP="00303109">
            <w:pPr>
              <w:pStyle w:val="Odstavecseseznamem"/>
              <w:numPr>
                <w:ilvl w:val="0"/>
                <w:numId w:val="18"/>
              </w:numPr>
              <w:spacing w:after="0"/>
              <w:ind w:left="714" w:hanging="357"/>
              <w:rPr>
                <w:sz w:val="20"/>
              </w:rPr>
            </w:pPr>
            <w:r w:rsidRPr="00CC2532">
              <w:rPr>
                <w:rFonts w:ascii="Arial" w:hAnsi="Arial"/>
                <w:sz w:val="20"/>
              </w:rPr>
              <w:t>Atmosférický tlak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199A7E" w14:textId="77777777" w:rsidR="00321AEE" w:rsidRPr="00CC2532" w:rsidRDefault="00303109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30 % … 90 % (bez kondenzace)</w:t>
            </w:r>
          </w:p>
          <w:p w14:paraId="204BB973" w14:textId="77777777" w:rsidR="00303109" w:rsidRPr="00CC2532" w:rsidRDefault="00303109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 xml:space="preserve">-20 </w:t>
            </w:r>
            <w:r w:rsidRPr="00CC2532">
              <w:rPr>
                <w:rFonts w:ascii="Calibri" w:hAnsi="Calibri" w:cs="Calibri"/>
                <w:sz w:val="20"/>
              </w:rPr>
              <w:t>⁰</w:t>
            </w:r>
            <w:r w:rsidRPr="00CC2532">
              <w:rPr>
                <w:sz w:val="20"/>
              </w:rPr>
              <w:t xml:space="preserve">C … +55 </w:t>
            </w:r>
            <w:r w:rsidRPr="00CC2532">
              <w:rPr>
                <w:rFonts w:ascii="Calibri" w:hAnsi="Calibri" w:cs="Calibri"/>
                <w:sz w:val="20"/>
              </w:rPr>
              <w:t>⁰</w:t>
            </w:r>
            <w:r w:rsidRPr="00CC2532">
              <w:rPr>
                <w:sz w:val="20"/>
              </w:rPr>
              <w:t>C</w:t>
            </w:r>
          </w:p>
          <w:p w14:paraId="031AFFC3" w14:textId="553C05E7" w:rsidR="00303109" w:rsidRPr="00CC2532" w:rsidRDefault="00303109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500 … 1060 mbar</w:t>
            </w:r>
          </w:p>
        </w:tc>
      </w:tr>
      <w:tr w:rsidR="00321AEE" w:rsidRPr="00CC2532" w14:paraId="27A48813" w14:textId="77777777" w:rsidTr="00C62641"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55BA5701" w14:textId="232BD7DF" w:rsidR="00321AEE" w:rsidRPr="00CC2532" w:rsidRDefault="00303109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Typ baterie (dobíjecí)</w:t>
            </w:r>
          </w:p>
        </w:tc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46813489" w14:textId="77777777" w:rsidR="00321AEE" w:rsidRPr="00CC2532" w:rsidRDefault="00303109" w:rsidP="00094B12">
            <w:pPr>
              <w:rPr>
                <w:sz w:val="20"/>
              </w:rPr>
            </w:pPr>
            <w:proofErr w:type="spellStart"/>
            <w:r w:rsidRPr="00CC2532">
              <w:rPr>
                <w:sz w:val="20"/>
              </w:rPr>
              <w:t>Li</w:t>
            </w:r>
            <w:proofErr w:type="spellEnd"/>
            <w:r w:rsidRPr="00CC2532">
              <w:rPr>
                <w:sz w:val="20"/>
              </w:rPr>
              <w:t>-Ion</w:t>
            </w:r>
          </w:p>
          <w:p w14:paraId="68A89D39" w14:textId="2362A5D3" w:rsidR="00303109" w:rsidRPr="00CC2532" w:rsidRDefault="00303109" w:rsidP="00094B12">
            <w:pPr>
              <w:rPr>
                <w:sz w:val="20"/>
              </w:rPr>
            </w:pPr>
            <w:proofErr w:type="spellStart"/>
            <w:r w:rsidRPr="00CC2532">
              <w:rPr>
                <w:sz w:val="20"/>
              </w:rPr>
              <w:t>NiMH</w:t>
            </w:r>
            <w:proofErr w:type="spellEnd"/>
          </w:p>
        </w:tc>
      </w:tr>
      <w:tr w:rsidR="00321AEE" w:rsidRPr="00CC2532" w14:paraId="5DDF1E88" w14:textId="77777777" w:rsidTr="00C62641"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7BE3A72F" w14:textId="79AD4318" w:rsidR="00321AEE" w:rsidRPr="00CC2532" w:rsidRDefault="00303109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Provozní doba dobíjecí baterie</w:t>
            </w:r>
          </w:p>
        </w:tc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1566B1DC" w14:textId="77777777" w:rsidR="00321AEE" w:rsidRPr="00CC2532" w:rsidRDefault="00303109" w:rsidP="00094B12">
            <w:pPr>
              <w:rPr>
                <w:sz w:val="20"/>
              </w:rPr>
            </w:pPr>
            <w:proofErr w:type="spellStart"/>
            <w:r w:rsidRPr="00CC2532">
              <w:rPr>
                <w:sz w:val="20"/>
              </w:rPr>
              <w:t>Li</w:t>
            </w:r>
            <w:proofErr w:type="spellEnd"/>
            <w:r w:rsidRPr="00CC2532">
              <w:rPr>
                <w:sz w:val="20"/>
              </w:rPr>
              <w:t>-Ion</w:t>
            </w:r>
          </w:p>
          <w:p w14:paraId="22CC936B" w14:textId="77777777" w:rsidR="00303109" w:rsidRPr="00CC2532" w:rsidRDefault="00303109" w:rsidP="00094B12">
            <w:pPr>
              <w:rPr>
                <w:sz w:val="20"/>
              </w:rPr>
            </w:pPr>
            <w:proofErr w:type="spellStart"/>
            <w:r w:rsidRPr="00CC2532">
              <w:rPr>
                <w:sz w:val="20"/>
              </w:rPr>
              <w:t>Perfusor</w:t>
            </w:r>
            <w:proofErr w:type="spellEnd"/>
            <w:r w:rsidRPr="00CC2532">
              <w:rPr>
                <w:sz w:val="20"/>
              </w:rPr>
              <w:t>® s aktivním bezdrátovým</w:t>
            </w:r>
          </w:p>
          <w:p w14:paraId="156812C7" w14:textId="60C5DE67" w:rsidR="00303109" w:rsidRPr="00CC2532" w:rsidRDefault="00303109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připojením při 5 ml/h 4 hodiny</w:t>
            </w:r>
          </w:p>
          <w:p w14:paraId="4889D5F9" w14:textId="77777777" w:rsidR="00303109" w:rsidRPr="00CC2532" w:rsidRDefault="00303109" w:rsidP="00303109">
            <w:pPr>
              <w:rPr>
                <w:sz w:val="20"/>
              </w:rPr>
            </w:pPr>
            <w:proofErr w:type="spellStart"/>
            <w:r w:rsidRPr="00CC2532">
              <w:rPr>
                <w:sz w:val="20"/>
              </w:rPr>
              <w:t>Perfusor</w:t>
            </w:r>
            <w:proofErr w:type="spellEnd"/>
            <w:r w:rsidRPr="00CC2532">
              <w:rPr>
                <w:sz w:val="20"/>
              </w:rPr>
              <w:t>® s aktivním bezdrátovým</w:t>
            </w:r>
          </w:p>
          <w:p w14:paraId="104031B3" w14:textId="478816EA" w:rsidR="00303109" w:rsidRPr="00CC2532" w:rsidRDefault="00303109" w:rsidP="00303109">
            <w:pPr>
              <w:rPr>
                <w:sz w:val="20"/>
              </w:rPr>
            </w:pPr>
            <w:r w:rsidRPr="00CC2532">
              <w:rPr>
                <w:sz w:val="20"/>
              </w:rPr>
              <w:t>připojením při 25 ml/h 2,5 hodiny</w:t>
            </w:r>
          </w:p>
          <w:p w14:paraId="09BF4D83" w14:textId="4AE3F37C" w:rsidR="00303109" w:rsidRPr="00CC2532" w:rsidRDefault="00303109" w:rsidP="00303109">
            <w:pPr>
              <w:rPr>
                <w:sz w:val="20"/>
              </w:rPr>
            </w:pPr>
            <w:proofErr w:type="spellStart"/>
            <w:r w:rsidRPr="00CC2532">
              <w:rPr>
                <w:sz w:val="20"/>
              </w:rPr>
              <w:t>Perfusor</w:t>
            </w:r>
            <w:proofErr w:type="spellEnd"/>
            <w:r w:rsidRPr="00CC2532">
              <w:rPr>
                <w:sz w:val="20"/>
              </w:rPr>
              <w:t>® s neaktivním bezdrátovým</w:t>
            </w:r>
          </w:p>
          <w:p w14:paraId="19F142E9" w14:textId="42A93347" w:rsidR="00303109" w:rsidRPr="00CC2532" w:rsidRDefault="00303109" w:rsidP="00303109">
            <w:pPr>
              <w:rPr>
                <w:sz w:val="20"/>
              </w:rPr>
            </w:pPr>
            <w:r w:rsidRPr="00CC2532">
              <w:rPr>
                <w:sz w:val="20"/>
              </w:rPr>
              <w:t>připojením při 5 ml/h 17 hodin</w:t>
            </w:r>
          </w:p>
          <w:p w14:paraId="45B9CCA2" w14:textId="1690FE9E" w:rsidR="00303109" w:rsidRPr="00CC2532" w:rsidRDefault="00303109" w:rsidP="00303109">
            <w:pPr>
              <w:rPr>
                <w:sz w:val="20"/>
              </w:rPr>
            </w:pPr>
            <w:proofErr w:type="spellStart"/>
            <w:r w:rsidRPr="00CC2532">
              <w:rPr>
                <w:sz w:val="20"/>
              </w:rPr>
              <w:t>Perfusor</w:t>
            </w:r>
            <w:proofErr w:type="spellEnd"/>
            <w:r w:rsidRPr="00CC2532">
              <w:rPr>
                <w:sz w:val="20"/>
              </w:rPr>
              <w:t>® s neaktivním bezdrátovým</w:t>
            </w:r>
          </w:p>
          <w:p w14:paraId="6AA64A24" w14:textId="70210DD8" w:rsidR="00303109" w:rsidRPr="00CC2532" w:rsidRDefault="00303109" w:rsidP="00303109">
            <w:pPr>
              <w:rPr>
                <w:sz w:val="20"/>
              </w:rPr>
            </w:pPr>
            <w:r w:rsidRPr="00CC2532">
              <w:rPr>
                <w:sz w:val="20"/>
              </w:rPr>
              <w:t>připojením při 25 ml/h 10 hodin</w:t>
            </w:r>
          </w:p>
          <w:p w14:paraId="0AFD852C" w14:textId="77777777" w:rsidR="00303109" w:rsidRPr="00CC2532" w:rsidRDefault="00303109" w:rsidP="00303109">
            <w:pPr>
              <w:rPr>
                <w:sz w:val="20"/>
              </w:rPr>
            </w:pPr>
            <w:proofErr w:type="spellStart"/>
            <w:r w:rsidRPr="00CC2532">
              <w:rPr>
                <w:sz w:val="20"/>
              </w:rPr>
              <w:t>NiMH</w:t>
            </w:r>
            <w:proofErr w:type="spellEnd"/>
          </w:p>
          <w:p w14:paraId="51A44B93" w14:textId="77777777" w:rsidR="00303109" w:rsidRPr="00CC2532" w:rsidRDefault="00303109" w:rsidP="00303109">
            <w:pPr>
              <w:rPr>
                <w:sz w:val="20"/>
              </w:rPr>
            </w:pPr>
            <w:r w:rsidRPr="00CC2532">
              <w:rPr>
                <w:sz w:val="20"/>
              </w:rPr>
              <w:t>při 5 ml/h 15 hodin</w:t>
            </w:r>
          </w:p>
          <w:p w14:paraId="6791C27D" w14:textId="3B651D11" w:rsidR="00303109" w:rsidRPr="00CC2532" w:rsidRDefault="00303109" w:rsidP="00303109">
            <w:pPr>
              <w:rPr>
                <w:sz w:val="20"/>
              </w:rPr>
            </w:pPr>
            <w:r w:rsidRPr="00CC2532">
              <w:rPr>
                <w:sz w:val="20"/>
              </w:rPr>
              <w:t>při 25 ml/h 10 hodin</w:t>
            </w:r>
          </w:p>
        </w:tc>
      </w:tr>
      <w:tr w:rsidR="00321AEE" w:rsidRPr="00CC2532" w14:paraId="630D642B" w14:textId="77777777" w:rsidTr="00C62641"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22027137" w14:textId="3C793A2F" w:rsidR="00321AEE" w:rsidRPr="00CC2532" w:rsidRDefault="00464FBC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Doba dobíjení</w:t>
            </w:r>
          </w:p>
        </w:tc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52BE2139" w14:textId="298FFA77" w:rsidR="00321AEE" w:rsidRPr="00CC2532" w:rsidRDefault="00464FBC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Přibližně 6 hodin</w:t>
            </w:r>
          </w:p>
        </w:tc>
      </w:tr>
      <w:tr w:rsidR="00321AEE" w:rsidRPr="00CC2532" w14:paraId="23853957" w14:textId="77777777" w:rsidTr="00C62641"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23787A6F" w14:textId="770B9E5D" w:rsidR="00321AEE" w:rsidRPr="00CC2532" w:rsidRDefault="00464FBC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Hmotnost</w:t>
            </w:r>
          </w:p>
        </w:tc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5FFDB7E8" w14:textId="78F3E56D" w:rsidR="00321AEE" w:rsidRPr="00CC2532" w:rsidRDefault="00464FBC" w:rsidP="00464FBC">
            <w:pPr>
              <w:rPr>
                <w:sz w:val="20"/>
              </w:rPr>
            </w:pPr>
            <w:r w:rsidRPr="00CC2532">
              <w:rPr>
                <w:sz w:val="20"/>
              </w:rPr>
              <w:t>Přibližně 1,4 kg</w:t>
            </w:r>
          </w:p>
        </w:tc>
      </w:tr>
      <w:tr w:rsidR="00321AEE" w:rsidRPr="00CC2532" w14:paraId="0BDD5C7A" w14:textId="77777777" w:rsidTr="00C62641"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3622A865" w14:textId="6E65BFA5" w:rsidR="00321AEE" w:rsidRPr="00CC2532" w:rsidRDefault="00C76004" w:rsidP="00C76004">
            <w:pPr>
              <w:rPr>
                <w:sz w:val="20"/>
              </w:rPr>
            </w:pPr>
            <w:r w:rsidRPr="00CC2532">
              <w:rPr>
                <w:sz w:val="20"/>
              </w:rPr>
              <w:t>Rozměry (Š x V x H)</w:t>
            </w:r>
          </w:p>
        </w:tc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6AA30AAC" w14:textId="50761C3E" w:rsidR="00321AEE" w:rsidRPr="00CC2532" w:rsidRDefault="00C76004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249 x 68 x 152 mm</w:t>
            </w:r>
          </w:p>
        </w:tc>
      </w:tr>
      <w:tr w:rsidR="00321AEE" w:rsidRPr="00CC2532" w14:paraId="30BD6624" w14:textId="77777777" w:rsidTr="00C62641"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7AC2B5FC" w14:textId="69034629" w:rsidR="00321AEE" w:rsidRPr="00CC2532" w:rsidRDefault="00C76004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Předvolba objemu</w:t>
            </w:r>
          </w:p>
        </w:tc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08B57EB4" w14:textId="4F0C9F39" w:rsidR="00321AEE" w:rsidRPr="00CC2532" w:rsidRDefault="00C76004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0,1 - 99,99 ml v krocích po 0,01 ml</w:t>
            </w:r>
          </w:p>
          <w:p w14:paraId="3FAD9BEA" w14:textId="207B6982" w:rsidR="00C76004" w:rsidRPr="00CC2532" w:rsidRDefault="00C76004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100,0 - 999,0 ml v krocích po 0,01 ml</w:t>
            </w:r>
          </w:p>
          <w:p w14:paraId="1ACC7551" w14:textId="3660D527" w:rsidR="00C76004" w:rsidRPr="00CC2532" w:rsidRDefault="00C76004" w:rsidP="00C76004">
            <w:pPr>
              <w:rPr>
                <w:sz w:val="20"/>
              </w:rPr>
            </w:pPr>
            <w:r w:rsidRPr="00CC2532">
              <w:rPr>
                <w:sz w:val="20"/>
              </w:rPr>
              <w:t>1 000 - 99 999 ml v krocích po 0,01 ml</w:t>
            </w:r>
          </w:p>
        </w:tc>
      </w:tr>
      <w:tr w:rsidR="00C76004" w:rsidRPr="00CC2532" w14:paraId="2622AA36" w14:textId="77777777" w:rsidTr="00C62641"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395E34AF" w14:textId="65C91367" w:rsidR="00C76004" w:rsidRPr="00CC2532" w:rsidRDefault="00C76004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Předvolba doby</w:t>
            </w:r>
          </w:p>
        </w:tc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6E17E7C0" w14:textId="5FB9ABC8" w:rsidR="00C76004" w:rsidRPr="00CC2532" w:rsidRDefault="00C76004" w:rsidP="00C76004">
            <w:pPr>
              <w:rPr>
                <w:sz w:val="20"/>
              </w:rPr>
            </w:pPr>
            <w:r w:rsidRPr="00CC2532">
              <w:rPr>
                <w:sz w:val="20"/>
              </w:rPr>
              <w:t>00:01 - 99:59 h</w:t>
            </w:r>
          </w:p>
        </w:tc>
      </w:tr>
      <w:tr w:rsidR="00C76004" w:rsidRPr="00CC2532" w14:paraId="5E21FD92" w14:textId="77777777" w:rsidTr="00C62641"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0C2D4F74" w14:textId="2886C84A" w:rsidR="00C76004" w:rsidRPr="00CC2532" w:rsidRDefault="00C76004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Přesnost nastavené rychlosti podání</w:t>
            </w:r>
          </w:p>
        </w:tc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414DBB94" w14:textId="2ADB316D" w:rsidR="00C76004" w:rsidRPr="00CC2532" w:rsidRDefault="00C76004" w:rsidP="00C76004">
            <w:pPr>
              <w:rPr>
                <w:sz w:val="20"/>
              </w:rPr>
            </w:pPr>
            <w:r w:rsidRPr="00CC2532">
              <w:rPr>
                <w:sz w:val="20"/>
              </w:rPr>
              <w:t>± 2 % podle IEC/EN 60601-2-24</w:t>
            </w:r>
          </w:p>
        </w:tc>
      </w:tr>
      <w:tr w:rsidR="00C76004" w:rsidRPr="00CC2532" w14:paraId="21668B3F" w14:textId="77777777" w:rsidTr="00C62641"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506EB047" w14:textId="0114DD1F" w:rsidR="00C76004" w:rsidRPr="00CC2532" w:rsidRDefault="00C76004" w:rsidP="00094B12">
            <w:pPr>
              <w:rPr>
                <w:sz w:val="20"/>
              </w:rPr>
            </w:pPr>
            <w:proofErr w:type="spellStart"/>
            <w:r w:rsidRPr="00CC2532">
              <w:rPr>
                <w:sz w:val="20"/>
              </w:rPr>
              <w:t>Occlusion</w:t>
            </w:r>
            <w:proofErr w:type="spellEnd"/>
            <w:r w:rsidRPr="00CC2532">
              <w:rPr>
                <w:sz w:val="20"/>
              </w:rPr>
              <w:t xml:space="preserve"> alarm </w:t>
            </w:r>
            <w:proofErr w:type="spellStart"/>
            <w:r w:rsidRPr="00CC2532">
              <w:rPr>
                <w:sz w:val="20"/>
              </w:rPr>
              <w:t>pressure</w:t>
            </w:r>
            <w:proofErr w:type="spellEnd"/>
          </w:p>
        </w:tc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416D83D0" w14:textId="1873AB2E" w:rsidR="00C76004" w:rsidRPr="00CC2532" w:rsidRDefault="00C76004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 xml:space="preserve">9 </w:t>
            </w:r>
            <w:proofErr w:type="spellStart"/>
            <w:r w:rsidRPr="00CC2532">
              <w:rPr>
                <w:sz w:val="20"/>
              </w:rPr>
              <w:t>levels</w:t>
            </w:r>
            <w:proofErr w:type="spellEnd"/>
            <w:r w:rsidRPr="00CC2532">
              <w:rPr>
                <w:sz w:val="20"/>
              </w:rPr>
              <w:t xml:space="preserve"> </w:t>
            </w:r>
            <w:proofErr w:type="spellStart"/>
            <w:r w:rsidRPr="00CC2532">
              <w:rPr>
                <w:sz w:val="20"/>
              </w:rPr>
              <w:t>from</w:t>
            </w:r>
            <w:proofErr w:type="spellEnd"/>
            <w:r w:rsidRPr="00CC2532">
              <w:rPr>
                <w:sz w:val="20"/>
              </w:rPr>
              <w:t xml:space="preserve"> 0,1 bar up to 1,2 bar</w:t>
            </w:r>
          </w:p>
        </w:tc>
      </w:tr>
      <w:tr w:rsidR="00C76004" w:rsidRPr="00CC2532" w14:paraId="2C98B631" w14:textId="77777777" w:rsidTr="00C62641"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18B8F129" w14:textId="77777777" w:rsidR="00E30205" w:rsidRPr="00CC2532" w:rsidRDefault="00E30205" w:rsidP="00E30205">
            <w:pPr>
              <w:rPr>
                <w:sz w:val="20"/>
              </w:rPr>
            </w:pPr>
            <w:r w:rsidRPr="00CC2532">
              <w:rPr>
                <w:sz w:val="20"/>
              </w:rPr>
              <w:t>Max. objem v případě jednoho</w:t>
            </w:r>
          </w:p>
          <w:p w14:paraId="0C5006FB" w14:textId="0A0860CE" w:rsidR="00E30205" w:rsidRPr="00CC2532" w:rsidRDefault="00E30205" w:rsidP="00E30205">
            <w:pPr>
              <w:rPr>
                <w:sz w:val="20"/>
              </w:rPr>
            </w:pPr>
            <w:r w:rsidRPr="00CC2532">
              <w:rPr>
                <w:sz w:val="20"/>
              </w:rPr>
              <w:t>chybového stavu</w:t>
            </w:r>
          </w:p>
        </w:tc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444ED36C" w14:textId="77777777" w:rsidR="00E30205" w:rsidRPr="00CC2532" w:rsidRDefault="00E30205" w:rsidP="00E30205">
            <w:pPr>
              <w:rPr>
                <w:sz w:val="20"/>
              </w:rPr>
            </w:pPr>
          </w:p>
          <w:p w14:paraId="1F5D0C23" w14:textId="77777777" w:rsidR="00C76004" w:rsidRPr="00CC2532" w:rsidRDefault="00E30205" w:rsidP="00E30205">
            <w:pPr>
              <w:rPr>
                <w:sz w:val="20"/>
              </w:rPr>
            </w:pPr>
            <w:r w:rsidRPr="00CC2532">
              <w:rPr>
                <w:sz w:val="20"/>
              </w:rPr>
              <w:t>Při nesprávném dávkování od 0,1 ml</w:t>
            </w:r>
          </w:p>
          <w:p w14:paraId="47AC9AE4" w14:textId="39A737EE" w:rsidR="00E30205" w:rsidRPr="00CC2532" w:rsidRDefault="00E30205" w:rsidP="00E30205">
            <w:pPr>
              <w:rPr>
                <w:sz w:val="20"/>
              </w:rPr>
            </w:pPr>
            <w:r w:rsidRPr="00CC2532">
              <w:rPr>
                <w:sz w:val="20"/>
              </w:rPr>
              <w:t>následkem špatné funkce přístroje bude</w:t>
            </w:r>
          </w:p>
          <w:p w14:paraId="75287836" w14:textId="71A56E17" w:rsidR="00E30205" w:rsidRPr="00CC2532" w:rsidRDefault="00E30205" w:rsidP="00E30205">
            <w:pPr>
              <w:rPr>
                <w:sz w:val="20"/>
              </w:rPr>
            </w:pPr>
            <w:r w:rsidRPr="00CC2532">
              <w:rPr>
                <w:sz w:val="20"/>
              </w:rPr>
              <w:t>pumpa automaticky vypnuta.</w:t>
            </w:r>
          </w:p>
        </w:tc>
      </w:tr>
      <w:tr w:rsidR="00C76004" w:rsidRPr="00CC2532" w14:paraId="333C826D" w14:textId="77777777" w:rsidTr="00C62641"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72DAC1FC" w14:textId="56341913" w:rsidR="00C76004" w:rsidRPr="00CC2532" w:rsidRDefault="00E30205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Technická kontrola (kontrola bezpečnosti)</w:t>
            </w:r>
          </w:p>
        </w:tc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4D50E3B5" w14:textId="09977531" w:rsidR="00C76004" w:rsidRPr="00CC2532" w:rsidRDefault="00E30205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Každé 2 roky</w:t>
            </w:r>
          </w:p>
        </w:tc>
      </w:tr>
      <w:tr w:rsidR="00E30205" w:rsidRPr="00CC2532" w14:paraId="07FE4866" w14:textId="77777777" w:rsidTr="00C62641"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0E675BD0" w14:textId="0F7B1825" w:rsidR="00E30205" w:rsidRPr="00CC2532" w:rsidRDefault="00E30205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Několik linek připojeno k jednomu</w:t>
            </w:r>
          </w:p>
          <w:p w14:paraId="3E604DE6" w14:textId="41103740" w:rsidR="00E30205" w:rsidRPr="00CC2532" w:rsidRDefault="00E30205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portu pacienta</w:t>
            </w:r>
          </w:p>
        </w:tc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1F11BFF6" w14:textId="77777777" w:rsidR="00E30205" w:rsidRPr="00CC2532" w:rsidRDefault="00E30205" w:rsidP="00094B12">
            <w:pPr>
              <w:rPr>
                <w:sz w:val="20"/>
              </w:rPr>
            </w:pPr>
          </w:p>
          <w:p w14:paraId="5EC0BB1D" w14:textId="77777777" w:rsidR="00E30205" w:rsidRPr="00CC2532" w:rsidRDefault="00E30205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Připojení několika infuzních linek s</w:t>
            </w:r>
          </w:p>
          <w:p w14:paraId="07C0FBB6" w14:textId="77777777" w:rsidR="00E30205" w:rsidRPr="00CC2532" w:rsidRDefault="00E30205" w:rsidP="00E30205">
            <w:pPr>
              <w:rPr>
                <w:sz w:val="20"/>
              </w:rPr>
            </w:pPr>
            <w:r w:rsidRPr="00CC2532">
              <w:rPr>
                <w:sz w:val="20"/>
              </w:rPr>
              <w:t>různými průtoky může ovlivnit rychlost</w:t>
            </w:r>
          </w:p>
          <w:p w14:paraId="0F99527D" w14:textId="00F6724C" w:rsidR="00E30205" w:rsidRPr="00CC2532" w:rsidRDefault="00E30205" w:rsidP="00E30205">
            <w:pPr>
              <w:rPr>
                <w:sz w:val="20"/>
              </w:rPr>
            </w:pPr>
            <w:r w:rsidRPr="00CC2532">
              <w:rPr>
                <w:sz w:val="20"/>
              </w:rPr>
              <w:t>všech infuzí za bodem připojení.</w:t>
            </w:r>
          </w:p>
        </w:tc>
      </w:tr>
      <w:tr w:rsidR="00E30205" w:rsidRPr="00CC2532" w14:paraId="6CD1B663" w14:textId="77777777" w:rsidTr="00C62641"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14:paraId="35AC7B25" w14:textId="12A352C4" w:rsidR="00E30205" w:rsidRPr="00CC2532" w:rsidRDefault="00E30205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Volitelné rychlosti podání</w:t>
            </w:r>
          </w:p>
        </w:tc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14:paraId="1CAA07D5" w14:textId="77777777" w:rsidR="00E30205" w:rsidRPr="00CC2532" w:rsidRDefault="00E30205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Rozsah rychlosti kontinuální infuze</w:t>
            </w:r>
          </w:p>
          <w:p w14:paraId="5E336931" w14:textId="73E2800C" w:rsidR="00E30205" w:rsidRPr="00CC2532" w:rsidRDefault="00E30205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/ rychlost podání bolusu v závislosti</w:t>
            </w:r>
          </w:p>
          <w:p w14:paraId="30DB368E" w14:textId="77777777" w:rsidR="00E30205" w:rsidRPr="00CC2532" w:rsidRDefault="00E30205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na velikosti stříkačky: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1435"/>
              <w:gridCol w:w="1571"/>
              <w:gridCol w:w="1299"/>
            </w:tblGrid>
            <w:tr w:rsidR="00E30205" w:rsidRPr="00CC2532" w14:paraId="1B4E5168" w14:textId="77777777" w:rsidTr="00F10A78">
              <w:tc>
                <w:tcPr>
                  <w:tcW w:w="1435" w:type="dxa"/>
                  <w:tcBorders>
                    <w:bottom w:val="single" w:sz="4" w:space="0" w:color="auto"/>
                  </w:tcBorders>
                </w:tcPr>
                <w:p w14:paraId="77F6E94D" w14:textId="012A7DB4" w:rsidR="00E30205" w:rsidRPr="00CC2532" w:rsidRDefault="00E30205" w:rsidP="00094B12">
                  <w:pPr>
                    <w:rPr>
                      <w:sz w:val="20"/>
                    </w:rPr>
                  </w:pPr>
                  <w:r w:rsidRPr="00CC2532">
                    <w:rPr>
                      <w:sz w:val="20"/>
                    </w:rPr>
                    <w:t>Velikosti stříkaček</w:t>
                  </w:r>
                </w:p>
              </w:tc>
              <w:tc>
                <w:tcPr>
                  <w:tcW w:w="1571" w:type="dxa"/>
                  <w:tcBorders>
                    <w:bottom w:val="single" w:sz="4" w:space="0" w:color="auto"/>
                  </w:tcBorders>
                </w:tcPr>
                <w:p w14:paraId="566124C2" w14:textId="6706FFDB" w:rsidR="00E30205" w:rsidRPr="00CC2532" w:rsidRDefault="00E30205" w:rsidP="00094B12">
                  <w:pPr>
                    <w:rPr>
                      <w:sz w:val="20"/>
                    </w:rPr>
                  </w:pPr>
                  <w:r w:rsidRPr="00CC2532">
                    <w:rPr>
                      <w:sz w:val="20"/>
                    </w:rPr>
                    <w:t>Kontinuální rychlosti</w:t>
                  </w:r>
                </w:p>
              </w:tc>
              <w:tc>
                <w:tcPr>
                  <w:tcW w:w="1299" w:type="dxa"/>
                  <w:tcBorders>
                    <w:bottom w:val="single" w:sz="4" w:space="0" w:color="auto"/>
                  </w:tcBorders>
                </w:tcPr>
                <w:p w14:paraId="67CC14FE" w14:textId="140137C5" w:rsidR="00E30205" w:rsidRPr="00CC2532" w:rsidRDefault="00E30205" w:rsidP="00094B12">
                  <w:pPr>
                    <w:rPr>
                      <w:sz w:val="20"/>
                    </w:rPr>
                  </w:pPr>
                  <w:r w:rsidRPr="00CC2532">
                    <w:rPr>
                      <w:sz w:val="20"/>
                    </w:rPr>
                    <w:t>Rychlosti podání bolusu</w:t>
                  </w:r>
                </w:p>
              </w:tc>
            </w:tr>
            <w:tr w:rsidR="00E30205" w:rsidRPr="00CC2532" w14:paraId="1BC1DE2C" w14:textId="77777777" w:rsidTr="00F10A78">
              <w:tc>
                <w:tcPr>
                  <w:tcW w:w="1435" w:type="dxa"/>
                  <w:tcBorders>
                    <w:bottom w:val="nil"/>
                  </w:tcBorders>
                  <w:vAlign w:val="center"/>
                </w:tcPr>
                <w:p w14:paraId="2695C34C" w14:textId="4C4F69B7" w:rsidR="00E30205" w:rsidRPr="00CC2532" w:rsidRDefault="00C67DDB" w:rsidP="00C67DDB">
                  <w:pPr>
                    <w:jc w:val="center"/>
                    <w:rPr>
                      <w:sz w:val="20"/>
                    </w:rPr>
                  </w:pPr>
                  <w:r w:rsidRPr="00CC2532">
                    <w:rPr>
                      <w:rFonts w:ascii="Calibri" w:hAnsi="Calibri" w:cs="Calibri"/>
                      <w:sz w:val="20"/>
                    </w:rPr>
                    <w:t>[ml]</w:t>
                  </w:r>
                </w:p>
              </w:tc>
              <w:tc>
                <w:tcPr>
                  <w:tcW w:w="1571" w:type="dxa"/>
                  <w:tcBorders>
                    <w:bottom w:val="nil"/>
                  </w:tcBorders>
                  <w:vAlign w:val="center"/>
                </w:tcPr>
                <w:p w14:paraId="5A71FD25" w14:textId="3BFBB68A" w:rsidR="00E30205" w:rsidRPr="00CC2532" w:rsidRDefault="00C67DDB" w:rsidP="00C67DDB">
                  <w:pPr>
                    <w:jc w:val="center"/>
                    <w:rPr>
                      <w:sz w:val="20"/>
                    </w:rPr>
                  </w:pPr>
                  <w:r w:rsidRPr="00CC2532">
                    <w:rPr>
                      <w:rFonts w:ascii="Calibri" w:hAnsi="Calibri" w:cs="Calibri"/>
                      <w:sz w:val="20"/>
                    </w:rPr>
                    <w:t>[ml/hod.]</w:t>
                  </w:r>
                </w:p>
              </w:tc>
              <w:tc>
                <w:tcPr>
                  <w:tcW w:w="1299" w:type="dxa"/>
                  <w:tcBorders>
                    <w:bottom w:val="nil"/>
                  </w:tcBorders>
                  <w:vAlign w:val="center"/>
                </w:tcPr>
                <w:p w14:paraId="620959AB" w14:textId="3FBE92FC" w:rsidR="00E30205" w:rsidRPr="00CC2532" w:rsidRDefault="00C67DDB" w:rsidP="00C67DDB">
                  <w:pPr>
                    <w:jc w:val="center"/>
                    <w:rPr>
                      <w:sz w:val="20"/>
                    </w:rPr>
                  </w:pPr>
                  <w:r w:rsidRPr="00CC2532">
                    <w:rPr>
                      <w:rFonts w:ascii="Calibri" w:hAnsi="Calibri" w:cs="Calibri"/>
                      <w:sz w:val="20"/>
                    </w:rPr>
                    <w:t>[ml/hod.]</w:t>
                  </w:r>
                </w:p>
              </w:tc>
            </w:tr>
            <w:tr w:rsidR="00E30205" w:rsidRPr="00CC2532" w14:paraId="6F1E0770" w14:textId="77777777" w:rsidTr="00F10A78">
              <w:tc>
                <w:tcPr>
                  <w:tcW w:w="1435" w:type="dxa"/>
                  <w:tcBorders>
                    <w:top w:val="nil"/>
                    <w:bottom w:val="nil"/>
                  </w:tcBorders>
                  <w:vAlign w:val="center"/>
                </w:tcPr>
                <w:p w14:paraId="77750AC8" w14:textId="1D97791C" w:rsidR="00E30205" w:rsidRPr="00CC2532" w:rsidRDefault="00C67DDB" w:rsidP="00C67DDB">
                  <w:pPr>
                    <w:jc w:val="center"/>
                    <w:rPr>
                      <w:sz w:val="20"/>
                    </w:rPr>
                  </w:pPr>
                  <w:r w:rsidRPr="00CC2532">
                    <w:rPr>
                      <w:sz w:val="20"/>
                    </w:rPr>
                    <w:t>50/60</w:t>
                  </w:r>
                </w:p>
              </w:tc>
              <w:tc>
                <w:tcPr>
                  <w:tcW w:w="1571" w:type="dxa"/>
                  <w:tcBorders>
                    <w:top w:val="nil"/>
                    <w:bottom w:val="nil"/>
                  </w:tcBorders>
                  <w:vAlign w:val="center"/>
                </w:tcPr>
                <w:p w14:paraId="602BA1D3" w14:textId="5C5BFF5E" w:rsidR="00E30205" w:rsidRPr="00CC2532" w:rsidRDefault="00C67DDB" w:rsidP="00C67DDB">
                  <w:pPr>
                    <w:jc w:val="center"/>
                    <w:rPr>
                      <w:sz w:val="20"/>
                    </w:rPr>
                  </w:pPr>
                  <w:r w:rsidRPr="00CC2532">
                    <w:rPr>
                      <w:sz w:val="20"/>
                    </w:rPr>
                    <w:t>0,01 - 200</w:t>
                  </w:r>
                </w:p>
              </w:tc>
              <w:tc>
                <w:tcPr>
                  <w:tcW w:w="1299" w:type="dxa"/>
                  <w:tcBorders>
                    <w:top w:val="nil"/>
                    <w:bottom w:val="nil"/>
                  </w:tcBorders>
                  <w:vAlign w:val="center"/>
                </w:tcPr>
                <w:p w14:paraId="04EC0F92" w14:textId="5060AB90" w:rsidR="00E30205" w:rsidRPr="00CC2532" w:rsidRDefault="00C67DDB" w:rsidP="00C67DDB">
                  <w:pPr>
                    <w:jc w:val="center"/>
                    <w:rPr>
                      <w:sz w:val="20"/>
                    </w:rPr>
                  </w:pPr>
                  <w:r w:rsidRPr="00CC2532">
                    <w:rPr>
                      <w:sz w:val="20"/>
                    </w:rPr>
                    <w:t>1 - 1800</w:t>
                  </w:r>
                </w:p>
              </w:tc>
            </w:tr>
            <w:tr w:rsidR="00C67DDB" w:rsidRPr="00CC2532" w14:paraId="1B63BD25" w14:textId="77777777" w:rsidTr="00F10A78">
              <w:tc>
                <w:tcPr>
                  <w:tcW w:w="1435" w:type="dxa"/>
                  <w:tcBorders>
                    <w:top w:val="nil"/>
                    <w:bottom w:val="nil"/>
                  </w:tcBorders>
                  <w:vAlign w:val="center"/>
                </w:tcPr>
                <w:p w14:paraId="16E3BE95" w14:textId="77777777" w:rsidR="00C67DDB" w:rsidRPr="00CC2532" w:rsidRDefault="00C67DDB" w:rsidP="00C67DD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71" w:type="dxa"/>
                  <w:tcBorders>
                    <w:top w:val="nil"/>
                    <w:bottom w:val="nil"/>
                  </w:tcBorders>
                  <w:vAlign w:val="center"/>
                </w:tcPr>
                <w:p w14:paraId="3A131C4B" w14:textId="27A29B2A" w:rsidR="00C67DDB" w:rsidRPr="00CC2532" w:rsidRDefault="00C67DDB" w:rsidP="00C67DDB">
                  <w:pPr>
                    <w:jc w:val="center"/>
                    <w:rPr>
                      <w:sz w:val="20"/>
                    </w:rPr>
                  </w:pPr>
                  <w:r w:rsidRPr="00CC2532">
                    <w:rPr>
                      <w:sz w:val="20"/>
                    </w:rPr>
                    <w:t>volitelná</w:t>
                  </w:r>
                </w:p>
              </w:tc>
              <w:tc>
                <w:tcPr>
                  <w:tcW w:w="1299" w:type="dxa"/>
                  <w:tcBorders>
                    <w:top w:val="nil"/>
                    <w:bottom w:val="nil"/>
                  </w:tcBorders>
                  <w:vAlign w:val="center"/>
                </w:tcPr>
                <w:p w14:paraId="0A312BA3" w14:textId="77777777" w:rsidR="00C67DDB" w:rsidRPr="00CC2532" w:rsidRDefault="00C67DDB" w:rsidP="00C67DD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C67DDB" w:rsidRPr="00CC2532" w14:paraId="6AC81B39" w14:textId="77777777" w:rsidTr="00F10A78">
              <w:tc>
                <w:tcPr>
                  <w:tcW w:w="1435" w:type="dxa"/>
                  <w:tcBorders>
                    <w:top w:val="nil"/>
                    <w:bottom w:val="nil"/>
                  </w:tcBorders>
                  <w:vAlign w:val="center"/>
                </w:tcPr>
                <w:p w14:paraId="1AB18E8B" w14:textId="77777777" w:rsidR="00C67DDB" w:rsidRPr="00CC2532" w:rsidRDefault="00C67DDB" w:rsidP="00C67DD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71" w:type="dxa"/>
                  <w:tcBorders>
                    <w:top w:val="nil"/>
                    <w:bottom w:val="nil"/>
                  </w:tcBorders>
                  <w:vAlign w:val="center"/>
                </w:tcPr>
                <w:p w14:paraId="28B6259E" w14:textId="58C0FC18" w:rsidR="00C67DDB" w:rsidRPr="00CC2532" w:rsidRDefault="00C67DDB" w:rsidP="00543C92">
                  <w:pPr>
                    <w:jc w:val="center"/>
                    <w:rPr>
                      <w:sz w:val="20"/>
                    </w:rPr>
                  </w:pPr>
                  <w:r w:rsidRPr="00CC2532">
                    <w:rPr>
                      <w:sz w:val="20"/>
                    </w:rPr>
                    <w:t xml:space="preserve">0,01 </w:t>
                  </w:r>
                  <w:r w:rsidR="00543C92" w:rsidRPr="00CC2532">
                    <w:rPr>
                      <w:sz w:val="20"/>
                    </w:rPr>
                    <w:t>-</w:t>
                  </w:r>
                  <w:r w:rsidRPr="00CC2532">
                    <w:rPr>
                      <w:sz w:val="20"/>
                    </w:rPr>
                    <w:t xml:space="preserve"> 999,9</w:t>
                  </w:r>
                </w:p>
              </w:tc>
              <w:tc>
                <w:tcPr>
                  <w:tcW w:w="1299" w:type="dxa"/>
                  <w:tcBorders>
                    <w:top w:val="nil"/>
                    <w:bottom w:val="nil"/>
                  </w:tcBorders>
                  <w:vAlign w:val="center"/>
                </w:tcPr>
                <w:p w14:paraId="6ECDDDEF" w14:textId="77777777" w:rsidR="00C67DDB" w:rsidRPr="00CC2532" w:rsidRDefault="00C67DDB" w:rsidP="00C67DD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C67DDB" w:rsidRPr="00CC2532" w14:paraId="49ABE773" w14:textId="77777777" w:rsidTr="00F10A78">
              <w:tc>
                <w:tcPr>
                  <w:tcW w:w="1435" w:type="dxa"/>
                  <w:tcBorders>
                    <w:top w:val="nil"/>
                    <w:bottom w:val="nil"/>
                  </w:tcBorders>
                  <w:vAlign w:val="center"/>
                </w:tcPr>
                <w:p w14:paraId="72F0CFD5" w14:textId="0894FED4" w:rsidR="00C67DDB" w:rsidRPr="00CC2532" w:rsidRDefault="00C67DDB" w:rsidP="00C67DDB">
                  <w:pPr>
                    <w:jc w:val="center"/>
                    <w:rPr>
                      <w:sz w:val="20"/>
                    </w:rPr>
                  </w:pPr>
                  <w:r w:rsidRPr="00CC2532">
                    <w:rPr>
                      <w:sz w:val="20"/>
                    </w:rPr>
                    <w:t>30/35</w:t>
                  </w:r>
                </w:p>
              </w:tc>
              <w:tc>
                <w:tcPr>
                  <w:tcW w:w="1571" w:type="dxa"/>
                  <w:tcBorders>
                    <w:top w:val="nil"/>
                    <w:bottom w:val="nil"/>
                  </w:tcBorders>
                  <w:vAlign w:val="center"/>
                </w:tcPr>
                <w:p w14:paraId="1B62173E" w14:textId="5620C674" w:rsidR="00C67DDB" w:rsidRPr="00CC2532" w:rsidRDefault="00C67DDB" w:rsidP="00C67DDB">
                  <w:pPr>
                    <w:jc w:val="center"/>
                    <w:rPr>
                      <w:sz w:val="20"/>
                    </w:rPr>
                  </w:pPr>
                  <w:r w:rsidRPr="00CC2532">
                    <w:rPr>
                      <w:sz w:val="20"/>
                    </w:rPr>
                    <w:t>0,01 - 100</w:t>
                  </w:r>
                </w:p>
              </w:tc>
              <w:tc>
                <w:tcPr>
                  <w:tcW w:w="1299" w:type="dxa"/>
                  <w:tcBorders>
                    <w:top w:val="nil"/>
                    <w:bottom w:val="nil"/>
                  </w:tcBorders>
                  <w:vAlign w:val="center"/>
                </w:tcPr>
                <w:p w14:paraId="1D22588D" w14:textId="514B4872" w:rsidR="00C67DDB" w:rsidRPr="00CC2532" w:rsidRDefault="00C67DDB" w:rsidP="00C67DDB">
                  <w:pPr>
                    <w:jc w:val="center"/>
                    <w:rPr>
                      <w:sz w:val="20"/>
                    </w:rPr>
                  </w:pPr>
                  <w:r w:rsidRPr="00CC2532">
                    <w:rPr>
                      <w:sz w:val="20"/>
                    </w:rPr>
                    <w:t>1 - 1200</w:t>
                  </w:r>
                </w:p>
              </w:tc>
            </w:tr>
            <w:tr w:rsidR="00C67DDB" w:rsidRPr="00CC2532" w14:paraId="1A8F5AA4" w14:textId="77777777" w:rsidTr="00F10A78">
              <w:tc>
                <w:tcPr>
                  <w:tcW w:w="1435" w:type="dxa"/>
                  <w:tcBorders>
                    <w:top w:val="nil"/>
                    <w:bottom w:val="nil"/>
                  </w:tcBorders>
                  <w:vAlign w:val="center"/>
                </w:tcPr>
                <w:p w14:paraId="5B1EC891" w14:textId="76E7810C" w:rsidR="00C67DDB" w:rsidRPr="00CC2532" w:rsidRDefault="00C67DDB" w:rsidP="00C67DDB">
                  <w:pPr>
                    <w:jc w:val="center"/>
                    <w:rPr>
                      <w:sz w:val="20"/>
                    </w:rPr>
                  </w:pPr>
                  <w:r w:rsidRPr="00CC2532"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1571" w:type="dxa"/>
                  <w:tcBorders>
                    <w:top w:val="nil"/>
                    <w:bottom w:val="nil"/>
                  </w:tcBorders>
                  <w:vAlign w:val="center"/>
                </w:tcPr>
                <w:p w14:paraId="47013852" w14:textId="426A3957" w:rsidR="00C67DDB" w:rsidRPr="00CC2532" w:rsidRDefault="00C67DDB" w:rsidP="00C67DDB">
                  <w:pPr>
                    <w:jc w:val="center"/>
                    <w:rPr>
                      <w:sz w:val="20"/>
                    </w:rPr>
                  </w:pPr>
                  <w:r w:rsidRPr="00CC2532">
                    <w:rPr>
                      <w:sz w:val="20"/>
                    </w:rPr>
                    <w:t>0,01 - 100</w:t>
                  </w:r>
                </w:p>
              </w:tc>
              <w:tc>
                <w:tcPr>
                  <w:tcW w:w="1299" w:type="dxa"/>
                  <w:tcBorders>
                    <w:top w:val="nil"/>
                    <w:bottom w:val="nil"/>
                  </w:tcBorders>
                  <w:vAlign w:val="center"/>
                </w:tcPr>
                <w:p w14:paraId="14DA6CDF" w14:textId="6E92C277" w:rsidR="00C67DDB" w:rsidRPr="00CC2532" w:rsidRDefault="00C67DDB" w:rsidP="00C67DDB">
                  <w:pPr>
                    <w:jc w:val="center"/>
                    <w:rPr>
                      <w:sz w:val="20"/>
                    </w:rPr>
                  </w:pPr>
                  <w:r w:rsidRPr="00CC2532">
                    <w:rPr>
                      <w:sz w:val="20"/>
                    </w:rPr>
                    <w:t>1 – 800</w:t>
                  </w:r>
                </w:p>
              </w:tc>
            </w:tr>
            <w:tr w:rsidR="00C67DDB" w:rsidRPr="00CC2532" w14:paraId="0C1317DE" w14:textId="77777777" w:rsidTr="00F10A78">
              <w:tc>
                <w:tcPr>
                  <w:tcW w:w="1435" w:type="dxa"/>
                  <w:tcBorders>
                    <w:top w:val="nil"/>
                    <w:bottom w:val="nil"/>
                  </w:tcBorders>
                  <w:vAlign w:val="center"/>
                </w:tcPr>
                <w:p w14:paraId="091567B3" w14:textId="0F3B3117" w:rsidR="00C67DDB" w:rsidRPr="00CC2532" w:rsidRDefault="00C67DDB" w:rsidP="00C67DDB">
                  <w:pPr>
                    <w:jc w:val="center"/>
                    <w:rPr>
                      <w:sz w:val="20"/>
                    </w:rPr>
                  </w:pPr>
                  <w:r w:rsidRPr="00CC2532">
                    <w:rPr>
                      <w:sz w:val="20"/>
                    </w:rPr>
                    <w:t>10/12</w:t>
                  </w:r>
                </w:p>
              </w:tc>
              <w:tc>
                <w:tcPr>
                  <w:tcW w:w="1571" w:type="dxa"/>
                  <w:tcBorders>
                    <w:top w:val="nil"/>
                    <w:bottom w:val="nil"/>
                  </w:tcBorders>
                  <w:vAlign w:val="center"/>
                </w:tcPr>
                <w:p w14:paraId="1537F314" w14:textId="00269959" w:rsidR="00C67DDB" w:rsidRPr="00CC2532" w:rsidRDefault="00C67DDB" w:rsidP="00C67DDB">
                  <w:pPr>
                    <w:jc w:val="center"/>
                    <w:rPr>
                      <w:sz w:val="20"/>
                    </w:rPr>
                  </w:pPr>
                  <w:r w:rsidRPr="00CC2532">
                    <w:rPr>
                      <w:sz w:val="20"/>
                    </w:rPr>
                    <w:t>0,01 - 50</w:t>
                  </w:r>
                </w:p>
              </w:tc>
              <w:tc>
                <w:tcPr>
                  <w:tcW w:w="1299" w:type="dxa"/>
                  <w:tcBorders>
                    <w:top w:val="nil"/>
                    <w:bottom w:val="nil"/>
                  </w:tcBorders>
                  <w:vAlign w:val="center"/>
                </w:tcPr>
                <w:p w14:paraId="1E7510D2" w14:textId="716421BF" w:rsidR="00C67DDB" w:rsidRPr="00CC2532" w:rsidRDefault="00C67DDB" w:rsidP="00C67DDB">
                  <w:pPr>
                    <w:jc w:val="center"/>
                    <w:rPr>
                      <w:sz w:val="20"/>
                    </w:rPr>
                  </w:pPr>
                  <w:r w:rsidRPr="00CC2532">
                    <w:rPr>
                      <w:sz w:val="20"/>
                    </w:rPr>
                    <w:t>1 - 500</w:t>
                  </w:r>
                </w:p>
              </w:tc>
            </w:tr>
            <w:tr w:rsidR="00C67DDB" w:rsidRPr="00CC2532" w14:paraId="37F2C11F" w14:textId="77777777" w:rsidTr="00F10A78">
              <w:tc>
                <w:tcPr>
                  <w:tcW w:w="1435" w:type="dxa"/>
                  <w:tcBorders>
                    <w:top w:val="nil"/>
                    <w:bottom w:val="nil"/>
                  </w:tcBorders>
                  <w:vAlign w:val="center"/>
                </w:tcPr>
                <w:p w14:paraId="1E3E8682" w14:textId="3BC38060" w:rsidR="00C67DDB" w:rsidRPr="00CC2532" w:rsidRDefault="00C67DDB" w:rsidP="00C67DDB">
                  <w:pPr>
                    <w:jc w:val="center"/>
                    <w:rPr>
                      <w:sz w:val="20"/>
                    </w:rPr>
                  </w:pPr>
                  <w:r w:rsidRPr="00CC2532">
                    <w:rPr>
                      <w:sz w:val="20"/>
                    </w:rPr>
                    <w:t>5/6</w:t>
                  </w:r>
                </w:p>
              </w:tc>
              <w:tc>
                <w:tcPr>
                  <w:tcW w:w="1571" w:type="dxa"/>
                  <w:tcBorders>
                    <w:top w:val="nil"/>
                    <w:bottom w:val="nil"/>
                  </w:tcBorders>
                  <w:vAlign w:val="center"/>
                </w:tcPr>
                <w:p w14:paraId="5FBAF0A2" w14:textId="101EA15E" w:rsidR="00C67DDB" w:rsidRPr="00CC2532" w:rsidRDefault="00C67DDB" w:rsidP="00C67DDB">
                  <w:pPr>
                    <w:jc w:val="center"/>
                    <w:rPr>
                      <w:sz w:val="20"/>
                    </w:rPr>
                  </w:pPr>
                  <w:r w:rsidRPr="00CC2532">
                    <w:rPr>
                      <w:sz w:val="20"/>
                    </w:rPr>
                    <w:t>0,01 - 50</w:t>
                  </w:r>
                </w:p>
              </w:tc>
              <w:tc>
                <w:tcPr>
                  <w:tcW w:w="1299" w:type="dxa"/>
                  <w:tcBorders>
                    <w:top w:val="nil"/>
                    <w:bottom w:val="nil"/>
                  </w:tcBorders>
                  <w:vAlign w:val="center"/>
                </w:tcPr>
                <w:p w14:paraId="21AE54AA" w14:textId="02215C6F" w:rsidR="00C67DDB" w:rsidRPr="00CC2532" w:rsidRDefault="00C67DDB" w:rsidP="00C67DDB">
                  <w:pPr>
                    <w:jc w:val="center"/>
                    <w:rPr>
                      <w:sz w:val="20"/>
                    </w:rPr>
                  </w:pPr>
                  <w:r w:rsidRPr="00CC2532">
                    <w:rPr>
                      <w:sz w:val="20"/>
                    </w:rPr>
                    <w:t>1 - 300</w:t>
                  </w:r>
                </w:p>
              </w:tc>
            </w:tr>
            <w:tr w:rsidR="00C67DDB" w:rsidRPr="00CC2532" w14:paraId="1A22953A" w14:textId="77777777" w:rsidTr="00F10A78">
              <w:tc>
                <w:tcPr>
                  <w:tcW w:w="1435" w:type="dxa"/>
                  <w:tcBorders>
                    <w:top w:val="nil"/>
                  </w:tcBorders>
                  <w:vAlign w:val="center"/>
                </w:tcPr>
                <w:p w14:paraId="3326C991" w14:textId="26107433" w:rsidR="00C67DDB" w:rsidRPr="00CC2532" w:rsidRDefault="00C67DDB" w:rsidP="00C67DDB">
                  <w:pPr>
                    <w:jc w:val="center"/>
                    <w:rPr>
                      <w:sz w:val="20"/>
                    </w:rPr>
                  </w:pPr>
                  <w:r w:rsidRPr="00CC2532">
                    <w:rPr>
                      <w:sz w:val="20"/>
                    </w:rPr>
                    <w:t>2/3</w:t>
                  </w:r>
                </w:p>
              </w:tc>
              <w:tc>
                <w:tcPr>
                  <w:tcW w:w="1571" w:type="dxa"/>
                  <w:tcBorders>
                    <w:top w:val="nil"/>
                  </w:tcBorders>
                  <w:vAlign w:val="center"/>
                </w:tcPr>
                <w:p w14:paraId="720F83C8" w14:textId="58B35F95" w:rsidR="00C67DDB" w:rsidRPr="00CC2532" w:rsidRDefault="00C67DDB" w:rsidP="00C67DDB">
                  <w:pPr>
                    <w:jc w:val="center"/>
                    <w:rPr>
                      <w:sz w:val="20"/>
                    </w:rPr>
                  </w:pPr>
                  <w:r w:rsidRPr="00CC2532">
                    <w:rPr>
                      <w:sz w:val="20"/>
                    </w:rPr>
                    <w:t>0,01 - 25</w:t>
                  </w:r>
                </w:p>
              </w:tc>
              <w:tc>
                <w:tcPr>
                  <w:tcW w:w="1299" w:type="dxa"/>
                  <w:tcBorders>
                    <w:top w:val="nil"/>
                  </w:tcBorders>
                  <w:vAlign w:val="center"/>
                </w:tcPr>
                <w:p w14:paraId="583F9421" w14:textId="7466BD8E" w:rsidR="00C67DDB" w:rsidRPr="00CC2532" w:rsidRDefault="00C67DDB" w:rsidP="00C67DDB">
                  <w:pPr>
                    <w:jc w:val="center"/>
                    <w:rPr>
                      <w:sz w:val="20"/>
                    </w:rPr>
                  </w:pPr>
                  <w:r w:rsidRPr="00CC2532">
                    <w:rPr>
                      <w:sz w:val="20"/>
                    </w:rPr>
                    <w:t>1 - 150</w:t>
                  </w:r>
                </w:p>
              </w:tc>
            </w:tr>
          </w:tbl>
          <w:p w14:paraId="34FD19C0" w14:textId="437FDB10" w:rsidR="00E30205" w:rsidRPr="00CC2532" w:rsidRDefault="00E30205" w:rsidP="00094B12">
            <w:pPr>
              <w:rPr>
                <w:sz w:val="20"/>
              </w:rPr>
            </w:pPr>
          </w:p>
        </w:tc>
      </w:tr>
      <w:tr w:rsidR="00E30205" w:rsidRPr="00CC2532" w14:paraId="210AA7FC" w14:textId="77777777" w:rsidTr="008556D0"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21C2E7" w14:textId="5028B737" w:rsidR="00E30205" w:rsidRPr="00CC2532" w:rsidRDefault="00FC22CF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Kroky zvyšování rychlosti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B8187" w14:textId="77777777" w:rsidR="00E30205" w:rsidRPr="00CC2532" w:rsidRDefault="00FC22CF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0,1 - 99,99 ml v krocích po 0,01 ml</w:t>
            </w:r>
          </w:p>
          <w:p w14:paraId="4C3ED1FD" w14:textId="25D9F4AF" w:rsidR="00FC22CF" w:rsidRPr="00CC2532" w:rsidRDefault="00FC22CF" w:rsidP="00C62641">
            <w:pPr>
              <w:rPr>
                <w:sz w:val="20"/>
              </w:rPr>
            </w:pPr>
            <w:r w:rsidRPr="00CC2532">
              <w:rPr>
                <w:sz w:val="20"/>
              </w:rPr>
              <w:t>100,0 - 999,9 ml v krocích po 0,1 ml</w:t>
            </w:r>
          </w:p>
        </w:tc>
      </w:tr>
      <w:tr w:rsidR="00E30205" w:rsidRPr="00CC2532" w14:paraId="29726E05" w14:textId="77777777" w:rsidTr="0011064F"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3653B830" w14:textId="577BD9FF" w:rsidR="00E30205" w:rsidRPr="00CC2532" w:rsidRDefault="00C62641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Přesnost infuze bolusu</w:t>
            </w:r>
          </w:p>
        </w:tc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44CDE261" w14:textId="59C7F2F1" w:rsidR="00E30205" w:rsidRPr="00CC2532" w:rsidRDefault="00C62641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typ. ± 2 %</w:t>
            </w:r>
          </w:p>
        </w:tc>
      </w:tr>
      <w:tr w:rsidR="00C62641" w:rsidRPr="00CC2532" w14:paraId="3B4628A0" w14:textId="77777777" w:rsidTr="0011064F"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58D59602" w14:textId="1BB8AD75" w:rsidR="00C62641" w:rsidRPr="00CC2532" w:rsidRDefault="00C62641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Max. bolus po zmenšení bolusu</w:t>
            </w:r>
          </w:p>
        </w:tc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14E89FC6" w14:textId="2394113C" w:rsidR="00C62641" w:rsidRPr="00CC2532" w:rsidRDefault="00C62641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≤ 0,2 ml</w:t>
            </w:r>
          </w:p>
        </w:tc>
      </w:tr>
      <w:tr w:rsidR="00C62641" w:rsidRPr="00CC2532" w14:paraId="57F8A536" w14:textId="77777777" w:rsidTr="0011064F"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0D64288F" w14:textId="63E22631" w:rsidR="00C62641" w:rsidRPr="00CC2532" w:rsidRDefault="008556D0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Rychlost KVO</w:t>
            </w:r>
          </w:p>
        </w:tc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1403E54E" w14:textId="7D395EE7" w:rsidR="00C62641" w:rsidRPr="00CC2532" w:rsidRDefault="008556D0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 xml:space="preserve">Rychlost </w:t>
            </w:r>
            <w:r w:rsidRPr="00CC2532">
              <w:rPr>
                <w:rFonts w:ascii="Calibri" w:hAnsi="Calibri" w:cs="Calibri"/>
                <w:sz w:val="20"/>
              </w:rPr>
              <w:t>&gt;</w:t>
            </w:r>
            <w:r w:rsidRPr="00CC2532">
              <w:rPr>
                <w:sz w:val="20"/>
              </w:rPr>
              <w:t xml:space="preserve"> 10 ml/hod.:</w:t>
            </w:r>
          </w:p>
          <w:p w14:paraId="1CFAB13E" w14:textId="1A570FA4" w:rsidR="008556D0" w:rsidRPr="00CC2532" w:rsidRDefault="008556D0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rychlost KVO 3 ml/hod.</w:t>
            </w:r>
          </w:p>
          <w:p w14:paraId="77BD7B41" w14:textId="25DCEC21" w:rsidR="008556D0" w:rsidRPr="00CC2532" w:rsidRDefault="008556D0" w:rsidP="008556D0">
            <w:pPr>
              <w:rPr>
                <w:sz w:val="20"/>
              </w:rPr>
            </w:pPr>
            <w:r w:rsidRPr="00CC2532">
              <w:rPr>
                <w:sz w:val="20"/>
              </w:rPr>
              <w:t xml:space="preserve">Rychlost </w:t>
            </w:r>
            <w:r w:rsidRPr="00CC2532">
              <w:rPr>
                <w:rFonts w:ascii="Calibri" w:hAnsi="Calibri" w:cs="Calibri"/>
                <w:sz w:val="20"/>
              </w:rPr>
              <w:t>&lt;</w:t>
            </w:r>
            <w:r w:rsidRPr="00CC2532">
              <w:rPr>
                <w:sz w:val="20"/>
              </w:rPr>
              <w:t xml:space="preserve"> 10 ml/hod.:</w:t>
            </w:r>
          </w:p>
          <w:p w14:paraId="7C9EBBDD" w14:textId="7CDB68AB" w:rsidR="008556D0" w:rsidRPr="00CC2532" w:rsidRDefault="008556D0" w:rsidP="008556D0">
            <w:pPr>
              <w:rPr>
                <w:sz w:val="20"/>
              </w:rPr>
            </w:pPr>
            <w:r w:rsidRPr="00CC2532">
              <w:rPr>
                <w:sz w:val="20"/>
              </w:rPr>
              <w:t>rychlost KVO 1 ml/hod.</w:t>
            </w:r>
          </w:p>
          <w:p w14:paraId="7099FDAD" w14:textId="702F53E2" w:rsidR="008556D0" w:rsidRPr="00CC2532" w:rsidRDefault="008556D0" w:rsidP="008556D0">
            <w:pPr>
              <w:rPr>
                <w:sz w:val="20"/>
              </w:rPr>
            </w:pPr>
            <w:r w:rsidRPr="00CC2532">
              <w:rPr>
                <w:sz w:val="20"/>
              </w:rPr>
              <w:t xml:space="preserve">Rychlost </w:t>
            </w:r>
            <w:r w:rsidRPr="00CC2532">
              <w:rPr>
                <w:rFonts w:ascii="Calibri" w:hAnsi="Calibri" w:cs="Calibri"/>
                <w:sz w:val="20"/>
              </w:rPr>
              <w:t>&lt;</w:t>
            </w:r>
            <w:r w:rsidRPr="00CC2532">
              <w:rPr>
                <w:sz w:val="20"/>
              </w:rPr>
              <w:t xml:space="preserve"> 1 ml/hod.:</w:t>
            </w:r>
          </w:p>
          <w:p w14:paraId="60FE4477" w14:textId="77777777" w:rsidR="008556D0" w:rsidRPr="00CC2532" w:rsidRDefault="008556D0" w:rsidP="008556D0">
            <w:pPr>
              <w:rPr>
                <w:sz w:val="20"/>
              </w:rPr>
            </w:pPr>
            <w:r w:rsidRPr="00CC2532">
              <w:rPr>
                <w:sz w:val="20"/>
              </w:rPr>
              <w:t>rychlost KVO = nastavená rychlost</w:t>
            </w:r>
          </w:p>
          <w:p w14:paraId="5674C00D" w14:textId="75BB728F" w:rsidR="008556D0" w:rsidRPr="00CC2532" w:rsidRDefault="008556D0" w:rsidP="008556D0">
            <w:pPr>
              <w:rPr>
                <w:sz w:val="20"/>
              </w:rPr>
            </w:pPr>
            <w:r w:rsidRPr="00CC2532">
              <w:rPr>
                <w:sz w:val="20"/>
              </w:rPr>
              <w:t>(výchozí nastavení 0,1 ml/hod.)</w:t>
            </w:r>
          </w:p>
        </w:tc>
      </w:tr>
      <w:tr w:rsidR="008556D0" w:rsidRPr="00CC2532" w14:paraId="3F74779A" w14:textId="77777777" w:rsidTr="0011064F"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71EC5E0E" w14:textId="692352FE" w:rsidR="008556D0" w:rsidRPr="00CC2532" w:rsidRDefault="008556D0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Připojení k počítači</w:t>
            </w:r>
          </w:p>
        </w:tc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3055D882" w14:textId="77777777" w:rsidR="008556D0" w:rsidRPr="00CC2532" w:rsidRDefault="008556D0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Připojení přes USB v kombinaci se svodem</w:t>
            </w:r>
          </w:p>
          <w:p w14:paraId="095BFA9F" w14:textId="5BF6CBBB" w:rsidR="008556D0" w:rsidRPr="00CC2532" w:rsidRDefault="008556D0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s rozhraním B. Braun CAN SP (8713230)</w:t>
            </w:r>
          </w:p>
          <w:p w14:paraId="13E125D1" w14:textId="6C598EB4" w:rsidR="008556D0" w:rsidRPr="00CC2532" w:rsidRDefault="008556D0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včetně elektrické izolace.</w:t>
            </w:r>
          </w:p>
        </w:tc>
      </w:tr>
      <w:tr w:rsidR="008556D0" w:rsidRPr="00CC2532" w14:paraId="38CDCEC1" w14:textId="77777777" w:rsidTr="0011064F"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2F9E06EF" w14:textId="2BA55826" w:rsidR="008556D0" w:rsidRPr="00CC2532" w:rsidRDefault="008556D0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Protokol historie</w:t>
            </w:r>
          </w:p>
        </w:tc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01727AB2" w14:textId="77777777" w:rsidR="008556D0" w:rsidRPr="00CC2532" w:rsidRDefault="008556D0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&lt; 3000 posledních zadání v historii. 100</w:t>
            </w:r>
          </w:p>
          <w:p w14:paraId="5C7CBF90" w14:textId="7201D7EC" w:rsidR="008556D0" w:rsidRPr="00CC2532" w:rsidRDefault="008556D0" w:rsidP="00094B12">
            <w:pPr>
              <w:rPr>
                <w:rFonts w:ascii="Calibri" w:hAnsi="Calibri" w:cs="Calibri"/>
                <w:sz w:val="20"/>
              </w:rPr>
            </w:pPr>
            <w:r w:rsidRPr="00CC2532">
              <w:rPr>
                <w:sz w:val="20"/>
              </w:rPr>
              <w:t>události pro diagnózu systému.</w:t>
            </w:r>
          </w:p>
        </w:tc>
      </w:tr>
      <w:tr w:rsidR="008556D0" w:rsidRPr="00CC2532" w14:paraId="71230928" w14:textId="77777777" w:rsidTr="009F7360"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1C076E02" w14:textId="318A468A" w:rsidR="008556D0" w:rsidRPr="00CC2532" w:rsidRDefault="008556D0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Objem alarmu</w:t>
            </w:r>
          </w:p>
        </w:tc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641412D3" w14:textId="596ED1DD" w:rsidR="008556D0" w:rsidRPr="00CC2532" w:rsidRDefault="0011064F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 xml:space="preserve">9 úrovní od 1 (59 </w:t>
            </w:r>
            <w:proofErr w:type="spellStart"/>
            <w:r w:rsidRPr="00CC2532">
              <w:rPr>
                <w:sz w:val="20"/>
              </w:rPr>
              <w:t>dBA</w:t>
            </w:r>
            <w:proofErr w:type="spellEnd"/>
            <w:r w:rsidRPr="00CC2532">
              <w:rPr>
                <w:sz w:val="20"/>
              </w:rPr>
              <w:t xml:space="preserve">) do 9 (74 </w:t>
            </w:r>
            <w:proofErr w:type="spellStart"/>
            <w:r w:rsidRPr="00CC2532">
              <w:rPr>
                <w:sz w:val="20"/>
              </w:rPr>
              <w:t>dBA</w:t>
            </w:r>
            <w:proofErr w:type="spellEnd"/>
            <w:r w:rsidRPr="00CC2532">
              <w:rPr>
                <w:sz w:val="20"/>
              </w:rPr>
              <w:t>)</w:t>
            </w:r>
          </w:p>
        </w:tc>
      </w:tr>
      <w:tr w:rsidR="008556D0" w:rsidRPr="00CC2532" w14:paraId="3A573699" w14:textId="77777777" w:rsidTr="009F7360"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3F26E0F4" w14:textId="699A5CEE" w:rsidR="008556D0" w:rsidRPr="00CC2532" w:rsidRDefault="009F7360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Menu v češtině</w:t>
            </w:r>
          </w:p>
        </w:tc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5190C80B" w14:textId="77777777" w:rsidR="008556D0" w:rsidRPr="00CC2532" w:rsidRDefault="008556D0" w:rsidP="00094B12">
            <w:pPr>
              <w:rPr>
                <w:sz w:val="20"/>
              </w:rPr>
            </w:pPr>
          </w:p>
        </w:tc>
      </w:tr>
      <w:tr w:rsidR="009F7360" w:rsidRPr="00CC2532" w14:paraId="1BBEBB5A" w14:textId="77777777" w:rsidTr="009F7360"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674308E9" w14:textId="77FB7969" w:rsidR="009F7360" w:rsidRPr="00CC2532" w:rsidRDefault="009F7360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Knihovna výrobců a typů injekčních stříkaček</w:t>
            </w:r>
          </w:p>
        </w:tc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11B9B0C2" w14:textId="77777777" w:rsidR="009F7360" w:rsidRPr="00CC2532" w:rsidRDefault="009F7360" w:rsidP="00094B12">
            <w:pPr>
              <w:rPr>
                <w:sz w:val="20"/>
              </w:rPr>
            </w:pPr>
          </w:p>
        </w:tc>
      </w:tr>
      <w:tr w:rsidR="009F7360" w:rsidRPr="00CC2532" w14:paraId="6C0E921B" w14:textId="77777777" w:rsidTr="009F7360">
        <w:tc>
          <w:tcPr>
            <w:tcW w:w="906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17CCE99" w14:textId="670737E7" w:rsidR="009F7360" w:rsidRPr="00CC2532" w:rsidRDefault="009F7360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Ovládání a nastavování parametrů infuze pouze tlačítky</w:t>
            </w:r>
          </w:p>
        </w:tc>
      </w:tr>
      <w:tr w:rsidR="009F7360" w:rsidRPr="00CC2532" w14:paraId="296C4651" w14:textId="77777777" w:rsidTr="009F7360"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3025C8C5" w14:textId="2FBD7F7E" w:rsidR="009F7360" w:rsidRPr="00CC2532" w:rsidRDefault="009F7360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Samostatná tlačítka pro funkce:</w:t>
            </w:r>
          </w:p>
        </w:tc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0191370C" w14:textId="77777777" w:rsidR="009F7360" w:rsidRPr="00CC2532" w:rsidRDefault="009F7360" w:rsidP="00094B12">
            <w:pPr>
              <w:rPr>
                <w:sz w:val="20"/>
              </w:rPr>
            </w:pPr>
          </w:p>
          <w:p w14:paraId="3AFD25E2" w14:textId="77777777" w:rsidR="009F7360" w:rsidRPr="00CC2532" w:rsidRDefault="009F7360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 xml:space="preserve">- </w:t>
            </w:r>
            <w:proofErr w:type="spellStart"/>
            <w:r w:rsidRPr="00CC2532">
              <w:rPr>
                <w:sz w:val="20"/>
              </w:rPr>
              <w:t>Zap</w:t>
            </w:r>
            <w:proofErr w:type="spellEnd"/>
            <w:r w:rsidRPr="00CC2532">
              <w:rPr>
                <w:sz w:val="20"/>
              </w:rPr>
              <w:t>/</w:t>
            </w:r>
            <w:proofErr w:type="spellStart"/>
            <w:r w:rsidRPr="00CC2532">
              <w:rPr>
                <w:sz w:val="20"/>
              </w:rPr>
              <w:t>Vyp</w:t>
            </w:r>
            <w:proofErr w:type="spellEnd"/>
          </w:p>
          <w:p w14:paraId="640FC832" w14:textId="77777777" w:rsidR="009F7360" w:rsidRPr="00CC2532" w:rsidRDefault="009F7360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- Start/Stop</w:t>
            </w:r>
          </w:p>
          <w:p w14:paraId="6401E340" w14:textId="77777777" w:rsidR="009F7360" w:rsidRPr="00CC2532" w:rsidRDefault="009F7360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- Potlačení/ztišení alarmu</w:t>
            </w:r>
          </w:p>
          <w:p w14:paraId="077DDC7F" w14:textId="77777777" w:rsidR="009F7360" w:rsidRPr="00CC2532" w:rsidRDefault="009F7360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- Smazat zadání/návrat do vyšší úrovně menu</w:t>
            </w:r>
          </w:p>
          <w:p w14:paraId="3493E95C" w14:textId="58067B35" w:rsidR="009F7360" w:rsidRPr="00CC2532" w:rsidRDefault="009F7360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- Bolus</w:t>
            </w:r>
          </w:p>
        </w:tc>
      </w:tr>
      <w:tr w:rsidR="009F7360" w:rsidRPr="00CC2532" w14:paraId="72E2BCB7" w14:textId="77777777" w:rsidTr="009F7360"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46861868" w14:textId="1079D28C" w:rsidR="009F7360" w:rsidRPr="00CC2532" w:rsidRDefault="009F7360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>Možnost blokace tlačítek (zámek klávesnice)</w:t>
            </w:r>
          </w:p>
        </w:tc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21632081" w14:textId="77777777" w:rsidR="009F7360" w:rsidRPr="00CC2532" w:rsidRDefault="009F7360" w:rsidP="00094B12">
            <w:pPr>
              <w:rPr>
                <w:sz w:val="20"/>
              </w:rPr>
            </w:pPr>
          </w:p>
        </w:tc>
      </w:tr>
      <w:tr w:rsidR="009F7360" w:rsidRPr="00CC2532" w14:paraId="79317B85" w14:textId="77777777" w:rsidTr="009F7360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6EBA3934" w14:textId="18AF92FB" w:rsidR="009F7360" w:rsidRPr="00CC2532" w:rsidRDefault="009F7360" w:rsidP="00094B12">
            <w:pPr>
              <w:rPr>
                <w:sz w:val="20"/>
              </w:rPr>
            </w:pPr>
            <w:r w:rsidRPr="00CC2532">
              <w:rPr>
                <w:sz w:val="20"/>
              </w:rPr>
              <w:t xml:space="preserve">Plnohodnotná kompatibilita s </w:t>
            </w:r>
            <w:proofErr w:type="spellStart"/>
            <w:r w:rsidRPr="00CC2532">
              <w:rPr>
                <w:sz w:val="20"/>
              </w:rPr>
              <w:t>dokovací</w:t>
            </w:r>
            <w:proofErr w:type="spellEnd"/>
            <w:r w:rsidRPr="00CC2532">
              <w:rPr>
                <w:sz w:val="20"/>
              </w:rPr>
              <w:t xml:space="preserve"> stanicí </w:t>
            </w:r>
            <w:proofErr w:type="spellStart"/>
            <w:r w:rsidRPr="00CC2532">
              <w:rPr>
                <w:sz w:val="20"/>
              </w:rPr>
              <w:t>SpaceStation</w:t>
            </w:r>
            <w:proofErr w:type="spellEnd"/>
          </w:p>
        </w:tc>
      </w:tr>
    </w:tbl>
    <w:p w14:paraId="3102D253" w14:textId="61D6D652" w:rsidR="00961925" w:rsidRPr="00CC2532" w:rsidRDefault="009F7360" w:rsidP="00094B12">
      <w:pPr>
        <w:rPr>
          <w:b/>
          <w:sz w:val="20"/>
        </w:rPr>
      </w:pPr>
      <w:r w:rsidRPr="00CC2532">
        <w:rPr>
          <w:b/>
          <w:sz w:val="20"/>
        </w:rPr>
        <w:t>Dodávka bez napájecího adaptéru / kabelu a bez držáku na infuzní tyč pro samostatné použití</w:t>
      </w:r>
    </w:p>
    <w:sectPr w:rsidR="00961925" w:rsidRPr="00CC2532" w:rsidSect="00D071E8">
      <w:headerReference w:type="default" r:id="rId12"/>
      <w:footerReference w:type="defaul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0ACAC7" w14:textId="77777777" w:rsidR="00642C81" w:rsidRDefault="00642C81" w:rsidP="00FF18EB">
      <w:pPr>
        <w:spacing w:line="240" w:lineRule="auto"/>
      </w:pPr>
      <w:r>
        <w:separator/>
      </w:r>
    </w:p>
    <w:p w14:paraId="6711D87B" w14:textId="77777777" w:rsidR="00133D51" w:rsidRDefault="00133D51"/>
  </w:endnote>
  <w:endnote w:type="continuationSeparator" w:id="0">
    <w:p w14:paraId="5FDE95DA" w14:textId="77777777" w:rsidR="00642C81" w:rsidRDefault="00642C81" w:rsidP="00FF18EB">
      <w:pPr>
        <w:spacing w:line="240" w:lineRule="auto"/>
      </w:pPr>
      <w:r>
        <w:continuationSeparator/>
      </w:r>
    </w:p>
    <w:p w14:paraId="7927C115" w14:textId="77777777" w:rsidR="00133D51" w:rsidRDefault="00133D51"/>
  </w:endnote>
  <w:endnote w:type="continuationNotice" w:id="1">
    <w:p w14:paraId="6FC84826" w14:textId="77777777" w:rsidR="000626EF" w:rsidRDefault="000626E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E22B46" w:rsidRPr="00E22B46">
          <w:rPr>
            <w:rFonts w:ascii="Arial" w:hAnsi="Arial"/>
            <w:noProof/>
            <w:sz w:val="20"/>
            <w:lang w:val="cs-CZ"/>
          </w:rPr>
          <w:t>12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45D36" w14:textId="77777777" w:rsidR="00642C81" w:rsidRDefault="00642C81" w:rsidP="00FF18EB">
      <w:pPr>
        <w:spacing w:line="240" w:lineRule="auto"/>
      </w:pPr>
      <w:r>
        <w:separator/>
      </w:r>
    </w:p>
    <w:p w14:paraId="31F8BFB4" w14:textId="77777777" w:rsidR="00133D51" w:rsidRDefault="00133D51"/>
  </w:footnote>
  <w:footnote w:type="continuationSeparator" w:id="0">
    <w:p w14:paraId="41534815" w14:textId="77777777" w:rsidR="00642C81" w:rsidRDefault="00642C81" w:rsidP="00FF18EB">
      <w:pPr>
        <w:spacing w:line="240" w:lineRule="auto"/>
      </w:pPr>
      <w:r>
        <w:continuationSeparator/>
      </w:r>
    </w:p>
    <w:p w14:paraId="33013614" w14:textId="77777777" w:rsidR="00133D51" w:rsidRDefault="00133D51"/>
  </w:footnote>
  <w:footnote w:type="continuationNotice" w:id="1">
    <w:p w14:paraId="6363C076" w14:textId="77777777" w:rsidR="000626EF" w:rsidRDefault="000626E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4D667" w14:textId="281CC28B" w:rsidR="00EF25C3" w:rsidRPr="00EF25C3" w:rsidRDefault="00EF25C3" w:rsidP="00EF25C3">
    <w:pPr>
      <w:pStyle w:val="Zhlav"/>
      <w:jc w:val="right"/>
      <w:rPr>
        <w:lang w:val="cs-CZ"/>
      </w:rPr>
    </w:pPr>
    <w:r>
      <w:rPr>
        <w:lang w:val="cs-CZ"/>
      </w:rPr>
      <w:t>KP/0295/2025/</w:t>
    </w:r>
    <w:proofErr w:type="spellStart"/>
    <w:r>
      <w:rPr>
        <w:lang w:val="cs-CZ"/>
      </w:rPr>
      <w:t>Du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C365E"/>
    <w:multiLevelType w:val="hybridMultilevel"/>
    <w:tmpl w:val="DEA27A4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FAD40"/>
    <w:multiLevelType w:val="hybridMultilevel"/>
    <w:tmpl w:val="E9C0236C"/>
    <w:lvl w:ilvl="0" w:tplc="286AD2F6">
      <w:start w:val="1"/>
      <w:numFmt w:val="decimal"/>
      <w:lvlText w:val="%1."/>
      <w:lvlJc w:val="left"/>
      <w:pPr>
        <w:ind w:left="720" w:hanging="360"/>
      </w:pPr>
    </w:lvl>
    <w:lvl w:ilvl="1" w:tplc="B1301966">
      <w:start w:val="9"/>
      <w:numFmt w:val="upperLetter"/>
      <w:lvlText w:val="%2.1"/>
      <w:lvlJc w:val="left"/>
      <w:pPr>
        <w:ind w:left="1440" w:hanging="360"/>
      </w:pPr>
    </w:lvl>
    <w:lvl w:ilvl="2" w:tplc="AD54E4AC">
      <w:start w:val="1"/>
      <w:numFmt w:val="lowerRoman"/>
      <w:lvlText w:val="%3."/>
      <w:lvlJc w:val="right"/>
      <w:pPr>
        <w:ind w:left="2160" w:hanging="180"/>
      </w:pPr>
    </w:lvl>
    <w:lvl w:ilvl="3" w:tplc="468831BA">
      <w:start w:val="1"/>
      <w:numFmt w:val="decimal"/>
      <w:lvlText w:val="%4."/>
      <w:lvlJc w:val="left"/>
      <w:pPr>
        <w:ind w:left="2880" w:hanging="360"/>
      </w:pPr>
    </w:lvl>
    <w:lvl w:ilvl="4" w:tplc="0A5821EA">
      <w:start w:val="1"/>
      <w:numFmt w:val="lowerLetter"/>
      <w:lvlText w:val="%5."/>
      <w:lvlJc w:val="left"/>
      <w:pPr>
        <w:ind w:left="3600" w:hanging="360"/>
      </w:pPr>
    </w:lvl>
    <w:lvl w:ilvl="5" w:tplc="81A64A8C">
      <w:start w:val="1"/>
      <w:numFmt w:val="lowerRoman"/>
      <w:lvlText w:val="%6."/>
      <w:lvlJc w:val="right"/>
      <w:pPr>
        <w:ind w:left="4320" w:hanging="180"/>
      </w:pPr>
    </w:lvl>
    <w:lvl w:ilvl="6" w:tplc="684CBD1A">
      <w:start w:val="1"/>
      <w:numFmt w:val="decimal"/>
      <w:lvlText w:val="%7."/>
      <w:lvlJc w:val="left"/>
      <w:pPr>
        <w:ind w:left="5040" w:hanging="360"/>
      </w:pPr>
    </w:lvl>
    <w:lvl w:ilvl="7" w:tplc="2ECEF38A">
      <w:start w:val="1"/>
      <w:numFmt w:val="lowerLetter"/>
      <w:lvlText w:val="%8."/>
      <w:lvlJc w:val="left"/>
      <w:pPr>
        <w:ind w:left="5760" w:hanging="360"/>
      </w:pPr>
    </w:lvl>
    <w:lvl w:ilvl="8" w:tplc="7CB8FDC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E217F"/>
    <w:multiLevelType w:val="hybridMultilevel"/>
    <w:tmpl w:val="79C87E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9"/>
  </w:num>
  <w:num w:numId="5">
    <w:abstractNumId w:val="13"/>
  </w:num>
  <w:num w:numId="6">
    <w:abstractNumId w:val="10"/>
  </w:num>
  <w:num w:numId="7">
    <w:abstractNumId w:val="3"/>
  </w:num>
  <w:num w:numId="8">
    <w:abstractNumId w:val="8"/>
  </w:num>
  <w:num w:numId="9">
    <w:abstractNumId w:val="14"/>
  </w:num>
  <w:num w:numId="10">
    <w:abstractNumId w:val="5"/>
  </w:num>
  <w:num w:numId="11">
    <w:abstractNumId w:val="11"/>
  </w:num>
  <w:num w:numId="12">
    <w:abstractNumId w:val="1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0"/>
  </w:num>
  <w:num w:numId="16">
    <w:abstractNumId w:val="4"/>
  </w:num>
  <w:num w:numId="17">
    <w:abstractNumId w:val="7"/>
  </w:num>
  <w:num w:numId="18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26EF"/>
    <w:rsid w:val="00063C28"/>
    <w:rsid w:val="00064EF8"/>
    <w:rsid w:val="0006514B"/>
    <w:rsid w:val="00071C55"/>
    <w:rsid w:val="00073199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A4323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064F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3909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0E03"/>
    <w:rsid w:val="00202E4E"/>
    <w:rsid w:val="002039E1"/>
    <w:rsid w:val="002100CE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3109"/>
    <w:rsid w:val="0030402A"/>
    <w:rsid w:val="003073CD"/>
    <w:rsid w:val="003122E6"/>
    <w:rsid w:val="00312759"/>
    <w:rsid w:val="00316F72"/>
    <w:rsid w:val="00321AEE"/>
    <w:rsid w:val="00327588"/>
    <w:rsid w:val="00330DC4"/>
    <w:rsid w:val="003360BF"/>
    <w:rsid w:val="00340EA3"/>
    <w:rsid w:val="00341AD8"/>
    <w:rsid w:val="003477DB"/>
    <w:rsid w:val="00351229"/>
    <w:rsid w:val="00355E79"/>
    <w:rsid w:val="0037175F"/>
    <w:rsid w:val="003735F9"/>
    <w:rsid w:val="00374192"/>
    <w:rsid w:val="00375955"/>
    <w:rsid w:val="00376881"/>
    <w:rsid w:val="00377FDB"/>
    <w:rsid w:val="00382BA9"/>
    <w:rsid w:val="00382D5D"/>
    <w:rsid w:val="003849EA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3409"/>
    <w:rsid w:val="004453FF"/>
    <w:rsid w:val="00445588"/>
    <w:rsid w:val="0044678A"/>
    <w:rsid w:val="00457F76"/>
    <w:rsid w:val="00464FBC"/>
    <w:rsid w:val="004820A4"/>
    <w:rsid w:val="00487BCE"/>
    <w:rsid w:val="00494052"/>
    <w:rsid w:val="004A1880"/>
    <w:rsid w:val="004A6335"/>
    <w:rsid w:val="004B1CBE"/>
    <w:rsid w:val="004B52F7"/>
    <w:rsid w:val="004B647F"/>
    <w:rsid w:val="004B7BE2"/>
    <w:rsid w:val="004C2151"/>
    <w:rsid w:val="004D237F"/>
    <w:rsid w:val="004D49EE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3C92"/>
    <w:rsid w:val="00546C21"/>
    <w:rsid w:val="005515B0"/>
    <w:rsid w:val="005602F1"/>
    <w:rsid w:val="00560C16"/>
    <w:rsid w:val="005627DD"/>
    <w:rsid w:val="00563528"/>
    <w:rsid w:val="00571D58"/>
    <w:rsid w:val="0058691F"/>
    <w:rsid w:val="00586BB3"/>
    <w:rsid w:val="005A31F8"/>
    <w:rsid w:val="005A3B45"/>
    <w:rsid w:val="005A6D97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2BA"/>
    <w:rsid w:val="00605F71"/>
    <w:rsid w:val="00611D27"/>
    <w:rsid w:val="006124A5"/>
    <w:rsid w:val="00614829"/>
    <w:rsid w:val="006151C2"/>
    <w:rsid w:val="00620394"/>
    <w:rsid w:val="00620A9D"/>
    <w:rsid w:val="006260B6"/>
    <w:rsid w:val="00626A1F"/>
    <w:rsid w:val="00633149"/>
    <w:rsid w:val="00635A9B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AEC"/>
    <w:rsid w:val="00821D5C"/>
    <w:rsid w:val="008338EF"/>
    <w:rsid w:val="00841443"/>
    <w:rsid w:val="00842E4D"/>
    <w:rsid w:val="00842E64"/>
    <w:rsid w:val="0085307C"/>
    <w:rsid w:val="008556D0"/>
    <w:rsid w:val="008645D8"/>
    <w:rsid w:val="00865A8C"/>
    <w:rsid w:val="00871625"/>
    <w:rsid w:val="008877B1"/>
    <w:rsid w:val="008903ED"/>
    <w:rsid w:val="008A4B00"/>
    <w:rsid w:val="008C0647"/>
    <w:rsid w:val="008C0AC6"/>
    <w:rsid w:val="008C4E66"/>
    <w:rsid w:val="008D0213"/>
    <w:rsid w:val="008D17FE"/>
    <w:rsid w:val="008D45BA"/>
    <w:rsid w:val="008E5700"/>
    <w:rsid w:val="008E630B"/>
    <w:rsid w:val="008F5230"/>
    <w:rsid w:val="008F6BCC"/>
    <w:rsid w:val="00901F83"/>
    <w:rsid w:val="00903293"/>
    <w:rsid w:val="00907806"/>
    <w:rsid w:val="00914B3F"/>
    <w:rsid w:val="00916EE4"/>
    <w:rsid w:val="009206F6"/>
    <w:rsid w:val="0092292F"/>
    <w:rsid w:val="0092375D"/>
    <w:rsid w:val="00924699"/>
    <w:rsid w:val="00931C39"/>
    <w:rsid w:val="00932EBD"/>
    <w:rsid w:val="00954321"/>
    <w:rsid w:val="009547FF"/>
    <w:rsid w:val="00957978"/>
    <w:rsid w:val="009606A3"/>
    <w:rsid w:val="00961803"/>
    <w:rsid w:val="00961925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4BEB"/>
    <w:rsid w:val="009C5FFD"/>
    <w:rsid w:val="009C7D00"/>
    <w:rsid w:val="009D3B32"/>
    <w:rsid w:val="009E1C26"/>
    <w:rsid w:val="009F3BF8"/>
    <w:rsid w:val="009F3C21"/>
    <w:rsid w:val="009F6381"/>
    <w:rsid w:val="009F6BC2"/>
    <w:rsid w:val="009F7360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65C6A"/>
    <w:rsid w:val="00A71BE8"/>
    <w:rsid w:val="00A739A7"/>
    <w:rsid w:val="00A73C62"/>
    <w:rsid w:val="00A74BD6"/>
    <w:rsid w:val="00A75857"/>
    <w:rsid w:val="00A92F5B"/>
    <w:rsid w:val="00A9354F"/>
    <w:rsid w:val="00A937E1"/>
    <w:rsid w:val="00AA0B1A"/>
    <w:rsid w:val="00AA378C"/>
    <w:rsid w:val="00AA4A75"/>
    <w:rsid w:val="00AA4B53"/>
    <w:rsid w:val="00AB13EA"/>
    <w:rsid w:val="00AB2F46"/>
    <w:rsid w:val="00AB5C8B"/>
    <w:rsid w:val="00AB799A"/>
    <w:rsid w:val="00AB7B77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4A0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2483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0110"/>
    <w:rsid w:val="00C142B5"/>
    <w:rsid w:val="00C1447C"/>
    <w:rsid w:val="00C268BD"/>
    <w:rsid w:val="00C2727E"/>
    <w:rsid w:val="00C27F0F"/>
    <w:rsid w:val="00C33CDF"/>
    <w:rsid w:val="00C342FE"/>
    <w:rsid w:val="00C40168"/>
    <w:rsid w:val="00C45456"/>
    <w:rsid w:val="00C61AD5"/>
    <w:rsid w:val="00C61C6C"/>
    <w:rsid w:val="00C62641"/>
    <w:rsid w:val="00C646F4"/>
    <w:rsid w:val="00C65D56"/>
    <w:rsid w:val="00C67DDB"/>
    <w:rsid w:val="00C7138F"/>
    <w:rsid w:val="00C71D12"/>
    <w:rsid w:val="00C73746"/>
    <w:rsid w:val="00C76004"/>
    <w:rsid w:val="00C90967"/>
    <w:rsid w:val="00C970BF"/>
    <w:rsid w:val="00C978A8"/>
    <w:rsid w:val="00CA7146"/>
    <w:rsid w:val="00CB01C4"/>
    <w:rsid w:val="00CB59AF"/>
    <w:rsid w:val="00CB6A3D"/>
    <w:rsid w:val="00CC0F64"/>
    <w:rsid w:val="00CC12D2"/>
    <w:rsid w:val="00CC2532"/>
    <w:rsid w:val="00CC27EF"/>
    <w:rsid w:val="00CD4D27"/>
    <w:rsid w:val="00CD5440"/>
    <w:rsid w:val="00CD60EF"/>
    <w:rsid w:val="00CD61FC"/>
    <w:rsid w:val="00CF0B12"/>
    <w:rsid w:val="00CF2635"/>
    <w:rsid w:val="00CF49B2"/>
    <w:rsid w:val="00D000FE"/>
    <w:rsid w:val="00D02EDB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22B46"/>
    <w:rsid w:val="00E30205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25C3"/>
    <w:rsid w:val="00EF4125"/>
    <w:rsid w:val="00EF46EE"/>
    <w:rsid w:val="00F01FFB"/>
    <w:rsid w:val="00F043D4"/>
    <w:rsid w:val="00F06B76"/>
    <w:rsid w:val="00F10A78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5430E"/>
    <w:rsid w:val="00F63181"/>
    <w:rsid w:val="00F65DE8"/>
    <w:rsid w:val="00F7334F"/>
    <w:rsid w:val="00F74782"/>
    <w:rsid w:val="00F8343D"/>
    <w:rsid w:val="00F83F67"/>
    <w:rsid w:val="00F86F9D"/>
    <w:rsid w:val="00F91A23"/>
    <w:rsid w:val="00F958D2"/>
    <w:rsid w:val="00F96C73"/>
    <w:rsid w:val="00F97FE0"/>
    <w:rsid w:val="00FB373A"/>
    <w:rsid w:val="00FB43BE"/>
    <w:rsid w:val="00FC0959"/>
    <w:rsid w:val="00FC22CF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0FF73F1"/>
    <w:rsid w:val="068DCB81"/>
    <w:rsid w:val="08B0CC4E"/>
    <w:rsid w:val="0D3F1CBE"/>
    <w:rsid w:val="0EEB4593"/>
    <w:rsid w:val="181A5482"/>
    <w:rsid w:val="18879CD4"/>
    <w:rsid w:val="18C84BC9"/>
    <w:rsid w:val="19907203"/>
    <w:rsid w:val="1E4ABBC1"/>
    <w:rsid w:val="1F08FC34"/>
    <w:rsid w:val="1F65EC90"/>
    <w:rsid w:val="21279468"/>
    <w:rsid w:val="239E3158"/>
    <w:rsid w:val="250F301E"/>
    <w:rsid w:val="25F28361"/>
    <w:rsid w:val="2705C89A"/>
    <w:rsid w:val="28366225"/>
    <w:rsid w:val="3095AAC4"/>
    <w:rsid w:val="35964F08"/>
    <w:rsid w:val="36698B26"/>
    <w:rsid w:val="38690F1A"/>
    <w:rsid w:val="3C6ED8A4"/>
    <w:rsid w:val="3CD0218A"/>
    <w:rsid w:val="41D674D0"/>
    <w:rsid w:val="451756F3"/>
    <w:rsid w:val="46B32754"/>
    <w:rsid w:val="49ED3F43"/>
    <w:rsid w:val="4B73C44D"/>
    <w:rsid w:val="4BB76EE7"/>
    <w:rsid w:val="50995BF3"/>
    <w:rsid w:val="53659070"/>
    <w:rsid w:val="592CC486"/>
    <w:rsid w:val="5BAEA329"/>
    <w:rsid w:val="5C8AB425"/>
    <w:rsid w:val="5FDC05B4"/>
    <w:rsid w:val="62A99897"/>
    <w:rsid w:val="67056C94"/>
    <w:rsid w:val="680E8F24"/>
    <w:rsid w:val="696F2DA2"/>
    <w:rsid w:val="6F398BD9"/>
    <w:rsid w:val="719E714E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6b4bee-9ecb-46ac-86d7-09b4ed820ac6" xsi:nil="true"/>
    <lcf76f155ced4ddcb4097134ff3c332f xmlns="b819e8a2-80d6-4feb-877e-9dc7910799fc">
      <Terms xmlns="http://schemas.microsoft.com/office/infopath/2007/PartnerControls"/>
    </lcf76f155ced4ddcb4097134ff3c332f>
    <_dlc_DocId xmlns="ef2aa88a-5f2f-4f2b-9a3e-77c70cb46416">TQMWSYHV73RW-1854365106-72006</_dlc_DocId>
    <_dlc_DocIdUrl xmlns="ef2aa88a-5f2f-4f2b-9a3e-77c70cb46416">
      <Url>https://bbraun.sharepoint.com/sites/bbraun_eis_czsk_ovz/_layouts/15/DocIdRedir.aspx?ID=TQMWSYHV73RW-1854365106-72006</Url>
      <Description>TQMWSYHV73RW-1854365106-72006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2715579F33F243B1517D70D0CBE0B1" ma:contentTypeVersion="13" ma:contentTypeDescription="Create a new document." ma:contentTypeScope="" ma:versionID="e209ee303400ba19eecf2eddd58c0db1">
  <xsd:schema xmlns:xsd="http://www.w3.org/2001/XMLSchema" xmlns:xs="http://www.w3.org/2001/XMLSchema" xmlns:p="http://schemas.microsoft.com/office/2006/metadata/properties" xmlns:ns2="ef2aa88a-5f2f-4f2b-9a3e-77c70cb46416" xmlns:ns3="b819e8a2-80d6-4feb-877e-9dc7910799fc" xmlns:ns4="336b4bee-9ecb-46ac-86d7-09b4ed820ac6" targetNamespace="http://schemas.microsoft.com/office/2006/metadata/properties" ma:root="true" ma:fieldsID="22c2f5a8cfe90bfabac0123e1fe79820" ns2:_="" ns3:_="" ns4:_="">
    <xsd:import namespace="ef2aa88a-5f2f-4f2b-9a3e-77c70cb46416"/>
    <xsd:import namespace="b819e8a2-80d6-4feb-877e-9dc7910799fc"/>
    <xsd:import namespace="336b4bee-9ecb-46ac-86d7-09b4ed820ac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aa88a-5f2f-4f2b-9a3e-77c70cb464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9e8a2-80d6-4feb-877e-9dc791079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b4bee-9ecb-46ac-86d7-09b4ed820ac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b95da1-5e1e-4068-92e4-961a940db5d0}" ma:internalName="TaxCatchAll" ma:showField="CatchAllData" ma:web="336b4bee-9ecb-46ac-86d7-09b4ed820a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93648-9B83-4D60-8C33-CE2CC3A8917C}">
  <ds:schemaRefs>
    <ds:schemaRef ds:uri="http://purl.org/dc/terms/"/>
    <ds:schemaRef ds:uri="336b4bee-9ecb-46ac-86d7-09b4ed820ac6"/>
    <ds:schemaRef ds:uri="b819e8a2-80d6-4feb-877e-9dc7910799fc"/>
    <ds:schemaRef ds:uri="http://schemas.microsoft.com/office/2006/documentManagement/types"/>
    <ds:schemaRef ds:uri="ef2aa88a-5f2f-4f2b-9a3e-77c70cb46416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2EFDEB9-74BF-4748-9969-027D059811A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1ADE5A-2444-4F68-9AAD-4F5FF1705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aa88a-5f2f-4f2b-9a3e-77c70cb46416"/>
    <ds:schemaRef ds:uri="b819e8a2-80d6-4feb-877e-9dc7910799fc"/>
    <ds:schemaRef ds:uri="336b4bee-9ecb-46ac-86d7-09b4ed820a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280095C-1154-4368-85EC-2689AF22E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12</Pages>
  <Words>4947</Words>
  <Characters>29194</Characters>
  <Application>Microsoft Office Word</Application>
  <DocSecurity>0</DocSecurity>
  <Lines>243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34073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Dujková Kateřina</cp:lastModifiedBy>
  <cp:revision>102</cp:revision>
  <cp:lastPrinted>2022-05-10T08:07:00Z</cp:lastPrinted>
  <dcterms:created xsi:type="dcterms:W3CDTF">2022-02-16T08:30:00Z</dcterms:created>
  <dcterms:modified xsi:type="dcterms:W3CDTF">2025-01-28T12:08:00Z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0x010100372715579F33F243B1517D70D0CBE0B1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MSIP_Label_a8de25a8-ef47-40a7-b7ec-c38f3edc2acf_Enabled">
    <vt:lpwstr>true</vt:lpwstr>
  </property>
  <property fmtid="{D5CDD505-2E9C-101B-9397-08002B2CF9AE}" pid="8" name="MSIP_Label_a8de25a8-ef47-40a7-b7ec-c38f3edc2acf_SetDate">
    <vt:lpwstr>2024-12-17T07:38:25Z</vt:lpwstr>
  </property>
  <property fmtid="{D5CDD505-2E9C-101B-9397-08002B2CF9AE}" pid="9" name="MSIP_Label_a8de25a8-ef47-40a7-b7ec-c38f3edc2acf_Method">
    <vt:lpwstr>Standard</vt:lpwstr>
  </property>
  <property fmtid="{D5CDD505-2E9C-101B-9397-08002B2CF9AE}" pid="10" name="MSIP_Label_a8de25a8-ef47-40a7-b7ec-c38f3edc2acf_Name">
    <vt:lpwstr>a8de25a8-ef47-40a7-b7ec-c38f3edc2acf</vt:lpwstr>
  </property>
  <property fmtid="{D5CDD505-2E9C-101B-9397-08002B2CF9AE}" pid="11" name="MSIP_Label_a8de25a8-ef47-40a7-b7ec-c38f3edc2acf_SiteId">
    <vt:lpwstr>15d1bef2-0a6a-46f9-be4c-023279325e51</vt:lpwstr>
  </property>
  <property fmtid="{D5CDD505-2E9C-101B-9397-08002B2CF9AE}" pid="12" name="MSIP_Label_a8de25a8-ef47-40a7-b7ec-c38f3edc2acf_ActionId">
    <vt:lpwstr>9b20f50a-cb36-4deb-b9e0-ca090ece1068</vt:lpwstr>
  </property>
  <property fmtid="{D5CDD505-2E9C-101B-9397-08002B2CF9AE}" pid="13" name="MSIP_Label_a8de25a8-ef47-40a7-b7ec-c38f3edc2acf_ContentBits">
    <vt:lpwstr>0</vt:lpwstr>
  </property>
  <property fmtid="{D5CDD505-2E9C-101B-9397-08002B2CF9AE}" pid="14" name="_dlc_DocIdItemGuid">
    <vt:lpwstr>43c0192c-e530-4961-a820-bb498a0cb2aa</vt:lpwstr>
  </property>
</Properties>
</file>