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</w:t>
      </w:r>
      <w:r>
        <w:rPr>
          <w:spacing w:val="-8"/>
        </w:rPr>
        <w:t>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4135"/>
        <w:gridCol w:w="2831"/>
        <w:gridCol w:w="5012"/>
      </w:tblGrid>
      <w:tr>
        <w:trPr>
          <w:trHeight w:val="983" w:hRule="atLeast"/>
        </w:trPr>
        <w:tc>
          <w:tcPr>
            <w:tcW w:w="3263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297" w:lineRule="auto" w:before="0"/>
              <w:ind w:left="40" w:right="151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 Název projektu: Název</w:t>
            </w:r>
            <w:r>
              <w:rPr>
                <w:color w:val="6C777E"/>
                <w:spacing w:val="-13"/>
                <w:sz w:val="18"/>
              </w:rPr>
              <w:t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2"/>
                <w:sz w:val="18"/>
              </w:rPr>
              <w:t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135" w:type="dxa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ind w:left="5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Městys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Vojnův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Městec</w:t>
            </w:r>
          </w:p>
          <w:p>
            <w:pPr>
              <w:pStyle w:val="TableParagraph"/>
              <w:spacing w:line="297" w:lineRule="auto" w:before="56"/>
              <w:ind w:left="5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Zkapacitnění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vodovodu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Vojnův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Městec Kofinancování NPŽP</w:t>
            </w:r>
          </w:p>
        </w:tc>
        <w:tc>
          <w:tcPr>
            <w:tcW w:w="7843" w:type="dxa"/>
            <w:gridSpan w:val="2"/>
            <w:tcBorders>
              <w:bottom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3263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1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číslo:</w:t>
            </w:r>
          </w:p>
        </w:tc>
        <w:tc>
          <w:tcPr>
            <w:tcW w:w="4135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24001738</w:t>
            </w:r>
          </w:p>
        </w:tc>
        <w:tc>
          <w:tcPr>
            <w:tcW w:w="2831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tcBorders>
              <w:top w:val="single" w:sz="2" w:space="0" w:color="6C777E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3263" w:type="dxa"/>
          </w:tcPr>
          <w:p>
            <w:pPr>
              <w:pStyle w:val="TableParagraph"/>
              <w:spacing w:line="240" w:lineRule="auto" w:before="28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4135" w:type="dxa"/>
          </w:tcPr>
          <w:p>
            <w:pPr>
              <w:pStyle w:val="TableParagraph"/>
              <w:spacing w:line="240" w:lineRule="auto" w:before="28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37933709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 w:before="28"/>
              <w:ind w:left="26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2"/>
                <w:sz w:val="18"/>
              </w:rPr>
              <w:t> projektu:</w:t>
            </w:r>
          </w:p>
        </w:tc>
        <w:tc>
          <w:tcPr>
            <w:tcW w:w="5012" w:type="dxa"/>
          </w:tcPr>
          <w:p>
            <w:pPr>
              <w:pStyle w:val="TableParagraph"/>
              <w:spacing w:line="240" w:lineRule="auto" w:before="28"/>
              <w:ind w:left="1240"/>
              <w:jc w:val="left"/>
              <w:rPr>
                <w:sz w:val="18"/>
              </w:rPr>
            </w:pPr>
            <w:r>
              <w:rPr>
                <w:sz w:val="18"/>
              </w:rPr>
              <w:t>Zavoral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Adam</w:t>
            </w:r>
          </w:p>
        </w:tc>
      </w:tr>
      <w:tr>
        <w:trPr>
          <w:trHeight w:val="296" w:hRule="atLeast"/>
        </w:trPr>
        <w:tc>
          <w:tcPr>
            <w:tcW w:w="3263" w:type="dxa"/>
          </w:tcPr>
          <w:p>
            <w:pPr>
              <w:pStyle w:val="TableParagraph"/>
              <w:spacing w:line="240" w:lineRule="auto" w:before="28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4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4135" w:type="dxa"/>
          </w:tcPr>
          <w:p>
            <w:pPr>
              <w:pStyle w:val="TableParagraph"/>
              <w:spacing w:line="240" w:lineRule="auto" w:before="28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1240600051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 w:before="28"/>
              <w:ind w:left="262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7"/>
                <w:sz w:val="18"/>
              </w:rPr>
              <w:t>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12" w:type="dxa"/>
          </w:tcPr>
          <w:p>
            <w:pPr>
              <w:pStyle w:val="TableParagraph"/>
              <w:spacing w:line="240" w:lineRule="auto" w:before="28"/>
              <w:ind w:left="1240"/>
              <w:jc w:val="left"/>
              <w:rPr>
                <w:sz w:val="18"/>
              </w:rPr>
            </w:pPr>
            <w:r>
              <w:rPr>
                <w:sz w:val="18"/>
              </w:rPr>
              <w:t>Houšková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Alžběta</w:t>
            </w:r>
          </w:p>
        </w:tc>
      </w:tr>
      <w:tr>
        <w:trPr>
          <w:trHeight w:val="295" w:hRule="atLeast"/>
        </w:trPr>
        <w:tc>
          <w:tcPr>
            <w:tcW w:w="3263" w:type="dxa"/>
          </w:tcPr>
          <w:p>
            <w:pPr>
              <w:pStyle w:val="TableParagraph"/>
              <w:spacing w:line="240" w:lineRule="auto" w:before="28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4135" w:type="dxa"/>
          </w:tcPr>
          <w:p>
            <w:pPr>
              <w:pStyle w:val="TableParagraph"/>
              <w:spacing w:line="240" w:lineRule="auto" w:before="28"/>
              <w:ind w:left="5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25.10.2024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3263" w:type="dxa"/>
          </w:tcPr>
          <w:p>
            <w:pPr>
              <w:pStyle w:val="TableParagraph"/>
              <w:spacing w:line="219" w:lineRule="exact" w:before="28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2"/>
                <w:sz w:val="18"/>
              </w:rPr>
              <w:t>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4135" w:type="dxa"/>
          </w:tcPr>
          <w:p>
            <w:pPr>
              <w:pStyle w:val="TableParagraph"/>
              <w:spacing w:line="219" w:lineRule="exact" w:before="28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262835/2024</w:t>
            </w:r>
          </w:p>
        </w:tc>
        <w:tc>
          <w:tcPr>
            <w:tcW w:w="28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212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> 031,25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315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531,25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925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2"/>
                <w:sz w:val="18"/>
              </w:rPr>
              <w:t> 312,50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314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812,50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637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> 593,75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314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093,75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350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> 875,00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313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375,00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062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> 156,25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312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656,25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775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> 437,50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311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937,50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487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> 718,75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311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218,75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310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912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> 281,25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309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781,25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625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> 562,50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062,50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843,75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343,75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050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125,00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625,00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762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> 406,25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906,25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55" w:header="0" w:top="7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56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475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> 687,50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306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187,50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> 968,75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468,75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> 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612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531,25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031,25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325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812,50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312,50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037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093,75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302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593,75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750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375,00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301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875,00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656,25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156,25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175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937,50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437,50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887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218,75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718,75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781,25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298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281,25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 062,50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562,50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737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343,75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843,75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450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625,00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125,00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906,25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295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406,25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875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294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687,50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587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468,75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968,75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012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031,25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292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531,25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725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812,50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437</w:t>
            </w:r>
            <w:r>
              <w:rPr>
                <w:spacing w:val="-2"/>
                <w:sz w:val="18"/>
              </w:rPr>
              <w:t>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593,75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093,75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875,00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290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375,00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862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156,25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289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656,25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2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575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437,50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937,50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4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4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718,75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4"/>
              <w:ind w:right="41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218,75</w:t>
            </w:r>
          </w:p>
        </w:tc>
      </w:tr>
    </w:tbl>
    <w:sectPr>
      <w:type w:val="continuous"/>
      <w:pgSz w:w="16840" w:h="11900" w:orient="landscape"/>
      <w:pgMar w:header="0" w:footer="855" w:top="580" w:bottom="104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911003pt;margin-top:541.246277pt;width:409.8pt;height:28.15pt;mso-position-horizontal-relative:page;mso-position-vertical-relative:page;z-index:-16243200" type="#_x0000_t202" id="docshape1" filled="false" stroked="false">
          <v:textbox inset="0,0,0,0">
            <w:txbxContent>
              <w:p>
                <w:pPr>
                  <w:pStyle w:val="BodyText"/>
                  <w:spacing w:line="216" w:lineRule="auto" w:before="35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5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5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5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36.789978pt;margin-top:548.688110pt;width:35.25pt;height:31.1pt;mso-position-horizontal-relative:page;mso-position-vertical-relative:page;z-index:-16242688" type="#_x0000_t202" id="docshape2" filled="false" stroked="false">
          <v:textbox inset="0,0,0,0">
            <w:txbxContent>
              <w:p>
                <w:pPr>
                  <w:spacing w:before="20"/>
                  <w:ind w:left="10" w:right="76" w:firstLine="0"/>
                  <w:jc w:val="center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  <w:p>
                <w:pPr>
                  <w:pStyle w:val="BodyText"/>
                  <w:spacing w:before="155"/>
                  <w:ind w:left="10" w:right="10"/>
                  <w:jc w:val="center"/>
                </w:pPr>
                <w:r>
                  <w:rPr>
                    <w:color w:val="6C777E"/>
                    <w:spacing w:val="-2"/>
                  </w:rPr>
                  <w:t>25.10.2024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60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29" w:lineRule="exact"/>
      <w:jc w:val="right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2025-01-28T09:15:49Z</dcterms:created>
  <dcterms:modified xsi:type="dcterms:W3CDTF">2025-01-28T09:15:49Z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2025-01-28T00:00:00Z</vt:filetime>
  </property>
</Properties>
</file>